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5" w:lineRule="exact"/>
        <w:rPr>
          <w:sz w:val="24"/>
          <w:szCs w:val="24"/>
          <w:color w:val="auto"/>
        </w:rPr>
      </w:pPr>
    </w:p>
    <w:p>
      <w:pPr>
        <w:ind w:left="360"/>
        <w:spacing w:after="0" w:line="22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-231775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28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7"/>
              <w:spacing w:after="0" w:line="134"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3"/>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7"/>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15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5304155</wp:posOffset>
            </wp:positionH>
            <wp:positionV relativeFrom="paragraph">
              <wp:posOffset>-601980</wp:posOffset>
            </wp:positionV>
            <wp:extent cx="8255" cy="6026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2615"/>
                    </a:xfrm>
                    <a:prstGeom prst="rect">
                      <a:avLst/>
                    </a:prstGeom>
                    <a:noFill/>
                  </pic:spPr>
                </pic:pic>
              </a:graphicData>
            </a:graphic>
          </wp:anchor>
        </w:drawing>
        <w:drawing>
          <wp:anchor simplePos="0" relativeHeight="251657728" behindDoc="1" locked="0" layoutInCell="0" allowOverlap="1">
            <wp:simplePos x="0" y="0"/>
            <wp:positionH relativeFrom="column">
              <wp:posOffset>3993515</wp:posOffset>
            </wp:positionH>
            <wp:positionV relativeFrom="paragraph">
              <wp:posOffset>-610235</wp:posOffset>
            </wp:positionV>
            <wp:extent cx="8255" cy="6108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0870"/>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-585470</wp:posOffset>
            </wp:positionV>
            <wp:extent cx="1270000" cy="5619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00" cy="56197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27305</wp:posOffset>
            </wp:positionV>
            <wp:extent cx="6969125" cy="16040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9125" cy="1604010"/>
                    </a:xfrm>
                    <a:prstGeom prst="rect">
                      <a:avLst/>
                    </a:prstGeom>
                    <a:noFill/>
                  </pic:spPr>
                </pic:pic>
              </a:graphicData>
            </a:graphic>
          </wp:anchor>
        </w:drawing>
      </w:r>
    </w:p>
    <w:p>
      <w:pPr>
        <w:spacing w:after="0" w:line="94" w:lineRule="exact"/>
        <w:rPr>
          <w:sz w:val="24"/>
          <w:szCs w:val="24"/>
          <w:color w:val="auto"/>
        </w:rPr>
      </w:pPr>
    </w:p>
    <w:p>
      <w:pPr>
        <w:sectPr>
          <w:pgSz w:w="11900" w:h="16838" w:orient="portrait"/>
          <w:cols w:equalWidth="0" w:num="2">
            <w:col w:w="2240" w:space="32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NUTTALL SCOTT C</w:t>
        </w:r>
      </w:hyperlink>
    </w:p>
    <w:p>
      <w:pPr>
        <w:spacing w:after="0" w:line="30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255 FISERV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FISERV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FISV</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7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Arial" w:cs="Arial" w:eastAsia="Arial" w:hAnsi="Arial"/>
          <w:sz w:val="17"/>
          <w:szCs w:val="17"/>
          <w:color w:val="0000FF"/>
        </w:rPr>
        <w:t>03/31/2020</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ind w:left="-1" w:right="660" w:firstLine="1"/>
        <w:spacing w:after="0" w:line="236"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9"/>
        <w:spacing w:after="0"/>
        <w:tabs>
          <w:tab w:leader="none" w:pos="499" w:val="left"/>
          <w:tab w:leader="none" w:pos="2079"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03"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ind w:left="519"/>
        <w:spacing w:after="0"/>
        <w:tabs>
          <w:tab w:leader="none" w:pos="207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3" w:lineRule="exact"/>
        <w:rPr>
          <w:sz w:val="24"/>
          <w:szCs w:val="24"/>
          <w:color w:val="auto"/>
        </w:rPr>
      </w:pPr>
    </w:p>
    <w:p>
      <w:pPr>
        <w:sectPr>
          <w:pgSz w:w="11900" w:h="16838" w:orient="portrait"/>
          <w:cols w:equalWidth="0" w:num="3">
            <w:col w:w="3180" w:space="720"/>
            <w:col w:w="3101" w:space="720"/>
            <w:col w:w="3359"/>
          </w:cols>
          <w:pgMar w:left="460" w:top="221" w:right="359" w:bottom="1440" w:gutter="0" w:footer="0" w:header="0"/>
          <w:type w:val="continuous"/>
        </w:sectPr>
      </w:pPr>
    </w:p>
    <w:p>
      <w:pPr>
        <w:spacing w:after="0" w:line="239" w:lineRule="exact"/>
        <w:rPr>
          <w:sz w:val="24"/>
          <w:szCs w:val="24"/>
          <w:color w:val="auto"/>
        </w:rPr>
      </w:pPr>
    </w:p>
    <w:tbl>
      <w:tblPr>
        <w:tblLayout w:type="fixed"/>
        <w:tblInd w:w="80" w:type="dxa"/>
        <w:tblCellMar>
          <w:top w:w="0" w:type="dxa"/>
          <w:left w:w="0" w:type="dxa"/>
          <w:bottom w:w="0" w:type="dxa"/>
          <w:right w:w="0" w:type="dxa"/>
        </w:tblCellMar>
      </w:tblPr>
      <w:tr>
        <w:trPr>
          <w:trHeight w:val="154"/>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Arial" w:cs="Arial" w:eastAsia="Arial" w:hAnsi="Arial"/>
                <w:sz w:val="17"/>
                <w:szCs w:val="17"/>
                <w:color w:val="0000FF"/>
              </w:rPr>
              <w:t>BROOKFIELD</w:t>
            </w:r>
          </w:p>
        </w:tc>
        <w:tc>
          <w:tcPr>
            <w:tcW w:w="880" w:type="dxa"/>
            <w:vAlign w:val="bottom"/>
          </w:tcPr>
          <w:p>
            <w:pPr>
              <w:ind w:left="80"/>
              <w:spacing w:after="0"/>
              <w:rPr>
                <w:sz w:val="20"/>
                <w:szCs w:val="20"/>
                <w:color w:val="auto"/>
              </w:rPr>
            </w:pPr>
            <w:r>
              <w:rPr>
                <w:rFonts w:ascii="Arial" w:cs="Arial" w:eastAsia="Arial" w:hAnsi="Arial"/>
                <w:sz w:val="17"/>
                <w:szCs w:val="17"/>
                <w:color w:val="0000FF"/>
              </w:rPr>
              <w:t>WI</w:t>
            </w:r>
          </w:p>
        </w:tc>
        <w:tc>
          <w:tcPr>
            <w:tcW w:w="1600" w:type="dxa"/>
            <w:vAlign w:val="bottom"/>
          </w:tcPr>
          <w:p>
            <w:pPr>
              <w:ind w:left="420"/>
              <w:spacing w:after="0"/>
              <w:rPr>
                <w:sz w:val="20"/>
                <w:szCs w:val="20"/>
                <w:color w:val="auto"/>
              </w:rPr>
            </w:pPr>
            <w:r>
              <w:rPr>
                <w:rFonts w:ascii="Arial" w:cs="Arial" w:eastAsia="Arial" w:hAnsi="Arial"/>
                <w:sz w:val="17"/>
                <w:szCs w:val="17"/>
                <w:color w:val="0000FF"/>
              </w:rPr>
              <w:t>53045</w:t>
            </w:r>
          </w:p>
        </w:tc>
      </w:tr>
      <w:tr>
        <w:trPr>
          <w:trHeight w:val="148"/>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6"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198755</wp:posOffset>
            </wp:positionV>
            <wp:extent cx="6969125" cy="871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9125" cy="871220"/>
                    </a:xfrm>
                    <a:prstGeom prst="rect">
                      <a:avLst/>
                    </a:prstGeom>
                    <a:noFill/>
                  </pic:spPr>
                </pic:pic>
              </a:graphicData>
            </a:graphic>
          </wp:anchor>
        </w:drawing>
      </w:r>
    </w:p>
    <w:p>
      <w:pPr>
        <w:spacing w:after="0" w:line="372" w:lineRule="exact"/>
        <w:rPr>
          <w:sz w:val="24"/>
          <w:szCs w:val="24"/>
          <w:color w:val="auto"/>
        </w:rPr>
      </w:pPr>
    </w:p>
    <w:p>
      <w:pPr>
        <w:sectPr>
          <w:pgSz w:w="11900" w:h="16838" w:orient="portrait"/>
          <w:cols w:equalWidth="0" w:num="2">
            <w:col w:w="3740" w:space="160"/>
            <w:col w:w="718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820" w:type="dxa"/>
            <w:vAlign w:val="bottom"/>
          </w:tcPr>
          <w:p>
            <w:pPr>
              <w:ind w:left="800"/>
              <w:spacing w:after="0" w:line="125"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5"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5"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3"/>
          </w:tcPr>
          <w:p>
            <w:pPr>
              <w:ind w:left="60"/>
              <w:spacing w:after="0" w:line="125"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5"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100"/>
              <w:spacing w:after="0" w:line="125" w:lineRule="exact"/>
              <w:rPr>
                <w:sz w:val="20"/>
                <w:szCs w:val="20"/>
                <w:color w:val="auto"/>
              </w:rPr>
            </w:pPr>
            <w:r>
              <w:rPr>
                <w:rFonts w:ascii="Arial" w:cs="Arial" w:eastAsia="Arial" w:hAnsi="Arial"/>
                <w:sz w:val="12"/>
                <w:szCs w:val="12"/>
                <w:b w:val="1"/>
                <w:bCs w:val="1"/>
                <w:color w:val="auto"/>
              </w:rPr>
              <w:t>Indirect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vMerge w:val="restart"/>
          </w:tcPr>
          <w:p>
            <w:pPr>
              <w:ind w:left="100"/>
              <w:spacing w:after="0" w:line="128"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0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8"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50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250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00" w:type="dxa"/>
            <w:vAlign w:val="bottom"/>
            <w:tcBorders>
              <w:top w:val="single" w:sz="8" w:color="808080"/>
            </w:tcBorders>
            <w:shd w:val="clear" w:color="auto" w:fill="2C2C2C"/>
          </w:tcPr>
          <w:p>
            <w:pPr>
              <w:spacing w:after="0" w:line="20" w:lineRule="exact"/>
              <w:rPr>
                <w:sz w:val="1"/>
                <w:szCs w:val="1"/>
                <w:color w:val="auto"/>
              </w:rPr>
            </w:pPr>
          </w:p>
        </w:tc>
        <w:tc>
          <w:tcPr>
            <w:tcW w:w="1820" w:type="dxa"/>
            <w:vAlign w:val="bottom"/>
            <w:tcBorders>
              <w:top w:val="single" w:sz="8" w:color="808080"/>
            </w:tcBorders>
            <w:shd w:val="clear" w:color="auto" w:fill="2C2C2C"/>
          </w:tcPr>
          <w:p>
            <w:pPr>
              <w:spacing w:after="0" w:line="20" w:lineRule="exact"/>
              <w:rPr>
                <w:sz w:val="1"/>
                <w:szCs w:val="1"/>
                <w:color w:val="auto"/>
              </w:rPr>
            </w:pPr>
          </w:p>
        </w:tc>
        <w:tc>
          <w:tcPr>
            <w:tcW w:w="108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4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92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033895" cy="2165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895" cy="2165350"/>
                    </a:xfrm>
                    <a:prstGeom prst="rect">
                      <a:avLst/>
                    </a:prstGeom>
                    <a:noFill/>
                  </pic:spPr>
                </pic:pic>
              </a:graphicData>
            </a:graphic>
          </wp:anchor>
        </w:drawing>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6"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8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8"/>
        </w:trPr>
        <w:tc>
          <w:tcPr>
            <w:tcW w:w="8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Form:</w:t>
            </w: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8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Direct (D)</w:t>
            </w: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or Indirect</w:t>
            </w: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 (Instr. 4)</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8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8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4"/>
        </w:trPr>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8"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8"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28"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8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8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860" w:type="dxa"/>
            <w:vAlign w:val="bottom"/>
          </w:tcPr>
          <w:p>
            <w:pPr>
              <w:ind w:left="60"/>
              <w:spacing w:after="0"/>
              <w:rPr>
                <w:sz w:val="20"/>
                <w:szCs w:val="20"/>
                <w:color w:val="auto"/>
              </w:rPr>
            </w:pPr>
            <w:r>
              <w:rPr>
                <w:rFonts w:ascii="Arial" w:cs="Arial" w:eastAsia="Arial" w:hAnsi="Arial"/>
                <w:sz w:val="13"/>
                <w:szCs w:val="13"/>
                <w:color w:val="0000FF"/>
              </w:rPr>
              <w:t>Deferred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860" w:type="dxa"/>
            <w:vAlign w:val="bottom"/>
          </w:tcPr>
          <w:p>
            <w:pPr>
              <w:ind w:left="60"/>
              <w:spacing w:after="0" w:line="141" w:lineRule="exact"/>
              <w:rPr>
                <w:sz w:val="20"/>
                <w:szCs w:val="20"/>
                <w:color w:val="auto"/>
              </w:rPr>
            </w:pPr>
            <w:r>
              <w:rPr>
                <w:rFonts w:ascii="Arial" w:cs="Arial" w:eastAsia="Arial" w:hAnsi="Arial"/>
                <w:sz w:val="13"/>
                <w:szCs w:val="13"/>
                <w:color w:val="0000FF"/>
                <w:w w:val="93"/>
              </w:rPr>
              <w:t>Compensation</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080" w:type="dxa"/>
            <w:vAlign w:val="bottom"/>
            <w:vMerge w:val="restart"/>
          </w:tcPr>
          <w:p>
            <w:pPr>
              <w:jc w:val="right"/>
              <w:ind w:right="201"/>
              <w:spacing w:after="0"/>
              <w:rPr>
                <w:sz w:val="20"/>
                <w:szCs w:val="20"/>
                <w:color w:val="auto"/>
              </w:rPr>
            </w:pPr>
            <w:r>
              <w:rPr>
                <w:rFonts w:ascii="Arial" w:cs="Arial" w:eastAsia="Arial" w:hAnsi="Arial"/>
                <w:sz w:val="13"/>
                <w:szCs w:val="13"/>
                <w:color w:val="0000FF"/>
              </w:rPr>
              <w:t>03/31/2020</w:t>
            </w:r>
          </w:p>
        </w:tc>
        <w:tc>
          <w:tcPr>
            <w:tcW w:w="1080" w:type="dxa"/>
            <w:vAlign w:val="bottom"/>
          </w:tcPr>
          <w:p>
            <w:pPr>
              <w:spacing w:after="0"/>
              <w:rPr>
                <w:sz w:val="12"/>
                <w:szCs w:val="12"/>
                <w:color w:val="auto"/>
              </w:rPr>
            </w:pPr>
          </w:p>
        </w:tc>
        <w:tc>
          <w:tcPr>
            <w:tcW w:w="780" w:type="dxa"/>
            <w:vAlign w:val="bottom"/>
            <w:vMerge w:val="restart"/>
          </w:tcPr>
          <w:p>
            <w:pPr>
              <w:ind w:left="160"/>
              <w:spacing w:after="0"/>
              <w:rPr>
                <w:sz w:val="20"/>
                <w:szCs w:val="20"/>
                <w:color w:val="auto"/>
              </w:rPr>
            </w:pPr>
            <w:r>
              <w:rPr>
                <w:rFonts w:ascii="Arial" w:cs="Arial" w:eastAsia="Arial" w:hAnsi="Arial"/>
                <w:sz w:val="13"/>
                <w:szCs w:val="13"/>
                <w:color w:val="0000FF"/>
              </w:rPr>
              <w:t>A</w:t>
            </w:r>
          </w:p>
        </w:tc>
        <w:tc>
          <w:tcPr>
            <w:tcW w:w="720" w:type="dxa"/>
            <w:vAlign w:val="bottom"/>
            <w:vMerge w:val="restart"/>
          </w:tcPr>
          <w:p>
            <w:pPr>
              <w:ind w:left="100"/>
              <w:spacing w:after="0"/>
              <w:rPr>
                <w:sz w:val="20"/>
                <w:szCs w:val="20"/>
                <w:color w:val="auto"/>
              </w:rPr>
            </w:pPr>
            <w:r>
              <w:rPr>
                <w:rFonts w:ascii="Arial" w:cs="Arial" w:eastAsia="Arial" w:hAnsi="Arial"/>
                <w:sz w:val="13"/>
                <w:szCs w:val="13"/>
                <w:color w:val="0000FF"/>
              </w:rPr>
              <w:t>272</w:t>
            </w:r>
          </w:p>
        </w:tc>
        <w:tc>
          <w:tcPr>
            <w:tcW w:w="76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720" w:type="dxa"/>
            <w:vAlign w:val="bottom"/>
            <w:vMerge w:val="restart"/>
          </w:tcPr>
          <w:p>
            <w:pPr>
              <w:jc w:val="right"/>
              <w:ind w:right="244"/>
              <w:spacing w:after="0"/>
              <w:rPr>
                <w:sz w:val="20"/>
                <w:szCs w:val="20"/>
                <w:color w:val="auto"/>
              </w:rPr>
            </w:pPr>
            <w:r>
              <w:rPr>
                <w:rFonts w:ascii="Arial" w:cs="Arial" w:eastAsia="Arial" w:hAnsi="Arial"/>
                <w:sz w:val="11"/>
                <w:szCs w:val="11"/>
                <w:color w:val="008000"/>
              </w:rPr>
              <w:t>(1)</w:t>
            </w: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Common</w:t>
            </w:r>
          </w:p>
        </w:tc>
        <w:tc>
          <w:tcPr>
            <w:tcW w:w="520" w:type="dxa"/>
            <w:vAlign w:val="bottom"/>
            <w:vMerge w:val="restart"/>
          </w:tcPr>
          <w:p>
            <w:pPr>
              <w:ind w:left="100"/>
              <w:spacing w:after="0"/>
              <w:rPr>
                <w:sz w:val="20"/>
                <w:szCs w:val="20"/>
                <w:color w:val="auto"/>
              </w:rPr>
            </w:pPr>
            <w:r>
              <w:rPr>
                <w:rFonts w:ascii="Arial" w:cs="Arial" w:eastAsia="Arial" w:hAnsi="Arial"/>
                <w:sz w:val="17"/>
                <w:szCs w:val="17"/>
                <w:color w:val="0000FF"/>
              </w:rPr>
              <w:t>272</w:t>
            </w:r>
          </w:p>
        </w:tc>
        <w:tc>
          <w:tcPr>
            <w:tcW w:w="68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94.99</w:t>
            </w:r>
            <w:r>
              <w:rPr>
                <w:rFonts w:ascii="Arial" w:cs="Arial" w:eastAsia="Arial" w:hAnsi="Arial"/>
                <w:sz w:val="21"/>
                <w:szCs w:val="21"/>
                <w:color w:val="008000"/>
                <w:vertAlign w:val="superscript"/>
              </w:rPr>
              <w:t>(1)</w:t>
            </w:r>
          </w:p>
        </w:tc>
        <w:tc>
          <w:tcPr>
            <w:tcW w:w="920" w:type="dxa"/>
            <w:vAlign w:val="bottom"/>
            <w:vMerge w:val="restart"/>
          </w:tcPr>
          <w:p>
            <w:pPr>
              <w:ind w:left="360"/>
              <w:spacing w:after="0"/>
              <w:rPr>
                <w:sz w:val="20"/>
                <w:szCs w:val="20"/>
                <w:color w:val="auto"/>
              </w:rPr>
            </w:pPr>
            <w:r>
              <w:rPr>
                <w:rFonts w:ascii="Arial" w:cs="Arial" w:eastAsia="Arial" w:hAnsi="Arial"/>
                <w:sz w:val="13"/>
                <w:szCs w:val="13"/>
                <w:color w:val="0000FF"/>
              </w:rPr>
              <w:t>495</w:t>
            </w:r>
          </w:p>
        </w:tc>
        <w:tc>
          <w:tcPr>
            <w:tcW w:w="74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860" w:type="dxa"/>
            <w:vAlign w:val="bottom"/>
            <w:vMerge w:val="restart"/>
          </w:tcPr>
          <w:p>
            <w:pPr>
              <w:ind w:left="60"/>
              <w:spacing w:after="0"/>
              <w:rPr>
                <w:sz w:val="20"/>
                <w:szCs w:val="20"/>
                <w:color w:val="auto"/>
              </w:rPr>
            </w:pPr>
            <w:r>
              <w:rPr>
                <w:rFonts w:ascii="Arial" w:cs="Arial" w:eastAsia="Arial" w:hAnsi="Arial"/>
                <w:sz w:val="13"/>
                <w:szCs w:val="13"/>
                <w:color w:val="0000FF"/>
              </w:rPr>
              <w:t>Notional</w:t>
            </w:r>
          </w:p>
        </w:tc>
        <w:tc>
          <w:tcPr>
            <w:tcW w:w="7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08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68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2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86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Units</w:t>
      </w:r>
    </w:p>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4"/>
          <w:szCs w:val="24"/>
          <w:color w:val="auto"/>
        </w:rPr>
      </w:pPr>
    </w:p>
    <w:p>
      <w:pPr>
        <w:ind w:left="40" w:right="160" w:firstLine="1"/>
        <w:spacing w:after="0" w:line="233"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deferred compensation notional units were allocated under the Fiserv, Inc. Non-Employee Director Deferred Compensation Plan (the "Plan"), under which director fees otherwise payable in cash may be deferred in exchange for the allocation of notional units under the Plan. This Form 4 reports the crediting of units under the Plan on March 31, 2020 in respect of $25,750 of deferred compensation. The number of notional units credited is calculated by dividing the amount of compensation that is deferred by the closing price of the company's common stock on the date of deferral, or last business day prior. On March 31, 2020, the closing price of Fiserv's common stock was $94.99 per share. Following cessation of the reporting person's service to the company, each notional unit will be settled in shares of Fiserv common stock on a one-for-one basis.</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2" w:lineRule="auto"/>
        <w:rPr>
          <w:sz w:val="20"/>
          <w:szCs w:val="20"/>
          <w:color w:val="auto"/>
        </w:rPr>
      </w:pPr>
      <w:r>
        <w:rPr>
          <w:rFonts w:ascii="Arial" w:cs="Arial" w:eastAsia="Arial" w:hAnsi="Arial"/>
          <w:sz w:val="17"/>
          <w:szCs w:val="17"/>
          <w:color w:val="0000FF"/>
        </w:rPr>
        <w:t xml:space="preserve">/s/ Lynn S. McCreary (attorney- </w:t>
      </w:r>
      <w:r>
        <w:rPr>
          <w:rFonts w:ascii="Arial" w:cs="Arial" w:eastAsia="Arial" w:hAnsi="Arial"/>
          <w:sz w:val="33"/>
          <w:szCs w:val="33"/>
          <w:color w:val="0000FF"/>
          <w:vertAlign w:val="subscript"/>
        </w:rPr>
        <w:t>04/02/2020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-26035</wp:posOffset>
            </wp:positionV>
            <wp:extent cx="13550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5509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-20955</wp:posOffset>
            </wp:positionV>
            <wp:extent cx="3111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11150"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-86360</wp:posOffset>
            </wp:positionV>
            <wp:extent cx="48196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81965" cy="8255"/>
                    </a:xfrm>
                    <a:prstGeom prst="rect">
                      <a:avLst/>
                    </a:prstGeom>
                    <a:noFill/>
                  </pic:spPr>
                </pic:pic>
              </a:graphicData>
            </a:graphic>
          </wp:anchor>
        </w:drawing>
      </w:r>
    </w:p>
    <w:p>
      <w:pPr>
        <w:spacing w:after="0" w:line="35"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1"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207606" TargetMode="External"/><Relationship Id="rId14" Type="http://schemas.openxmlformats.org/officeDocument/2006/relationships/hyperlink" Target="http://www.sec.gov/cgi-bin/browse-edgar?action=getcompany&amp;CIK=000079835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2020-04-02T15:17:06Z</dcterms:created>
  <dcterms:modified xsi:type="dcterms:W3CDTF">2020-04-02T15:17:06Z</dcterms:modified>
</cp:coreProperties>
</file>