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64135</wp:posOffset>
            </wp:positionV>
            <wp:extent cx="1611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55"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 w:lineRule="exact"/>
        <w:rPr>
          <w:sz w:val="24"/>
          <w:szCs w:val="24"/>
          <w:color w:val="auto"/>
        </w:rPr>
      </w:pPr>
    </w:p>
    <w:p>
      <w:pPr>
        <w:ind w:left="600"/>
        <w:spacing w:after="0"/>
        <w:tabs>
          <w:tab w:leader="none" w:pos="3700" w:val="left"/>
        </w:tabs>
        <w:rPr>
          <w:sz w:val="20"/>
          <w:szCs w:val="20"/>
          <w:color w:val="auto"/>
        </w:rPr>
      </w:pPr>
      <w:r>
        <w:rPr>
          <w:rFonts w:ascii="Times New Roman" w:cs="Times New Roman" w:eastAsia="Times New Roman" w:hAnsi="Times New Roman"/>
          <w:sz w:val="18"/>
          <w:szCs w:val="18"/>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372"/>
        </w:trPr>
        <w:tc>
          <w:tcPr>
            <w:tcW w:w="2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Commission file number:</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1-38962</w:t>
            </w:r>
          </w:p>
        </w:tc>
        <w:tc>
          <w:tcPr>
            <w:tcW w:w="3940" w:type="dxa"/>
            <w:vAlign w:val="bottom"/>
          </w:tcPr>
          <w:p>
            <w:pPr>
              <w:spacing w:after="0"/>
              <w:rPr>
                <w:sz w:val="24"/>
                <w:szCs w:val="24"/>
                <w:color w:val="auto"/>
              </w:rPr>
            </w:pPr>
          </w:p>
        </w:tc>
      </w:tr>
      <w:tr>
        <w:trPr>
          <w:trHeight w:val="414"/>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center"/>
              <w:ind w:right="560"/>
              <w:spacing w:after="0"/>
              <w:rPr>
                <w:sz w:val="20"/>
                <w:szCs w:val="20"/>
                <w:color w:val="auto"/>
              </w:rPr>
            </w:pPr>
            <w:r>
              <w:rPr>
                <w:rFonts w:ascii="Times New Roman" w:cs="Times New Roman" w:eastAsia="Times New Roman" w:hAnsi="Times New Roman"/>
                <w:sz w:val="32"/>
                <w:szCs w:val="32"/>
                <w:color w:val="auto"/>
                <w:w w:val="99"/>
              </w:rPr>
              <w:t>Fiserv, Inc.</w:t>
            </w:r>
          </w:p>
        </w:tc>
        <w:tc>
          <w:tcPr>
            <w:tcW w:w="394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80" w:type="dxa"/>
            <w:vAlign w:val="bottom"/>
            <w:gridSpan w:val="9"/>
          </w:tcPr>
          <w:p>
            <w:pPr>
              <w:jc w:val="center"/>
              <w:ind w:right="32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46"/>
        </w:trPr>
        <w:tc>
          <w:tcPr>
            <w:tcW w:w="3380" w:type="dxa"/>
            <w:vAlign w:val="bottom"/>
            <w:gridSpan w:val="3"/>
          </w:tcPr>
          <w:p>
            <w:pPr>
              <w:jc w:val="center"/>
              <w:ind w:left="1930"/>
              <w:spacing w:after="0"/>
              <w:rPr>
                <w:sz w:val="20"/>
                <w:szCs w:val="20"/>
                <w:color w:val="auto"/>
              </w:rPr>
            </w:pPr>
            <w:r>
              <w:rPr>
                <w:rFonts w:ascii="Times New Roman" w:cs="Times New Roman" w:eastAsia="Times New Roman" w:hAnsi="Times New Roman"/>
                <w:sz w:val="18"/>
                <w:szCs w:val="18"/>
                <w:color w:val="auto"/>
                <w:w w:val="99"/>
              </w:rPr>
              <w:t>Wisconsin</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39-1506125</w:t>
            </w:r>
          </w:p>
        </w:tc>
      </w:tr>
      <w:tr>
        <w:trPr>
          <w:trHeight w:val="180"/>
        </w:trPr>
        <w:tc>
          <w:tcPr>
            <w:tcW w:w="4160" w:type="dxa"/>
            <w:vAlign w:val="bottom"/>
            <w:gridSpan w:val="6"/>
          </w:tcPr>
          <w:p>
            <w:pPr>
              <w:jc w:val="center"/>
              <w:ind w:left="11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jc w:val="center"/>
              <w:ind w:right="1290"/>
              <w:spacing w:after="0" w:line="181" w:lineRule="exact"/>
              <w:rPr>
                <w:sz w:val="20"/>
                <w:szCs w:val="20"/>
                <w:color w:val="auto"/>
              </w:rPr>
            </w:pPr>
            <w:r>
              <w:rPr>
                <w:rFonts w:ascii="Times New Roman" w:cs="Times New Roman" w:eastAsia="Times New Roman" w:hAnsi="Times New Roman"/>
                <w:sz w:val="18"/>
                <w:szCs w:val="18"/>
                <w:color w:val="auto"/>
                <w:w w:val="99"/>
              </w:rPr>
              <w:t>(I. R. S. Employer</w:t>
            </w:r>
          </w:p>
        </w:tc>
      </w:tr>
      <w:tr>
        <w:trPr>
          <w:trHeight w:val="234"/>
        </w:trPr>
        <w:tc>
          <w:tcPr>
            <w:tcW w:w="41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7"/>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600 N. Vel R. Phillips Avenue,</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Milwaukee,</w:t>
            </w: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  53203</w:t>
            </w:r>
          </w:p>
        </w:tc>
      </w:tr>
      <w:tr>
        <w:trPr>
          <w:trHeight w:val="188"/>
        </w:trPr>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80" w:type="dxa"/>
            <w:vAlign w:val="bottom"/>
            <w:gridSpan w:val="9"/>
          </w:tcPr>
          <w:p>
            <w:pPr>
              <w:jc w:val="center"/>
              <w:ind w:right="327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r>
      <w:tr>
        <w:trPr>
          <w:trHeight w:val="487"/>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(262) 879-5000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88"/>
        </w:trPr>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80" w:type="dxa"/>
            <w:vAlign w:val="bottom"/>
            <w:gridSpan w:val="9"/>
          </w:tcPr>
          <w:p>
            <w:pPr>
              <w:jc w:val="center"/>
              <w:ind w:right="327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536"/>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51"/>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160" w:type="dxa"/>
            <w:vAlign w:val="bottom"/>
            <w:tcBorders>
              <w:top w:val="single" w:sz="8" w:color="auto"/>
            </w:tcBorders>
            <w:gridSpan w:val="6"/>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jc w:val="center"/>
              <w:ind w:left="342"/>
              <w:spacing w:after="0"/>
              <w:rPr>
                <w:sz w:val="20"/>
                <w:szCs w:val="20"/>
                <w:color w:val="auto"/>
              </w:rPr>
            </w:pPr>
            <w:r>
              <w:rPr>
                <w:rFonts w:ascii="Times New Roman" w:cs="Times New Roman" w:eastAsia="Times New Roman" w:hAnsi="Times New Roman"/>
                <w:sz w:val="18"/>
                <w:szCs w:val="18"/>
                <w:color w:val="auto"/>
                <w:w w:val="99"/>
              </w:rPr>
              <w:t>FI</w:t>
            </w: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9"/>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1.125% Senior Notes due 2027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362"/>
              <w:spacing w:after="0"/>
              <w:rPr>
                <w:sz w:val="20"/>
                <w:szCs w:val="20"/>
                <w:color w:val="auto"/>
              </w:rPr>
            </w:pPr>
            <w:r>
              <w:rPr>
                <w:rFonts w:ascii="Times New Roman" w:cs="Times New Roman" w:eastAsia="Times New Roman" w:hAnsi="Times New Roman"/>
                <w:sz w:val="18"/>
                <w:szCs w:val="18"/>
                <w:color w:val="auto"/>
                <w:w w:val="99"/>
              </w:rPr>
              <w:t>FI27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0"/>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1.625% Senior Notes due 2030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362"/>
              <w:spacing w:after="0"/>
              <w:rPr>
                <w:sz w:val="20"/>
                <w:szCs w:val="20"/>
                <w:color w:val="auto"/>
              </w:rPr>
            </w:pPr>
            <w:r>
              <w:rPr>
                <w:rFonts w:ascii="Times New Roman" w:cs="Times New Roman" w:eastAsia="Times New Roman" w:hAnsi="Times New Roman"/>
                <w:sz w:val="18"/>
                <w:szCs w:val="18"/>
                <w:color w:val="auto"/>
                <w:w w:val="99"/>
              </w:rPr>
              <w:t>FI30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0"/>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2.250% Senior Notes due 2025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362"/>
              <w:spacing w:after="0"/>
              <w:rPr>
                <w:sz w:val="20"/>
                <w:szCs w:val="20"/>
                <w:color w:val="auto"/>
              </w:rPr>
            </w:pPr>
            <w:r>
              <w:rPr>
                <w:rFonts w:ascii="Times New Roman" w:cs="Times New Roman" w:eastAsia="Times New Roman" w:hAnsi="Times New Roman"/>
                <w:sz w:val="18"/>
                <w:szCs w:val="18"/>
                <w:color w:val="auto"/>
                <w:w w:val="99"/>
              </w:rPr>
              <w:t>FI25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0"/>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3.000% Senior Notes due 2031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362"/>
              <w:spacing w:after="0"/>
              <w:rPr>
                <w:sz w:val="20"/>
                <w:szCs w:val="20"/>
                <w:color w:val="auto"/>
              </w:rPr>
            </w:pPr>
            <w:r>
              <w:rPr>
                <w:rFonts w:ascii="Times New Roman" w:cs="Times New Roman" w:eastAsia="Times New Roman" w:hAnsi="Times New Roman"/>
                <w:sz w:val="18"/>
                <w:szCs w:val="18"/>
                <w:color w:val="auto"/>
                <w:w w:val="99"/>
              </w:rPr>
              <w:t>FI31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3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4.500% Senior Notes due 2031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left="342"/>
              <w:spacing w:after="0"/>
              <w:rPr>
                <w:sz w:val="20"/>
                <w:szCs w:val="20"/>
                <w:color w:val="auto"/>
              </w:rPr>
            </w:pPr>
            <w:r>
              <w:rPr>
                <w:rFonts w:ascii="Times New Roman" w:cs="Times New Roman" w:eastAsia="Times New Roman" w:hAnsi="Times New Roman"/>
                <w:sz w:val="18"/>
                <w:szCs w:val="18"/>
                <w:color w:val="auto"/>
              </w:rPr>
              <w:t>FI31A</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316"/>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61"/>
        </w:trPr>
        <w:tc>
          <w:tcPr>
            <w:tcW w:w="11040" w:type="dxa"/>
            <w:vAlign w:val="bottom"/>
            <w:gridSpan w:val="13"/>
          </w:tcPr>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tc>
      </w:tr>
    </w:tbl>
    <w:p>
      <w:pPr>
        <w:spacing w:after="0" w:line="242" w:lineRule="exact"/>
        <w:tabs>
          <w:tab w:leader="none" w:pos="87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55" w:lineRule="exact"/>
        <w:rPr>
          <w:sz w:val="24"/>
          <w:szCs w:val="24"/>
          <w:color w:val="auto"/>
        </w:rPr>
      </w:pPr>
    </w:p>
    <w:p>
      <w:pPr>
        <w:ind w:right="240"/>
        <w:spacing w:after="0" w:line="24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2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Accelerated filer</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270"/>
        </w:trPr>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Non-accelerated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362"/>
        </w:trPr>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490"/>
        </w:trPr>
        <w:tc>
          <w:tcPr>
            <w:tcW w:w="3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3"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35" w:lineRule="exact"/>
        <w:rPr>
          <w:sz w:val="20"/>
          <w:szCs w:val="20"/>
          <w:color w:val="auto"/>
        </w:rPr>
      </w:pPr>
    </w:p>
    <w:p>
      <w:pPr>
        <w:ind w:right="260"/>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33" w:lineRule="exact"/>
        <w:rPr>
          <w:sz w:val="20"/>
          <w:szCs w:val="20"/>
          <w:color w:val="auto"/>
        </w:rPr>
      </w:pPr>
    </w:p>
    <w:p>
      <w:pPr>
        <w:ind w:right="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242" w:lineRule="exact"/>
        <w:tabs>
          <w:tab w:leader="none" w:pos="89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4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June 28, 2024 (the last trading day of the second fiscal quarter) was $85,486,940,134 based on the closing price of the registrant’s common stock on the New York Stock Exchange on that date. The number of shares of the registrant’s common stock, $0.01 par value per share, outstanding at February 14, 2025 was 561,288,944.</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Part III of this report incorporates information by reference to the registrant’s proxy statement for its 2025 annual meeting of shareholders, which proxy statement will be filed with the Securities and Exchange Commission no later than 120 days after the close of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10"/>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250"/>
        </w:trPr>
        <w:tc>
          <w:tcPr>
            <w:tcW w:w="134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280" w:type="dxa"/>
            <w:vAlign w:val="bottom"/>
            <w:gridSpan w:val="19"/>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140" w:type="dxa"/>
            <w:vAlign w:val="bottom"/>
            <w:gridSpan w:val="13"/>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180" w:type="dxa"/>
            <w:vAlign w:val="bottom"/>
            <w:gridSpan w:val="18"/>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440" w:type="dxa"/>
            <w:vAlign w:val="bottom"/>
            <w:gridSpan w:val="21"/>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420" w:type="dxa"/>
            <w:vAlign w:val="bottom"/>
            <w:gridSpan w:val="15"/>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80" w:type="dxa"/>
            <w:vAlign w:val="bottom"/>
            <w:tcBorders>
              <w:top w:val="single" w:sz="8" w:color="0000FF"/>
            </w:tcBorders>
            <w:gridSpan w:val="19"/>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40" w:type="dxa"/>
            <w:vAlign w:val="bottom"/>
            <w:gridSpan w:val="4"/>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4840" w:type="dxa"/>
            <w:vAlign w:val="bottom"/>
            <w:gridSpan w:val="7"/>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22"/>
                <w:szCs w:val="22"/>
                <w:color w:val="auto"/>
              </w:rPr>
            </w:pPr>
          </w:p>
        </w:tc>
        <w:tc>
          <w:tcPr>
            <w:tcW w:w="2720" w:type="dxa"/>
            <w:vAlign w:val="bottom"/>
            <w:gridSpan w:val="3"/>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60" w:type="dxa"/>
            <w:vAlign w:val="bottom"/>
          </w:tcPr>
          <w:p>
            <w:pPr>
              <w:spacing w:after="0"/>
              <w:rPr>
                <w:sz w:val="22"/>
                <w:szCs w:val="22"/>
                <w:color w:val="auto"/>
              </w:rPr>
            </w:pPr>
          </w:p>
        </w:tc>
        <w:tc>
          <w:tcPr>
            <w:tcW w:w="1840" w:type="dxa"/>
            <w:vAlign w:val="bottom"/>
            <w:gridSpan w:val="3"/>
          </w:tcPr>
          <w:p>
            <w:pPr>
              <w:spacing w:after="0"/>
              <w:rPr>
                <w:sz w:val="22"/>
                <w:szCs w:val="22"/>
                <w:color w:val="auto"/>
              </w:rPr>
            </w:pPr>
          </w:p>
        </w:tc>
        <w:tc>
          <w:tcPr>
            <w:tcW w:w="1900" w:type="dxa"/>
            <w:vAlign w:val="bottom"/>
            <w:gridSpan w:val="2"/>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3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6"/>
          </w:tcPr>
          <w:p>
            <w:pPr>
              <w:spacing w:after="0"/>
              <w:rPr>
                <w:sz w:val="22"/>
                <w:szCs w:val="22"/>
                <w:color w:val="auto"/>
              </w:rPr>
            </w:pPr>
          </w:p>
        </w:tc>
        <w:tc>
          <w:tcPr>
            <w:tcW w:w="5100" w:type="dxa"/>
            <w:vAlign w:val="bottom"/>
            <w:gridSpan w:val="8"/>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00" w:type="dxa"/>
            <w:vAlign w:val="bottom"/>
            <w:gridSpan w:val="2"/>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740" w:type="dxa"/>
            <w:vAlign w:val="bottom"/>
            <w:gridSpan w:val="5"/>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22"/>
                <w:szCs w:val="22"/>
                <w:color w:val="auto"/>
              </w:rPr>
            </w:pPr>
          </w:p>
        </w:tc>
        <w:tc>
          <w:tcPr>
            <w:tcW w:w="6300" w:type="dxa"/>
            <w:vAlign w:val="bottom"/>
            <w:gridSpan w:val="11"/>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this Annual Report on Form 10-K for the year ended December 31, 2024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this report, all references to “we,” “us,” “our” and “Fiserv” refer to Fiserv, Inc. (“Fiserv”), and, unless the context otherwise requires,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Fiserv, Inc. is a leading global provider of payments and financial services technology solutions. We are publicly traded on the New York Stock Exchange and part of the S&amp;P 500 Index.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we had $20.5 billion in total revenue, $5.9 billion in operating income and $6.6 billion of net cash provided by operating activities. Processing and services revenue, which in 2024 represented 81% of our total revenue, is primarily generated from account- and transaction-based fees under multi-year contracts that generally have high renewal rates. We have operations and offices located both within the U.S. and Canada, and internationally, which as a percentage of total revenue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Pr>
          <w:p>
            <w:pPr>
              <w:spacing w:after="0"/>
              <w:rPr>
                <w:sz w:val="15"/>
                <w:szCs w:val="15"/>
                <w:color w:val="auto"/>
              </w:rPr>
            </w:pPr>
          </w:p>
        </w:tc>
        <w:tc>
          <w:tcPr>
            <w:tcW w:w="1420" w:type="dxa"/>
            <w:vAlign w:val="bottom"/>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17,737</w:t>
            </w:r>
          </w:p>
        </w:tc>
      </w:tr>
      <w:tr>
        <w:trPr>
          <w:trHeight w:val="229"/>
        </w:trPr>
        <w:tc>
          <w:tcPr>
            <w:tcW w:w="2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12" w:lineRule="exact"/>
        <w:rPr>
          <w:sz w:val="20"/>
          <w:szCs w:val="20"/>
          <w:color w:val="auto"/>
        </w:rPr>
      </w:pPr>
    </w:p>
    <w:p>
      <w:pPr>
        <w:ind w:left="500" w:hanging="168"/>
        <w:spacing w:after="0"/>
        <w:tabs>
          <w:tab w:leader="none" w:pos="50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revenue in the following international regions: EMEA (Europe, Middle East and Africa), LATAM (Latin America) and APAC (Asia-Pacific).</w:t>
      </w:r>
    </w:p>
    <w:p>
      <w:pPr>
        <w:spacing w:after="0" w:line="1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grown our business through acquisitions and organically by signing new clients, expanding the products and services we provide to existing clients, offering new and enhanced products and services developed through innovation and acquisition, and extending our capabilities geographically, all of which have enabled us to deliver a wide range of products and services and created new opportunities for growth.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headquarters are located at 600 N. Vel R. Phillips Avenue, Milwaukee, Wisconsin 53203, and our telephone number is (262) 879-5000.</w:t>
      </w:r>
    </w:p>
    <w:p>
      <w:pPr>
        <w:spacing w:after="0" w:line="17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Effective in the first quarter of 2024, we realigned our reportable segments to correspond with changes in our business designed to further enhance operational performance in the delivery of our integrated portfolio of products and solutions to our financial institution clients (the “Segment Realignment”). Our new reportable segments are the Merchant Solutions (“Merchant”) segment and the Financial Solutions (“Financial”)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 Solutions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(“SaaS”); POS devices; and pay-by-bank solutions. The business lines aggregated within the Merchant segment consist of the following:</w:t>
      </w:r>
    </w:p>
    <w:p>
      <w:pPr>
        <w:spacing w:after="0" w:line="122" w:lineRule="exact"/>
        <w:rPr>
          <w:sz w:val="20"/>
          <w:szCs w:val="20"/>
          <w:color w:val="auto"/>
        </w:rPr>
      </w:pPr>
    </w:p>
    <w:p>
      <w:pPr>
        <w:ind w:left="660" w:right="100" w:hanging="328"/>
        <w:spacing w:after="0" w:line="23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management platform for small business clients</w:t>
      </w:r>
    </w:p>
    <w:p>
      <w:pPr>
        <w:spacing w:after="0" w:line="14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120" w:hanging="328"/>
        <w:spacing w:after="0" w:line="28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10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the Merchant segment businesses through a variety of channels, including direct sales teams, strategic partnerships with agent sales forces, ISVs, independent sales organizations (“ISOs”), financial institutions and other strategic partners in the form of merchant alliances, revenue sharing alliances and referral agreements.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Business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offer merchant acquiring solutions to enable small businesses to securely accept payment transactions online or in-person. Payment transactions include credit, debit, gift card and loyalty payments online or through a physical POS or mobile device, such as a smartphone or tablet.</w:t>
      </w:r>
    </w:p>
    <w:p>
      <w:pPr>
        <w:spacing w:after="0" w:line="10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global point-of-sale and business management platform,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includes hardware and software technology necessary to enable small business merchants to accept payments; take orders; schedule pick-up and delivery services; and provide vertical specific business management tools. By integrating next-generation hardware and SaaS capabilities, along with value-added services, Clover has become a leader in enabling omnichannel commerce solutions for small businesses. We also offer small business owners advance access to capital through our Clover Capital cash advance and, within our international operations, merchant anticipation programs.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provide products and services to large businesses that are designed to enable clients to engage in commerce through various channels including online and mobile, drive value and savings through transactions, and engage more customers. Our integrated omnichannel operating system allows enterprise clients to orchestrate payments and create consistent customer commerce experiences, delivered how and when their customers want. These solutions help clients maximize approval rates, reduce declines, lower fraud and chargebacks, reduce costs and improve the customer experience. Through this integrated platform, a variety of payment and commerce solutions can be accessed, including payment acceptance, payments optimization, fraud mitigation, online electronic benefits transfers, pay-by-bank and digital payouts. We also offer a single platform for payment facilitators, marketplaces, software companies, and acquiring banks to compliantly manage boarding, credit and risk, and money movement for sub-merchants. Clients can access our enterprise services through Commerce Hub™, our next generation gateway and orchestration layer that provides full-function e-commerce, omnichannel and multi-acquirer solutions that ease development effort and maintenance.</w:t>
      </w:r>
    </w:p>
    <w:p>
      <w:pPr>
        <w:spacing w:after="0" w:line="13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Enterprise business also provides end-to-end, omnichannel solutions to securely implement and manage stored value programs such as gift cards and loyalty, which help clients drive revenue and customer engagement. These solutions include physical and digital gift card fulfillment, program management, e-commerce gift card storefronts, security and fraud protection, transaction processing services, incentive and rebate cards as well as reloadable and non-reloadable prepaid cards that may be used with a variety of mobile applications. We help our clients consolidate their forms of stored value in a single digital wallet that is enabled in-store for true omnichannel customer engagement. Additionally, we provide payment services to companies, such as utilities, telephone and cable companies, lending institutions and insurance providers. These services enable our clients to reduce costs, collect payments faster through multiple channels and increase customer satisfaction, providing customers flexible, easy-to-use ways to view and pay their bills.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provide products and services to financial institutions, joint ventures, and other third-party resellers such as ISOs, which have direct relationships with merchants. We provide these distribution partners with integrated merchant technology solutions to help them grow their businesses and manage their portfolios. Partner technology tools enable real-time access to portfolio activity and pricing management. These strategic alliances combine our commerce-enabling technology, processing capabilities and management expertise with the distribution capabilities, footprint and customer relationships of our partners.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Solutions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160" w:lineRule="exact"/>
        <w:rPr>
          <w:sz w:val="20"/>
          <w:szCs w:val="20"/>
          <w:color w:val="auto"/>
        </w:rPr>
      </w:pPr>
    </w:p>
    <w:p>
      <w:pPr>
        <w:ind w:left="660" w:right="160" w:hanging="328"/>
        <w:spacing w:after="0" w:line="236" w:lineRule="auto"/>
        <w:tabs>
          <w:tab w:leader="none" w:pos="655"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4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104"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Payments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 leading enabler of digital payment capabilities to financial institutions of all sizes, including solutions that help clients enable debit card processing services, peer-to-peer payments, account-to-account transfers, bill payment capabilities, and Automated Clearing House (“ACH”) and real-time payments.</w:t>
      </w:r>
    </w:p>
    <w:p>
      <w:pPr>
        <w:spacing w:after="0" w:line="12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provide debit card processing services, which include tokenization, loyalty and reward programs; customized authorization processing; gateway processing to payment networks; ATM managed services and cash and logistics management; and risk management products. We also provide security, risk and fraud management solutions, which incorporate machine-learning-based predictive technology, that help financial institutions securely operate and grow their business by preventing fraud. CardHub provides our clients’ customers with mobile, customizable card management and alert tools that drive engagement and revenue for card issuers. We also own and operate the Accel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MoneyPass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networks, which provide access to funds for debit card purchases through any physical and online channel. These networks are available to all issuers and merchants in the U.S.</w:t>
      </w:r>
    </w:p>
    <w:p>
      <w:pPr>
        <w:spacing w:after="0" w:line="14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Our person-to-person payment and account-to-account transfer services allow consumers a convenient way to send and receive money while offering financial institutions the opportunity to generate new transaction-based revenue, attract new accounts and increase loyalty among existing customers. We offer a turnkey implementation of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real-time person-to-person payments service. Our electronic bill payment and presentment product for financial and other institutions, CheckFree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RXP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allows our clients’ customers to manage household bills via an easy-to-use, online tool; view billing and payment information; pay and manage their bills in one place; and complete same-day or next-day bill payments to a wide range of billers and others. In addition, CashFlow Central</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18"/>
          <w:szCs w:val="18"/>
          <w:color w:val="auto"/>
        </w:rPr>
        <w:t>, an integrated digital payment and cash flow management product, enables financial institutions to better meet the payments needs of small businesses.</w:t>
      </w:r>
    </w:p>
    <w:p>
      <w:pPr>
        <w:spacing w:after="0" w:line="14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we offer products and services which enable operating efficiencies and management insight by providing financial institutions with the infrastructure they need to process, route and settle non-card-based electronic payments, including ACH, wire and instant payments, and to efficiently manage associated information flows. These products and services provide multiple payment capabilities, including domestic and international wire transfers and real time payments connection to the FedNow Service and RTP Network. PEP+ is an enterprise payment solution that allows financial institutions to automatically receive and originate electronic payments through the ACH network in a straight-through processing manner. Clients may use our payment platform applications on a licensed or hosted basis, and as an add-on to existing legacy technology or as a stand-alone comprehensive modern payments platform.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Issuing</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provide credit card processing services; card production services; print services; prepaid card processing services; government payment processing; and student loan processing.</w:t>
      </w:r>
    </w:p>
    <w:p>
      <w:pPr>
        <w:spacing w:after="0" w:line="108" w:lineRule="exact"/>
        <w:rPr>
          <w:sz w:val="20"/>
          <w:szCs w:val="20"/>
          <w:color w:val="auto"/>
        </w:rPr>
      </w:pPr>
    </w:p>
    <w:p>
      <w:pPr>
        <w:ind w:right="240"/>
        <w:spacing w:after="0" w:line="219" w:lineRule="exact"/>
        <w:rPr>
          <w:sz w:val="20"/>
          <w:szCs w:val="20"/>
          <w:color w:val="auto"/>
        </w:rPr>
      </w:pPr>
      <w:r>
        <w:rPr>
          <w:rFonts w:ascii="Times New Roman" w:cs="Times New Roman" w:eastAsia="Times New Roman" w:hAnsi="Times New Roman"/>
          <w:sz w:val="18"/>
          <w:szCs w:val="18"/>
          <w:color w:val="auto"/>
        </w:rPr>
        <w:t>Our credit card processing services provide solutions to financial institutions and other issuers of credit, such as group service providers, retailers and consumer finance companies, to enable them to process credit card transactions on behalf of their customers. Depending on the needs of our client, we deliver these solutions through our proprietary processing platforms, software application licenses, or SaaS hosted in the cloud. Our solutions in North America primarily use our Optis</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18"/>
          <w:szCs w:val="18"/>
          <w:color w:val="auto"/>
        </w:rPr>
        <w:t xml:space="preserve"> platform to provide transaction authorization and posting, account maintenance and settlement. Our FirstVision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and VisionPLUS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are used globally to provide transaction processing services or are licensed to enable clients to process transactions on their own. We also provide financial institutions with solutions that support the lifecycle of a cardholder, including acquisition, fraud detection, credit risk management, servicing, collections and professional services.</w:t>
      </w:r>
    </w:p>
    <w:p>
      <w:pPr>
        <w:spacing w:after="0" w:line="1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provide business statement and card products and services to clients across a wide variety of industries, including financial services, healthcare, retail, utilities, telecommunications, insurance and travel and entertainment. Our products and services include electronic document management through our electronic document delivery products and services; card manufacturing, personalization and mailing; statement production and mailing; and design and fulfillment of direct mail services.</w:t>
      </w:r>
    </w:p>
    <w:p>
      <w:pPr>
        <w:spacing w:after="0" w:line="12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Our prepaid card processing services include stored value cards offered by our Money Network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businesses. The Money Network service simplifies payment distribution for organizations while reducing or eliminating expenses associated with issuing traditional paper checks. This service also provides consumers without bank accounts with fast, digital access to their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money, including wages. Money Network solutions include Electronic Payroll Delivery, government disbursements, digital disbursements and corporate incentives as well as single-load and reloadable prepaid account options.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government payment and student loan processing services generally relate to the processing of consumer payment activity. We provide entitlement payments for state entities, unemployment, and disability debit card payments, as well as technology that enables our clients to provide student loan support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provide customer loan and deposit account processing; digital banking; financial and risk management; professional services and consulting; and check processing. The lines between merchant acquiring, payment processing and banking are increasingly interconnected, as more banking and payment transactions are initiated at different touchpoints within merchant engagement.</w:t>
      </w:r>
    </w:p>
    <w:p>
      <w:pPr>
        <w:spacing w:after="0" w:line="12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Account processing solutions enable a financial institution to operate systems that process customer deposit and loan accounts, an institution’s general ledger, central information files and other financial information. These solutions also include security, reporting and other features that financial institutions need to process transactions for their customers. Although many of our clients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 The principal account processing solutions used by our depository institution clients are Cleartouch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Finxact, Portico®, Precision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Premier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Signature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 of these systems are available in the U.S., and the DNA, Finxact and Signature platforms are also available globally. Account processing solutions are offered primarily as an outsourced service or can be installed on client-owned computer systems or those hosted by third parties.</w:t>
      </w:r>
    </w:p>
    <w:p>
      <w:pPr>
        <w:spacing w:after="0" w:line="142"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8"/>
          <w:szCs w:val="18"/>
          <w:color w:val="auto"/>
        </w:rPr>
        <w:t>Our principal consumer and business digital banking platform, Experience Digital (“XD”), builds on our Configure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Corillian Online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Mobiliti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Create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XD is a cloud-based platform that enables customers to perform balance inquiries, view their transaction history and access electronic bill payments, person-to-person digital payments, card services, account and loan originations, funds transfer and personal financial management tools. XD can be highly customized and integrated to multiple products and services, allowing clients to deploy new services quickly and efficiently to increase customer acquisition, engagement and insights.</w:t>
      </w:r>
    </w:p>
    <w:p>
      <w:pPr>
        <w:spacing w:after="0" w:line="14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our embedded finance solutions enable merchants and others to deliver personalized financial experiences to their customers through a combination of Fiserv solutions including Finxact, Carat, plastics, and card processing, as well as third-party services, including banking services.</w:t>
      </w:r>
    </w:p>
    <w:p>
      <w:pPr>
        <w:spacing w:after="0" w:line="108"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We also offer consulting services, business operations services and related software products that enable the transition of check capture from branch and teller channels to digital self-service deposit channels, including mobile, merchant and ATM. Through the Fiserv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Clearing Network, we provide check clearing and image exchange services. Other products and services include image archive with online retrieval, in-clearings, exceptions and returns, statements, and fraud detection.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focused on operating businesses where we have: deep industry expertise that enables us to serve the market with high effectiveness; a strong competitive position, currently or via a clear path in the foreseeable future; long-term, trusted client relationships that are based on recurring services and transactions; differentiated solutions that deliver value to our clients through integration and innovation; and strong management to execute strategies in a disciplined manner. Consistent with this focus, we continue to operate our business in accordance with the following strategic framework:</w:t>
      </w:r>
    </w:p>
    <w:p>
      <w:pPr>
        <w:spacing w:after="0" w:line="124" w:lineRule="exact"/>
        <w:rPr>
          <w:sz w:val="20"/>
          <w:szCs w:val="20"/>
          <w:color w:val="auto"/>
        </w:rPr>
      </w:pPr>
    </w:p>
    <w:p>
      <w:pPr>
        <w:jc w:val="both"/>
        <w:ind w:left="660" w:right="120" w:hanging="328"/>
        <w:spacing w:after="0" w:line="26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Client Relationship Value</w:t>
      </w:r>
      <w:r>
        <w:rPr>
          <w:rFonts w:ascii="Times New Roman" w:cs="Times New Roman" w:eastAsia="Times New Roman" w:hAnsi="Times New Roman"/>
          <w:sz w:val="18"/>
          <w:szCs w:val="18"/>
          <w:color w:val="auto"/>
        </w:rPr>
        <w:t>. We plan to increase the number and breadth of our client relationships by, among other actions: continuing to integrate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and services; introducing new products and services that are aligned with market needs; combining products and services to deliver enhanced, integrated value propositions; and delivering quality service and support for our clients.</w:t>
      </w:r>
    </w:p>
    <w:p>
      <w:pPr>
        <w:spacing w:after="0" w:line="119" w:lineRule="exact"/>
        <w:rPr>
          <w:rFonts w:ascii="Times New Roman" w:cs="Times New Roman" w:eastAsia="Times New Roman" w:hAnsi="Times New Roman"/>
          <w:sz w:val="18"/>
          <w:szCs w:val="18"/>
          <w:i w:val="1"/>
          <w:iCs w:val="1"/>
          <w:color w:val="auto"/>
        </w:rPr>
      </w:pPr>
    </w:p>
    <w:p>
      <w:pPr>
        <w:ind w:left="660" w:right="16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We seek to be an innovation leader, utilizing our assets and capabilities to be at the forefront of our industry and enable our clients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best-in-class results.</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Effectiveness</w:t>
      </w:r>
      <w:r>
        <w:rPr>
          <w:rFonts w:ascii="Times New Roman" w:cs="Times New Roman" w:eastAsia="Times New Roman" w:hAnsi="Times New Roman"/>
          <w:sz w:val="18"/>
          <w:szCs w:val="18"/>
          <w:color w:val="auto"/>
        </w:rPr>
        <w:t>. We believe we can further improve the quality of our client delivery while reducing our costs by using the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by our size and scale.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hanging="328"/>
        <w:spacing w:after="0" w:line="290" w:lineRule="auto"/>
        <w:tabs>
          <w:tab w:leader="none" w:pos="655"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Portfolio Management</w:t>
      </w:r>
      <w:r>
        <w:rPr>
          <w:rFonts w:ascii="Times New Roman" w:cs="Times New Roman" w:eastAsia="Times New Roman" w:hAnsi="Times New Roman"/>
          <w:sz w:val="17"/>
          <w:szCs w:val="17"/>
          <w:color w:val="auto"/>
        </w:rPr>
        <w:t>. We expect to acquire businesses when we identify: a compelling strategic need, such as a product, service or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w:t>
      </w:r>
    </w:p>
    <w:p>
      <w:pPr>
        <w:spacing w:after="0" w:line="101" w:lineRule="exact"/>
        <w:rPr>
          <w:rFonts w:ascii="Times New Roman" w:cs="Times New Roman" w:eastAsia="Times New Roman" w:hAnsi="Times New Roman"/>
          <w:sz w:val="17"/>
          <w:szCs w:val="17"/>
          <w:i w:val="1"/>
          <w:iCs w:val="1"/>
          <w:color w:val="auto"/>
        </w:rPr>
      </w:pPr>
    </w:p>
    <w:p>
      <w:pPr>
        <w:ind w:left="660" w:right="22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Discipline</w:t>
      </w:r>
      <w:r>
        <w:rPr>
          <w:rFonts w:ascii="Times New Roman" w:cs="Times New Roman" w:eastAsia="Times New Roman" w:hAnsi="Times New Roman"/>
          <w:sz w:val="18"/>
          <w:szCs w:val="18"/>
          <w:color w:val="auto"/>
        </w:rPr>
        <w:t>. We intend to make capital allocation decisions that offer the best prospects for our long-term growth and profitability,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include, among other matters: internal investment; repayment of debt; repurchases of our own shares; or acquisitions.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 the Market</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financial technology industry is highly dynamic, with new innovations entering the market and driving the expectations of our clients globally. The markets for our solutions have specific needs and requirements, with strong emphasis placed by clients on quality, security, service reliability, timely introduction of new capabilities and features, flexibility and value. This requires us to continue our focus on product and service delivery, integration and innovation to meet and exceed the specific needs of our clients. We believe that our financial strength and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meet the changing technology needs of our clients, we continually develop, maintain and enhance our products and systems. Our development and technology operations apply the expertise of multiple teams to design, develop and maintain specialized products and processing systems. Our products and solutions are designed to meet the preferences and diverse requirements of the international, national, regional or local market-specific merchant and financial services environments of our clients. In developing our products, we use current software development principles, such as service-oriented architecture, to create efficiencies, and we stress interaction with and responsiveness to the needs of our clients. In addition, we use our data and artificial intelligence (“AI”) responsibly to help us create new products and services and to enhance existing ones. We currently use AI in a variety of ways, including to enable higher quality customer service experiences, platform analytics, and fraud mitigation across a number of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depends on a variety of resources to operate including products and services provided to us by third parties. For example, we rely on our human capital resources for product development (including product design and coding), sales, operations (including customer service, technology support, security and compliance) and management; access to financial and telecommunication networks; computers, servers, mainframes, microchips and other computer equipment; and Clover and other POS devices. We periodically review our resource requirements and sources, as well as our relationships with key vendors, to best meet the needs of our business including global sourcing efforts and alternate supplier resourcing. We believe we have access to the resources necessary for our current business needs. More information regarding supply chain risks can be found under the heading “Competitive and Business Risks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Risk Factors section of this report and our human capital resources can be found below under the heading “Human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regard our hardware, software, transaction processing services and related products as proprietary, and we use a combination of patent, copyright, trademark and trade secret laws, internal security practices, employee confidentiality and assignment agreements, and third-party non-disclosure agreements to protect our intellectual property assets. Our patents cover innovations relating to numerous financial software and hardware products and services, and we continue, where appropriate, to seek and secure patents with respect to our ongoing innovations. We believe that we possess all proprietary rights necessary to conduct our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market for technology products and services is fragmented, highly competitive, and served by a multitude of large and small businesses. Our principal competitors include other large, integrated providers of financial services technology and payment systems, data processing affiliates of large companies, processing centers owned or operated as user cooperatives, financial institutions, merchant acquirers, ISOs, ISVs, payments companies and payment network operators. Our competitors also include global and local IT product and services companies and payment service providers and processors. We expect competition to continue to increase as new companies enter our markets and existing competitors expand or consolidate their product lines and services. Some of these competitors possess substantial financial, sales and marketing resources and can compete with us in various ways, including through the use of integrated product offerings and through pricing and long-standing relationships. Depending on the product or service, competitive factors may include quality, security, innovation, breadth or novelty of features and functionality, client satisfaction, market opportunity, integration, reliability, agility, global reach, multiple distribution channels, service reliability and performance standards, timely introduction of new products and features, platform scalability and flexibility, and value. We believe that we compete favorably in each of these categories. Additional information about competition in our segments is provided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products and services in our Merchant segment compete with merchant acquirers and financial institutions that provide acquiring and processing services to businesses on their own. In many cases, our alliance and commercial partners, such as ISOs and ISVs, compete against each other. We also compete with merchant services providers and, in a number of countries outside of the U.S., our Merchant segment competes with a growing number of local and regional providers. In addition, payment networks and large technology, media and other integrated payments software providers are increasingly offering products and services that compete with our suite of merchant acquiring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products and services in our Financial segment compete with large, diversified software and service companies, independent suppliers of software products, businesses that offer consumer payment solutions and a number of payment and card issuer processors. In addition to traditional payments competitors, large technology, media and other emerging financial technology providers are increasingly seeking to provide alternative payment and financing solutions. Existing and potential financial institution and other corporate clients could also develop and use their own in-house systems or custom-designed solutions instead of our products and services. In addition, we compete with vendors that offer similar transaction processing products and services to financial institutions.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operations, and the products and services that we offer, are subject to various U.S. federal, state and local regulations, as well as regulations outside the U.S. We are also subject to non-government-issued rules and requirements, such as those promulgated by various payment networks. Failure to comply with these rules and regulations may result in the suspension or revocation of licenses or registrations, the limitation, suspension or termination of service and the imposition of civil and criminal penalties, including fines. We may also be required, among other things, to make significant additional investments to comply with rules and regulations, to modify our products or services or the manner in which they are provided, or to limit or change the amount or types of revenue we are able to generate.</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Institution Regulations. </w:t>
      </w:r>
      <w:r>
        <w:rPr>
          <w:rFonts w:ascii="Times New Roman" w:cs="Times New Roman" w:eastAsia="Times New Roman" w:hAnsi="Times New Roman"/>
          <w:sz w:val="18"/>
          <w:szCs w:val="18"/>
          <w:color w:val="auto"/>
        </w:rPr>
        <w:t>Because a number of our businesses provide services to regulated financial institutions, we are considered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service provider under the Bank Service Company Act and, as a result, we are subject to examination by the U.S. Federal Banking Agencies, which are comprised of the Board of Governors of the Federal Reserve System, the Federal Deposit Insurance Corporation, and the Office of the Comptroller of the Currency. We are regulated based on the uniform principles, standards, and guidance created by the Federal Financial Institutions Examination Council (“FFIEC”). The FFIEC is a formal interagency body empowered to standardize and promote uniformity in supervision of financial institutions. The member agencies of the FFIEC include the Federal Reserve Board, the Federal Deposit Insurance Corporation, the Office of the Comptroller of the Currency, the National Credit Union Administration, and the Consumer Financial Protection Bureau (“CFPB”), which are empowered to conduct rule-making and supervision related to, and enforcement of, federal consumer financial laws, some of which apply to products and services offered by our clients.</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U.S., we are also subject to the Dodd-Frank Wall Street Reform and Consumer Protection Act, which, among other things, and in conjunction with the Federal Reserve Board’s Regulation II, caps debit interchange rates for certain debit and prepaid card issuers; prohibits card issuers and payment networks from restricting the ability of merchants to direct the routing of debit card transactions; requires all debit card issuers in the U.S. to participate in at least two unaffiliated debit payment card networks; prohibits payment card networks from restricting debit and prepaid card issuers from contracting with other payment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card networks; and generally prohibits network exclusivity arrangements for debit card and prepaid card issuers. These regulations impact our card processing businesses and our clients’ ability to generate revenue.</w:t>
      </w:r>
    </w:p>
    <w:p>
      <w:pPr>
        <w:spacing w:after="0" w:line="10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Certain of our subsidiaries hold payment institution or electronic money licenses. These subsidiaries are subject to regulation and oversight in the jurisdictions in which they operate, and may be required to meet minimum capital maintenance requirements or other obligations. In addition, we are subject to regulation by the Georgia Department of Banking and Finance in connection with our subsidiary’s Merchant Acquirer Limited Purpose Bank charter in Georgia. In addition, several of our subsidiaries outside of the U.S. provide services such as merchant terminal leasing, debit processing, acquiring, issuing, factoring and settlement that make them subject to regulation by financial services supervisory agencies, including the Financial Conduct Authority (“FCA”) and Payment Systems Regulator in the United Kingdom (“U.K.”), the Federal Financial Supervision Agency in Germany, the National Bank of Poland, the Central Bank of the Netherlands, the Central Bank of Ireland, the Reserve Bank of Australia, the Central Bank of Brazil, the Central Bank of Uruguay, the Monetary Authority of Singapore, Bank Negara Malaysia (BNM) and Australian Transaction Reports and Analysis Centre.</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Association and Network Rules. </w:t>
      </w:r>
      <w:r>
        <w:rPr>
          <w:rFonts w:ascii="Times New Roman" w:cs="Times New Roman" w:eastAsia="Times New Roman" w:hAnsi="Times New Roman"/>
          <w:sz w:val="18"/>
          <w:szCs w:val="18"/>
          <w:color w:val="auto"/>
        </w:rPr>
        <w:t>We are subject to the rules of various payment networks, such as Visa and Mastercard. In order to provide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 number of our subsidiaries are registered with Visa and/or Mastercard as service providers for member institutions. A number of our subsidiaries outside the U.S. are direct members or associate members of Visa and Mastercard for purposes of conducting merchant acquiring. Various subsidiaries are also processor level members of other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Nacha relating to payment transactions processed by us using the ACH network and to various federal and state laws regarding such operations, including laws pertaining to electronic benefits transactions.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Privacy and Cybersecurity Regulations. </w:t>
      </w:r>
      <w:r>
        <w:rPr>
          <w:rFonts w:ascii="Times New Roman" w:cs="Times New Roman" w:eastAsia="Times New Roman" w:hAnsi="Times New Roman"/>
          <w:sz w:val="18"/>
          <w:szCs w:val="18"/>
          <w:color w:val="auto"/>
        </w:rPr>
        <w:t>We provide services that involve the collection and processing of significant amounts of data, including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financial data and other sensitive data which subject our offerings to various federal, state, local and foreign privacy and cybersecurity laws and regulations, as well as association and network privacy and cybersecurity rules, which govern, among other things, the collection, processing, storage, deletion, use and disclosure of personal information. These laws and rules contain a variety of obligations including the safeguarding of personal information, the provision of notices and use and disclosure rights. The regulations and rules are complex and evolving and can provide for significant penalties or the suspension or termination of our registrations or certifications for non-compliance, furthermore many of these regulations and rules are still evolving and could be interpreted in ways that could impact our business.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U.S., we are subject to various federal and state privacy and cybersecurity laws and regulations. The U.S. Gramm-Leach-Bliley Act (“GLBA”) requires financial institutions to explain their information sharing practices to their customers and to safeguard customer data. In some circumstances, we are subject to GLBA and we have privacy and information security obligations to our clients who are regulated by the GLBA. In certain circumstances, we are subject to the U.S. Health Insurance Portability and Accountability Act of 1996 (“HIPAA”), which governs the use and disclosure of protected health information in healthcare treatment, payment and operations by covered entities and their business associates. We are also subject to the Federal Trade Commission Act which empowers the U.S. Federal Trade Commission (“FTC”) to prohibit unfair and deceptive practices, including those related to privacy and cybersecurity. In addition to the Federal Trade Commission Act, the FTC, along with the CFPB, is responsible for overseeing and enforcing the privacy and information security provisions over certain aspects of GLBA and the Fair Credit Reporting Act (“FCRA”), each of which is applicable to our businesses in certain circumstances. We also have obligations under various state privacy and cybersecurity laws, such as the California Consumer Privacy Act, which, among other things, give consumers more control over the personal information businesses hold about them.</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European Union (“E.U.”) and the U.K., we are subject to the General Data Protection Regulation (“GDPR”), which impose a comprehensive approach to personal data protection and include penalties for non-compliance of up to the greater of 20 million Euro (or 17.5 million British Pound) or four percent of a company’s consolidated global revenue. There are numerous additional privacy laws and regulations that apply to our businesses around the world which also provide for significant penalties. Some of these data protection laws, including in the E.U., Brazil, India, United Arab Emirates and China, impose requirements regarding data rights and security and either prohibit the international transfer of personal data or restrict such transfers absent lawfully recognized transfer mechanisms. There are also additional obligations that apply to us by virtue of the fact that we provide services in the financial services industry or are considered to be providing critical infrastructure to our clients including the SOCI Act in Australia, the EBA Outsourcing Requirements and the Digital Operational Resilience Act in the E.U. and the CERT-In obligations in India.</w:t>
      </w:r>
    </w:p>
    <w:p>
      <w:pPr>
        <w:spacing w:after="0" w:line="1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 information about privacy and cybersecurity regulation applicable to our business can be found in the Risk Factors section of this report under the heading “Regulatory and Compliance Risks”.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Money Transmission and Payment Instrument Licensing and Regulations. </w:t>
      </w:r>
      <w:r>
        <w:rPr>
          <w:rFonts w:ascii="Times New Roman" w:cs="Times New Roman" w:eastAsia="Times New Roman" w:hAnsi="Times New Roman"/>
          <w:sz w:val="18"/>
          <w:szCs w:val="18"/>
          <w:color w:val="auto"/>
        </w:rPr>
        <w:t>We are subject to various U.S. federal, state and foreign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 their agents to comply with federal and state anti-money laundering laws and regulations and often require the licensee to maintain certain levels of net worth.</w:t>
      </w:r>
    </w:p>
    <w:p>
      <w:pPr>
        <w:spacing w:after="0" w:line="12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Reporting and Debt Collections Regulations. </w:t>
      </w:r>
      <w:r>
        <w:rPr>
          <w:rFonts w:ascii="Times New Roman" w:cs="Times New Roman" w:eastAsia="Times New Roman" w:hAnsi="Times New Roman"/>
          <w:sz w:val="18"/>
          <w:szCs w:val="18"/>
          <w:color w:val="auto"/>
        </w:rPr>
        <w:t>TeleCheck, our check acceptance business, is subject to FCRA and various similar state 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business within our subsidiary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In addition, several of our subsidiaries are subject to comparable local laws regarding collection activities and obtaining credit reports and our U.K. branch described above also holds FCA permissions for debt collection activities.</w:t>
      </w:r>
    </w:p>
    <w:p>
      <w:pPr>
        <w:spacing w:after="0" w:line="1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Unfair Trade Practice Regulations. </w:t>
      </w:r>
      <w:r>
        <w:rPr>
          <w:rFonts w:ascii="Times New Roman" w:cs="Times New Roman" w:eastAsia="Times New Roman" w:hAnsi="Times New Roman"/>
          <w:sz w:val="18"/>
          <w:szCs w:val="18"/>
          <w:color w:val="auto"/>
        </w:rPr>
        <w:t>We and our clients are subject to various federal, state and foreign laws prohibiting unfair or deceptive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Various regulatory enforcement agencies, including the FTC and state attorneys general, have authority to take action against parties that engage in unfair or deceptive trade practices or violate other laws, rules and regulations. If we process payments for a merchant or other client in violation of laws, rules and regulations, we could be subject to enforcement actions and incur losses and liabilities that may impact our business.</w:t>
      </w:r>
    </w:p>
    <w:p>
      <w:pPr>
        <w:spacing w:after="0" w:line="12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Anti-Money Laundering and Sanctions Regulations. </w:t>
      </w:r>
      <w:r>
        <w:rPr>
          <w:rFonts w:ascii="Times New Roman" w:cs="Times New Roman" w:eastAsia="Times New Roman" w:hAnsi="Times New Roman"/>
          <w:sz w:val="18"/>
          <w:szCs w:val="18"/>
          <w:color w:val="auto"/>
        </w:rPr>
        <w:t>We are subject to anti-money laundering laws and regulations, including the U.S. Bank Secrecy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(“BSA”). Among other things, the BSA requires money services businesses, such as money transmitters, issuers of money orders and official checks, and providers of prepaid access, to develop and implement anti-money laundering programs. Our acquiring businesses outside the U.S. are subject to anti-money laundering laws and regulations in the countries where they operate. Our Money Network Financial, LLC subsidiary provides prepaid access for various open loop prepaid programs for which it is the program manager and therefore must meet the requirements of the Financial Crimes Enforcement Network.</w:t>
      </w:r>
    </w:p>
    <w:p>
      <w:pPr>
        <w:spacing w:after="0" w:line="1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Treasury Department’s Office of Foreign Assets Control (“OFAC”), which prohibit or restrict transactions to or from, or dealings with, specified countries, governments, individuals and entities that are specially designated nationals of those countries, including narcotics traffickers and terrorists or terrorist organizations. Other group entities may be subject to additional local sanctions requirements in other relevant jurisdictions.</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spacing w:after="0" w:line="122"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Communications Laws. </w:t>
      </w:r>
      <w:r>
        <w:rPr>
          <w:rFonts w:ascii="Times New Roman" w:cs="Times New Roman" w:eastAsia="Times New Roman" w:hAnsi="Times New Roman"/>
          <w:sz w:val="18"/>
          <w:szCs w:val="18"/>
          <w:color w:val="auto"/>
        </w:rPr>
        <w:t>We are subject to various federal and state laws that govern telephone calls and the issuance of text messages to clients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in the U.S. as well as to regulations that impose requirements on marketing emails sent to U.S residents. Our international subsidiaries are subject to equivalent laws in applicable jurisdictions.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Indirect Regulatory Requirements. </w:t>
      </w:r>
      <w:r>
        <w:rPr>
          <w:rFonts w:ascii="Times New Roman" w:cs="Times New Roman" w:eastAsia="Times New Roman" w:hAnsi="Times New Roman"/>
          <w:sz w:val="18"/>
          <w:szCs w:val="18"/>
          <w:color w:val="auto"/>
        </w:rPr>
        <w:t>A number of our clients are subject to various regulations and compliance obligations that do not apply directly to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impact the services that we provide to our clients. To remain competitive, we have invested, and expect to continue to invest,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Talent and Compensation Committee of our Board of Directors assists the Board of Directors in establishing our compensation philosophy and strategy and overseeing our human capital management strategy which includes maintaining a culture committed to attracting, developing and retaining top talent, fostering innovation, and promoting employee engagement, safety and well-being. As of December 31, 2024, we had over 38,000 employees worldwide.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Retention</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committed to creating a high-performance culture that consistently delivers excellence for our clients and long-term value for our shareholders while providing a workplace experience for our employees that values collaboration, innovation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diversity. Career development and internal mobility are important aspects of our value proposition for employees. We provide employees with numerous training and development opportunities, including through an e-learning platform specifically geared toward global technology associates; our Leading Women program, designed to accelerate the professional growth of female top talent across each of our global regions; our Leading Fiserv program, designed to develop critical leadership skills for frontline managers; our Vision to Results leadership program, focused on driving enterprise goals; and an online platform that provides global access to over 10,000 learning opportunities. Internal mobility is generally our preferred approach for filling open positions and fostering career advancement for our employees. To encourage internal mobility, we maintain a sustainable internal talent pipeline, increasing associate retention, job satisfaction and personal and professional growth opportunities.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adopted a pay-for-performance philosophy that is designed to recognize performance and reward achievement of our strategic business objectives and financial results. Total compensation consists of a competitive base pay and annual incentive opportunity typically delivered in a mix of cash and equity that is designed to promote retention and reward the attainment of defined performance goals. We are committed to providing fair pay to our employees regardless of gender, race, ethnicity or any other protected characteristic, and we conduct pay audits to track, measure and evaluate employee compensation. In addition, throughout the year, we celebrate employee contributions and achievements through a peer-based global recognition program that enables recognition and financial rewards.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value employee engagement and feedback. Throughout the year, we engage with our employees through events such as lunch-and-learns, quarterly all-hands meetings, town halls, leadership meetings and other forums. We encourage managers to meet regularly with their teams and encourage skip-level discussions.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assess employee engagement, we periodically collect employee feedback through employee engagement surveys, including annual enterprise-wide surveys and issue-specific surveys. These surveys cover a variety of topics, such as engagement, well-being, client experience, communication, teamwork, manager effectiveness, trust and inclusion. In addition to assessing engagement, the survey results enable us to gain insight into employee perspectives and issues which we use to enhance processes, set priorities and respond to associate concerns.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2024, 94% of our associates participated in our engagement survey. The categories in which we were ranked highest were “operational excellence” and “manager effectiveness”.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Well-Being</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committed to the safety of our workforce and maintain a global safety program that is designed to protect the safety and well-being of our employees in the workplace, minimize injury and accident frequency and severity, minimize loss to property, equipment and operational disruption, and enable greater associate satisfaction and productivity.</w:t>
      </w:r>
    </w:p>
    <w:p>
      <w:pPr>
        <w:spacing w:after="0" w:line="122"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We are also committed to providing comprehensive and competitive benefits to our associates that are responsive to their physical, financial, social and emotional needs. Our benefit offerings include a variety of medical and dental plan choices, mental health and counseling programs, caregiver support programs, enhanced family forming and planning resources, and paid time off. We control the cost of health care benefits for our employees despite the increased cost of such benefits to the company. Investing in our associates in this way helps us retain top talent and demonstrates our commitment to our employees, our most important asset.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and Business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from new and existing competitors. Our principal competitors include other vendors and providers of financial services technology and payment systems, data processing affiliates of large companies, processing centers owned or operated as user cooperatives, financial institutions, independent sales organizations (“ISOs”), independent software vendors, payments companies and payment network operators. Our competitors vary in size and in the scope and breadth of the services they offer. Many of our larger existing and potential clients have historically developed their key applications in-house. As a result, we may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engage in other business combinations, alliances and consolidations that may strengthen their existing products and services or create new products and services that compete with ours.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3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keep pace with technological change, including as a result of artificial intelligence, we could lose clients or have trouble attracting new clients, and our ability to grow may be limited.</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constant and rapid technological change, evolving industry standards, frequent introduction of new products and services, and increasing client expectations. Our ability to respond timely to these changes, including by enhancing our current products and services and developing and introducing new products and services, will significantly affect our future success. In addition, the success of certain of our products and services rely, in part, on financial institutions, business partners and other third parties promoting the use of or distributing our products and services. If we are unsuccessful in developing, marketing and selling products or services that gain market acceptance, or if third parties insufficiently promote or distribute our products and services, it would likely have a material adverse effect on our ability to retain existing clients, to attract new ones and to grow profitably.</w:t>
      </w:r>
    </w:p>
    <w:p>
      <w:pPr>
        <w:spacing w:after="0" w:line="1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that data, and the insights enabled by data, can be used to create or enhance the products and services that we offer to our clients. As a result, we are using, and expect to continue to expand our use of, artificial intelligence and machine learning in our product development processes, services and operations. Our use of artificial intelligence technologies carries inherent risks, and there can be no assurance that our use of artificial intelligence will enhance our products or services or achieve any improvements in innovation or efficiency. In addition, we could be exposed to liability as a result of any misuse of artificial intelligence and machine learning-technology by our personnel while carrying out company responsibilities. In addition, our competitors and other third parties may incorporate artificial intelligence into their products and offerings more quickly or more successfully than us, which could impair our ability to compete effectively and adversely affect our results of operations. If the content, analyses or recommendations that artificial intelligence applications assist in producing are or are alleged to be inaccurate, deficient or biased, our business, financial condition and results of operations may be adversely affected. Furthermore, the integration of third-party artificial intelligence models with our services relies on certain safeguards implemented by the third-party developers of the underlying artificial intelligence models, including those related to the accuracy, bias and other variables of the data, and these safeguards may be insufficient. Legislation and regulations governing the development or use of artificial intelligence have been implemented or are under consideration in the U.S. at the state and local level, as well as internationally. Such legislation and regulations may impose obligations related to our development, offering, and use of artificial intelligence and expose us to increased risk of regulatory enforcement and litigation. As a result, the ability to use artificial intelligence and machine learning may be constrained by current or future laws, regulatory or self-regulatory requirements.</w:t>
      </w:r>
    </w:p>
    <w:p>
      <w:pPr>
        <w:spacing w:after="0" w:line="13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renew contracts on favorable terms or if contracts are terminated prematurely, we could lose clients and our results of operations and financial condition may be adversely affected.</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prices, features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house. Further, our small merchant business clients may seek reduced fees due to pricing competition, their own financial condition or pressure from their customers.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contracts with U.S. federal, state and local governments. The contracts with these clients may contain terms that are not typical for non-government clients, such as the right to terminate for convenience, the right to unilaterally modify or reduce work to be provided under the contract, significant or unlimited indemnification obligations and being subject to appropriation of funds for the government contract program. In addition, if any of our government contracts were to be terminated for default, we could be suspended or debarred from contracting with that entity in the future, which could also provide other government clients the right to terminate.</w:t>
      </w:r>
    </w:p>
    <w:p>
      <w:pPr>
        <w:spacing w:after="0" w:line="1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These factors could result in lower revenue from a client than we had anticipated based on our agreement with that client. If we are not successful in achieving high contract renewal rates and favorable contract terms, if contracts are terminated, or if we are prevented from performing work for these clients in the future, our results of operations and financial condition may be materially and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card associations and debit networks, including the card networks which we own and operate,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in part, on our merchant relationships and alliances, and if we are unable to maintain these relationships and alliances, our business may be adversely affected.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The loss of merchant relationships or alliance partners could negatively impact our business and have a material adverse effect on our results of operations and financial condition.</w:t>
      </w:r>
    </w:p>
    <w:p>
      <w:pPr>
        <w:spacing w:after="0" w:line="13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an increased ability to negotiate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Security Risks</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ISOs, third-party service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providers and others. Preserving the confidentiality of sensitive business and personal information is critical to our business. Any unauthorized access, intrusion, infiltration, network disruption, ransom, denial of service or similar incident could disrupt the integrity, continuity, security and trust of our systems or data, or the systems or data of our clients, partners, vendors or service providers. These incidents are often difficult to detect and are constantly evolving. We expect that unauthorized parties will continue to attempt to gain access to our systems or facilities, and those of our clients, partners, vendors and service providers, through various means and with increasing sophistication, particularly as cybercriminals attempt to profit from increased online banking, e-commerce and other online activity. State-sponsored cybersecurity attacks on the U.S. financial system or U.S. financial service providers could also adversely affect our business.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have invested and expect to continue to invest significant resources to maintain and enhance our information security and controls or to investigate and mitigate security vulnerabilities. Although we believe that we maintain a robust program of information security and controls and that none of the events that we have encountered to date have materially affected us, we cannot be certain that the security measures and procedures we have in place to detect security incidents and protect sensitive data, will be successful or sufficient to counter all current and emerging risks and threats. While we maintain cybersecurity insurance, our insurance may be insufficient or may not cover all liabilities incurred by such attacks. The impact of a material event involving our systems and data, or those of our clients, partners, vendors or service providers, could have a material adverse effect on our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failures and resulting interruptions in the availability of our products or services could harm our business and reputation.</w:t>
      </w:r>
    </w:p>
    <w:p>
      <w:pPr>
        <w:spacing w:after="0" w:line="17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business depends heavily on the reliability of our systems. An operational failure that results in an interruption in the availability of our products and services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ransomware,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enhanced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of operations of other participants in the global financial system could prevent us from delivering our products and services.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 parties to provide products and services and if we are unable to obtain such products or services in the future or if these third parties fail to perform these services adequately, our business may be materially and adversely affected.</w:t>
      </w:r>
    </w:p>
    <w:p>
      <w:pPr>
        <w:spacing w:after="0" w:line="10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rely on third parties we do not control to provide us with products and services, including payment card networks, acquiring processors, payment card issuers, financial institutions and the Automated Clearing House (“ACH”) network which transmit transaction data, process chargebacks and refunds, and perform clearing services in connection with our settlement activities. If,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example, such third parties stop providing clearing services or limit our volumes, we would need to find other financial institutions to provide those services. In the event these third parties fail to provide these services adequately or in a timely manner, including as a result of errors in their systems or events beyond their control, or refuse to provide these services on terms acceptable to us or at all, and we are not able to find timely suitable alternatives, we may no longer be able to provide certain services to customers, which could expose us and our clients to information security, financial, compliance and reputational risks. We may be negatively impacted by a disruption to our supply chain or third-party delivery service providers, including if the factories that manufacture our point-of-sale devices, payment cards or computer chips for payment cards, or paper stock are temporarily closed or experience workforce shortages; shipping services are interrupted or delayed; there are increased lead times, shortages or higher costs for certain materials and components; or there are workforce shortages at our third-party customer support, software development or technology hosting facilities. If we are unable to renew our existing contracts with key vendors and service providers, we might not be able to replace the related product or service at all or at the same cost. Any of these risks could have a material adverse effect on our business, results of operations and financial condition.</w:t>
      </w:r>
    </w:p>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experience software defects, development delays or installation difficulties, which would harm our business and reputation and expose us to potential liability.</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We may also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Risks</w:t>
      </w:r>
    </w:p>
    <w:p>
      <w:pPr>
        <w:spacing w:after="0" w:line="1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geopolitical and other risks associated with operations outside of the U.S. and, as we continue to expand internationally, we may incur higher than anticipated costs and may become more susceptible to these risks.</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offer merchant acquiring, processing and issuing services outside of the U.S., including in the U.K., Germany, Mexico, Uruguay, Argentina, India and Brazil. Our facilities outside of the U.S., and those of our suppliers and vendors, including manufacturing, customer support, software development and technology hosting facilities, are subject to risks, including natural disasters, public health crises, political crises, terrorism, war, political instability and other events outside of our or our suppliers’ control. As we continue to expand internationally and grow our client base outside of the U.S., we may face challenges due to the presence of more established competitors and our relative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impacted by U.S. and global market and economic conditions.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to continue to derive revenue primarily from products and services we provide to the financial services industry and from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122" w:lineRule="exact"/>
        <w:rPr>
          <w:sz w:val="20"/>
          <w:szCs w:val="20"/>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trade policy and tariffs, taxes, foreign currency fluctuations, declining economies, social unrest, natural disasters, public health crises, including the occurrence of a contagious disease or illness, and the pace of economic recovery can change consumer spending behaviors, on which a significant portion of our revenues are dependent;</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U.S. and other countries around the world could affect the U.S. and other specific sovereign credit ratings, impact consumer confidence and spending, and increase the risks of operating in those countries;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economies tend to be more volatile than the more established markets we serve in the U.S. and Europe, and adverse economic trends, including high rates of inflation, may be more pronounced in such emerging markets;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may restrict credit lines to cardholders or limit the issuance of new cards to mitigate cardholder defaults;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performance of our clients’ businesses may make estimates of our revenues, rebates, incentives, and realization of prepaid assets less predictable;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may decrease spending for value-added services; and</w:t>
      </w:r>
    </w:p>
    <w:p>
      <w:pPr>
        <w:spacing w:after="0" w:line="17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including the effect of laws, regulations, treaties and/or government investments in our clients, may have potential negative effects on our business, operations and our relationships with our clients or otherwise alter their strategic direction away from our products.</w:t>
      </w:r>
    </w:p>
    <w:p>
      <w:pPr>
        <w:spacing w:after="0" w:line="12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 weakening in the economy or competition from other retailers could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 prolonged poor economic environment, including a potential recession in the U.S. or other economies in which our business operates, could result in significant decreases in demand by current and potential clients for our products and services and in the number and dollar amount of transactions we process or accounts we service, which could have a material adverse effect on our business, results of operations and financial condition.</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Potential tariffs or trade wars could increase the cost of our products, which could adversely impact the competitiveness of our products and our financial results.</w:t>
      </w:r>
    </w:p>
    <w:p>
      <w:pPr>
        <w:spacing w:after="0" w:line="10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U.S. has imposed tariffs, and may impose new or increased tariffs, on certain imports from other countries, which may lead to retaliatory tariffs imposed by other governments. If the U.S. administration or other countries impose new or increased tariffs, trade restrictions or restrictions on the cross-border flow of data, our manufacturing of hardware devices, supply of raw materials and access to certain markets, could be impacted. Although it is difficult to predict how current or future tariffs on items imported from other countries will impact our business, the cost of our products manufactured in other countries and imported into the U.S. or elsewhere could increase, which could adversely affect the demand for these products and have a material adverse effect on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Compliance Risks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or third parties with whom we partner or contract fail to comply with applicable laws and regulations, we could be subject to liability and our business could be harmed.</w:t>
      </w:r>
    </w:p>
    <w:p>
      <w:pPr>
        <w:spacing w:after="0" w:line="10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Our businesses are subject to state, federal, and foreign laws and regulations, including payment, cybersecurity, consumer protection, money transmission, data privacy, anti-money laundering, anti-bribery, economic and trade sanctions, payment institution, electronic money licensing, credit reporting and debt collection laws and regulations. Our clients are also subject to numerous laws and regulations applicable to banks, financial institutions and card issuers in the U.S. and abroad, and, consequently, we are at times affected by these federal, state, local and foreign laws and regulations. These laws and regulations are subject to change, and new laws, regulations and interpretations are regularly adopted.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volume and complexity of the regulations that impact our business, directly or indirectly, will continue to increase our cost of doing business. If we or third parties with whom we partner or contract fail to comply with applicable laws and regulations, we could be exposed to litigation or regulatory proceedings, our client relationships and reputation could be harmed, our ability to obtain new clients could be inhibited, we could be required to change the manner in which we conduct our business or suspend or terminate certain services, and we could incur significant fines, penalties, or losses, all of which could have a material adverse impact on our business, results of operations and financial condition.</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order to provide our transaction processing services, several of our subsidiaries are registered with Visa and Mastercard and other networks as members or service providers for member institutions. A number of our subsidiaries outside the U.S. are direct members or associate members of Visa and Mastercard for purposes of conducting merchant acquiring, and various subsidiaries are also processor level members of numerous debit and electronic benefits transaction networks. As such, we are subject to card association and network rules that could subject us or our clients to a variety of fines or penalties that may be levied by the card associations or networks for certain acts or omissions by us, acquiring clients, processing clients or merchants. In addition, we are subject to Nacha rules relating to payment transactions processed by us using the ACH network and to various federal and state laws regarding such operations, including laws pertaining to electronic fund transfer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electronic benefits transactions,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heightened regulatory environment in the financial services industry may have an adverse impact on our clients and 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the enactment of the Dodd-Frank Wall Street Reform and Consumer Protection Act, a number of substantial regulations affecting the supervision and operation of the financial services industry within the U.S. have been adopted, including those that establish the Consumer Financial Protection Bureau (“CFPB”). The CFPB has issued regulations and guidance under U.S. consumer financial protection laws that apply to, and conducts direct examinations of, “supervised banks and nonbanks” as well as “supervised service providers” like us. CFPB rules, examinations and enforcement actions may require us to adjust our activities and may increase our compliance costs. Changes to applicable financial services laws or regulations could adversely impact our debit network business and other businesses. In addition, certain of our alliance partners are subject to regulation by federal and state authorities and, as a result, could pass through some of those compliance obligations to us.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regulation, examination or oversight of our business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including in respect of audits, investigations or enforcement actions related to us or third parties; or limit our ability to update our existing products and services, or require us to develop new ones. If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Any of these events, if realized, could have a material adverse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Cybersecurity and data privacy risks have received heightened legislative and regulatory attention. In Europe and the U.K., their respective General Data Protection Regulations (collectively, “GDPR”) extends the scope of their data protection laws to all companies processing data of individuals within the E.U. and the U.K., regardless of the company’s location, subject to certain limitations. The law requires companies to meet stringent requirements regarding the handling of personal data. E.U. and U.K. data protection law continuously develops and requires significant changes to our policies and procedures. GDPR imposes strict rules on the transfer of personal data out of the E.U. or U.K. to a “third country,” including the United States, unless particular transfer mechanisms are implemented. The mechanisms that we and many other companies rely upon for such data transfers are the subject of legal challenge, regulatory interpretation, and judicial decisions. In the E.U., U.K. and other markets, potential new rules and restrictions on the flow of data across borders could increase the cost and complexity of doing business in those regions. Additionally, we are subject to the E.U. Regulation known as the Digital Operational Resilience Act (“DORA”). DORA is intended to strengthen the information technology systems of covered financial entities to mitigate risks associated with operational disruptions. Our efforts to comply with E.U., U.K. and other cybersecurity, privacy and data protection laws around the world that apply to our businesses could involve substantial expenses, divert resources from other initiatives and projects and limit the services we are able to offer. There is also increased focus on data localization requirements around the world in countries such as the United Arab Emirates, China and India which could impact our business model with respect to our storage and transfer of personal data.</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U.S. regulators, including the U.S. Federal Banking Agencies and the U.S. Federal Trade Commission (“FTC”) have adopted or proposed enhanced cyber and privacy security standards that apply to us and our financial institution clients and address privacy requirements for processing data of individuals, cyber risk governance and management, management of internal and external dependencies, and incident response, cyber resilience and situational awareness. The FTC and many state attorneys general are also interpreting federal and state consumer protection laws as imposing standards for the collection, use, dissemination, and security of data. Additionally, over a third of U.S. states have proposed or enacted comprehensive consumer privacy laws (such as the California Consumer Privacy Act) that have taken effect or will take effect in coming years. We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cannot fully predict the impact of recently proposed or enacted laws or regulations on our business or operations, but compliance may require us to modify our data processing practices and policies incurring costs and expense. Legislation and regulations on cybersecurity, data privacy and data localization may compel us to enhance or modify our systems, invest in new systems or alter our business practices or our policies on how we process personal information, data governance and privacy. If any of these outcomes were to occur, our operational costs could increase significantly. Failure to comply with applicable laws in this area could also result in significant fines, penalties and reputational damage.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Through our merchant alliances, we hold an ownership interest in and have commercial relationships with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sued for infringing the intellectual property rights of others.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Third parties may claim that we are infringing their intellectual property rights. We expose ourselves to additional liability when we agree to defend or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In addition, use of artificial intelligence tools may result in the release of confidential or proprietary information which could limit our ability to protect, or prevent us from protecting, our intellectual property rights.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Some of our solutions integrate licensed software, including open source software, and any failure to comply with the terms of one or more of the licenses could adversely affect our business.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the results of which could affect our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U.S. Congress, the Organization for Economic Co-operation and Development (the “OECD”) and other government agencies in jurisdictions in which we do business remain focused on the taxation of multinational corporations. The OECD, which represents a coalition of member countries, including the U.S., is contemplating changes to numerous longstanding tax</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principles, including ensuring all companies pay a global minimum tax and expanding taxing rights of market countries. Because the timing of implementation and the specific measures adopted will vary among participating countries, significant uncertainty remains regarding the impact of these initiatives and their implementation could adversely affect our business or financial results.</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and Financial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due to chargebacks, refunds or returns could have a material adverse effect on our business, results of operations and financial condition.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be liable if our merchants or other parties that have obligations to deliver goods or services to cardholders fail to satisfy their obligations. For example, we and our merchant acquiring alliances may be subject to contingent liability for transactions originally acquired by us that are disputed by the cardholder and charged back to the merchants or other parties. These disputes could arise from fraud, misuse, unintentional use, settlement delay or failure, insufficiency of funds, returns, a failure to perform a service, or other reasons. If we or the alliance is unable to collect this amount from the merchant or other party because of the merchant’s or other party’s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or others could have a material adverse effect on our business, and results of operations and financial condition.</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and expose us to fines or other liabilities. Increases in chargebacks, fines or other liabilities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subject us to risks, including assumption of unforeseen liabilities and difficulties in integrating operations.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outside of the U.S. often involve additional or increased risks including, for example:</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geographically separated organizations, systems and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diverse business backgrounds and organizational cultures;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non-U.S.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intellectual property rights in some non-U.S.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entering new non-U.S. markets due to, among other things, consumer acceptance and business knowledge of these new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discover liabilities, deficiencies, or other claims associated with the companies or assets we acquire that were not identified in advance, which may result in significant unanticipated costs; the effectiveness of our due diligence review and our ability to evaluate the results of such due diligence are dependent upon the accuracy and completeness of statements and disclosures made or actions taken by the companies we acquire or their representatives, as well as the limited amount of time in which acquisitions are executed. In addition, we may fail to accurately forecast the financial impact of an acquisition or other strategic transaction, including tax and accounting charges;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obligated to indemnify the purchasers of businesses pursuant to the terms of the relevant purchase and sale agreements.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balance sheet includes goodwill and intangible assets that represent 60% of our total assets at December 31, 2024. These assets consist primarily of goodwill and identified intangible assets associated with our acquisitions. On at least an annual basis, we assess whether there have been impairments in the carrying value of goodwill. In addition, we review intangible assets for impairment whenever events or changes in circumstances indicate the carrying amount of the asset may not be recoverable. If the carrying value of the asset is determined to be impaired, then it is written down to fair value by a non-cash charge to operating earnings. An impairment of a significant portion of goodwill or intangible assets could have a material negative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or future leverage may harm our financial condition and results of operations.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December 31, 2024, we had approximately $25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or commercial paper notes are downgraded to below investment grade, we may incur additional interest expense. If we are unable to generate sufficient cash flow from operations in the future to service our debt and meet our other cash requirements, including due to deterioration in economic and market conditions,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of our borrowings, including borrowings under our revolving credit facility, foreign lines of credit and commercial paper programs, are at variable rates of interest. Beginning in 2022, and continuing through mid-2023, interest rates increased significantly and interest rates may continue to increase or remain at higher than recent historical levels in the future. An increase in interest rates would have a negative impact on our results of operations by causing an increase in interest expense. At December 31, 2024, we had approximately $2.4 billion in variable rate debt, which includes $899 million drawn on our revolving credit facility and foreign lines of credit, and an aggregate amount of $1.5 billion outstanding under our U.S. dollar and Euro commercial paper programs. Based on outstanding debt balances and interest rates at December 31, 2024, a 1% increase in variable interest rates would result in an increase to annual interest expense of $24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In addition, we may incur material foreign currency exchange losses due to the remeasurement of monetary assets and liabilities in highly inflationary economies. We have also issued foreign currency-denominated senior notes and commercial paper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core of our business, we host, collect, process, use and retain significant amounts of financial, personal and other sensitive data across our own technology environment and the third-party information systems of our vendors, service providers and partners. In order to keep this data secure, we maintain an enterprise risk management (“ERM”) program designed to systematically identify and manage risk including risk from cybersecurity threats. The risk committee of the board of directors oversees our ERM program and it is reviewed annually by both the risk and audit committees of the board of directors. The risk committee also monitors and reports to the board regarding issues arising with respect to the risk governance structure and performance of the risk management function. The board, as a whole and through its committees, regularly engages with the Chief Risk Officer, management and outside advisors to identify, assess and manage risks of the company and to ensure the risk management function has the appropriate resources and authority to fulfill its responsibilities. An executive risk committee,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comprised of senior leaders of our lines of business and corporate functions, provides executive level accountability for the ERM program.</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an ongoing basis, we identify, categorize, assess, monitor and respond to business risks. We consider the various ways in which risks may affect our business by measuring the impact of those risks against a consistent set of criteria, which include the potential impact to our operations, financial performance, clients, technology, reputation, business strategy and regulatory environment. The risk committee of the board of directors reviews and approves a list of top enterprise risks and the risk appetite relating to such risks. Among the top risks included in our ERM program is cybersecurity risk. Response plans are developed, tracked and implemented for residual risks that are above the acceptable tolerance level.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Cybersecurity</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global cybersecurity services team is responsible for assessing our technology environment, identifying emerging cybersecurity threats and evolving cybersecurity threat capabilities, and implementing business processes and technical defenses to safeguard our technology environment and services. Our management has established a cybersecurity and technology risk committee focused on managing cybersecurity and technology risk and implementing cybersecurity and technology plans, strategies and objectives. The committee is chaired by the Deputy Chief Information Security Officer, who reports to the Chief Operating Officer through our Chief Information Security Officer (“CISO”), and is comprised of senior business, cybersecurity, and technology leaders responsible for delivering our products and services. Our cybersecurity program is designed to enable us to detect and respond to cybersecurity incidents, continually improve the effectiveness of our cybersecurity controls, and dynamically respond to the evolving threat landscape.</w:t>
      </w:r>
    </w:p>
    <w:p>
      <w:pPr>
        <w:spacing w:after="0" w:line="1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cybersecurity operation center monitors our environment to detect cybersecurity incidents, identifies suspicious activities or unusual behaviors, and responds with the objective of minimizing potential impact to operations. We use various security technologies and controls and modern analytics designed to detect, prevent and respond to cybersecurity threats. Our global cybersecurity services team collects intelligence from the private and public sector related to cybersecurity threats, emerging adversarial campaigns and vulnerabilities. The global cybersecurity services team uses this information, along with internal intelligence and analytics, to evaluate the potential cybersecurity threats and develop security strategies to reduce risk and improve response.</w:t>
      </w:r>
    </w:p>
    <w:p>
      <w:pPr>
        <w:spacing w:after="0" w:line="1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maintain a global cybersecurity policy that incorporates recognized industry standards and best practices from the National Institute of Standards and Technology as well as various security certifications.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employees play a vital role in protecting our and our clients’ data. We provide regular, mandatory training for our employees regarding cybersecurity threats to equip our employees with effective tools to address cybersecurity threats, and to communicate our evolving information security policies, standards, processes and practices. We also maintain a third-party risk management program to identify, assess, mitigate and monitor risks associated with third parties’ software and services that we utilize.</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CISO has served in various senior roles in information technology and information security, in both the public and private sector, for over two decades and maintains a Certified Chief Information Security Officer professional certification. Similarly, the other members of our global cybersecurity services team have a broad range of cybersecurity training and experience in both the public, including military and law enforcement, and private sectors and maintain various certifications in relevant subjects.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board of directors maintains primary oversight of the company’s strategic, operational and financial risks, including cybersecurity risks. The risk committee of the board of directors assists the board in its oversight of such risks and is primarily responsible for oversight of cybersecurity risks. The risk committee regularly reviews and discusses with management the current cybersecurity threat landscape, emerging trends and developments, and the company’s guidelines, policies and processes for monitoring, managing, and mitigating cybersecurity risks.</w:t>
      </w:r>
    </w:p>
    <w:p>
      <w:pPr>
        <w:spacing w:after="0" w:line="12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board and the risk committee receive regular presentations and reports from management as well as outside experts on cybersecurity risks, which address a wide range of topics including recent developments, evolving standards, vulnerability assessments, third-party and independent reviews, the threat environment, technology trends and information security considerations arising with respect to our peers and third parties. On an annual basis, the board and the risk committee discuss our approach to cybersecurity risk management with our Chief Risk Officer, Chief Compliance Officer and Chief Information Officer, among others. At each regular board meeting, the risk committee reviews and reports to the board on key cybersecurity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risks. The board and the risk committee receive prompt and timely information regarding any cybersecurity incident that meets established reporting thresholds, as well as ongoing updates regarding any such incident until it has been addressed.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Cybersecurity Threats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results of operations and financial condition have not been materially affected by cybersecurity threats or incidents to date. However, to assess, identify, and manage material risks from cybersecurity threats, including as a result of previous cybersecurity incidents, we have invested and expect to continue to invest significant resources, including maintaining cybersecurity insurance coverage, to sustain and enhance our information security and controls or to investigate and mitigate security vulnerabilities. As a result, cybersecurity threats and other technological risks involving our systems have materially affected our business strategy and processes. Although we believe that we maintain a robust program of information security and controls and that none of the cybersecurity incidents that we have encountered to date have materially affected us, we cannot be certain that the security measures and procedures we have in place to detect security incidents and protect sensitive data will be successful or sufficient to counter all current and emerging risks and threats. The impact of a material cybersecurity incident involving our systems and data, or those of our clients, partners or vendors, could have a material adverse effect on our business strategy, results of operations and financial condition.</w:t>
      </w:r>
    </w:p>
    <w:p>
      <w:pPr>
        <w:spacing w:after="0" w:line="1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 information on the impact of cybersecurity threats applicable to our business can be found in the Risk Factors section of this report under the heading “Operational and Security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2024, we owned 17 and leased 108 properties globally. Our real estate strategy includes developing centralized campus environments in strategic locations, including in Florida, Georgia, Nebraska, New Jersey, Wisconsin and Dublin, Ireland. These locations are used for operational, data center, sales, management and administrative purposes. As a normal part of our business operations, including in connection with the integration of companies that we acquire, we regularly review our real estate portfolio. We may choose to acquire or dispose of properties in order to maintain a real estate footprint designed to maximize collaboration, innovation and communication in ways that enable us to best serve our clients and to create more opportunities for professional growth and development for our associates.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our executive officers as of February 20, 2025, together with their ages, positions and business experience are described below:</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7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Age</w:t>
            </w: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4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1"/>
                <w:szCs w:val="21"/>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Chiarello</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Gibbons</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Head of Financial Institutions Group</w:t>
            </w:r>
          </w:p>
        </w:tc>
      </w:tr>
      <w:tr>
        <w:trPr>
          <w:trHeight w:val="23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Hau</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LaClair</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Head of Merchant Solutions</w:t>
            </w:r>
          </w:p>
        </w:tc>
      </w:tr>
      <w:tr>
        <w:trPr>
          <w:trHeight w:val="23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Lyons</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and CEO-Elect</w:t>
            </w: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L. Rosman</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0"/>
                <w:szCs w:val="20"/>
                <w:color w:val="auto"/>
              </w:rPr>
            </w:pPr>
          </w:p>
        </w:tc>
        <w:tc>
          <w:tcPr>
            <w:tcW w:w="4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Chief Administrative Officer and Chief Legal Officer</w:t>
            </w:r>
          </w:p>
        </w:tc>
      </w:tr>
    </w:tbl>
    <w:p>
      <w:pPr>
        <w:spacing w:after="0" w:line="23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Bisignano </w:t>
      </w:r>
      <w:r>
        <w:rPr>
          <w:rFonts w:ascii="Times New Roman" w:cs="Times New Roman" w:eastAsia="Times New Roman" w:hAnsi="Times New Roman"/>
          <w:sz w:val="18"/>
          <w:szCs w:val="18"/>
          <w:color w:val="auto"/>
        </w:rPr>
        <w:t>has served as Chairman of the Board since 2022, Chief Executive Officer since 2020 and a director since 2019. He served as President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to January 2025 and Chief Operating Officer from 2019 to 2020. Mr. Bisignano joined Fiserv as part of the acquisition of First Data Corporation in 2019, where he served as chief executive officer since 2013 and chairman since 2014. From 2005 to 2013, he held various executive positions with JPMorgan Chase &amp; Co., a global financial services firm, including co-chief operating officer, chief executive officer of mortgage banking and chief administrative officer. From 2002 to 2005, Mr. Bisignano served as chief executive officer for Citigroup’s Global Transactions Services business and a member of Citigroup’s Management Committee.</w:t>
      </w:r>
    </w:p>
    <w:p>
      <w:pPr>
        <w:spacing w:after="0" w:line="1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Chiarello </w:t>
      </w:r>
      <w:r>
        <w:rPr>
          <w:rFonts w:ascii="Times New Roman" w:cs="Times New Roman" w:eastAsia="Times New Roman" w:hAnsi="Times New Roman"/>
          <w:sz w:val="18"/>
          <w:szCs w:val="18"/>
          <w:color w:val="auto"/>
        </w:rPr>
        <w:t>has served as Chief Operating Officer since 2021 and previously served as Chief Administrative Officer from 2019 to 2021. Mr. Chiarello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joined Fiserv as part of the acquisition of First Data Corporation in 2019, where he served as president since 2013. From 2007 to 2013, he served as chief information officer of JPMorgan Chase &amp; Co., a global financial services firm. From 1985 to 2007, Mr. Chiarello served in various technology and leadership roles including chief information officer at Morgan Stanley, a global financial services firm.</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Gibbons </w:t>
      </w:r>
      <w:r>
        <w:rPr>
          <w:rFonts w:ascii="Times New Roman" w:cs="Times New Roman" w:eastAsia="Times New Roman" w:hAnsi="Times New Roman"/>
          <w:sz w:val="18"/>
          <w:szCs w:val="18"/>
          <w:color w:val="auto"/>
        </w:rPr>
        <w:t>has served as Head of the Financial Institutions Group since October 2023, and previously served as Co-Head of the Financial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March 2023 and Head of the Europe, Middle East, and Africa (EMEA) region since joining Fiserv in 2019 as a part of the acquisition of First Data Corporation, where he served as Head of the EMEA region since 2018. Before joining First Data Corporation, Mr. Gibbons led global transaction banking at Deutsche Bank, a global financial services firm, from 2016 to 2018, and served in various leadership roles at JPMorgan Chase &amp; Co., a global financial services firm, from 2011 to 2016, including as regional executive for EMEA and global head of banks and broker dealers for treasury services.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Hau </w:t>
      </w:r>
      <w:r>
        <w:rPr>
          <w:rFonts w:ascii="Times New Roman" w:cs="Times New Roman" w:eastAsia="Times New Roman" w:hAnsi="Times New Roman"/>
          <w:sz w:val="18"/>
          <w:szCs w:val="18"/>
          <w:color w:val="auto"/>
        </w:rPr>
        <w:t>has served as Chief Financial Officer since 2016. Before joining Fiserv, Mr. Hau served as executive vice president and chief financial officer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 Connectivity Ltd., a global technology and manufacturing company, from 2012 to 2016. From 2009 to 2012, he served as executive vice president and chief financial officer at Lennox International Inc., a provider of products and services in the heating, air conditioning, and refrigeration markets; and from 2006 to 2009, he served as vice president and chief financial officer for the aerospace business group of Honeywell International, Inc., a technology and manufacturing company.</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LaClair </w:t>
      </w:r>
      <w:r>
        <w:rPr>
          <w:rFonts w:ascii="Times New Roman" w:cs="Times New Roman" w:eastAsia="Times New Roman" w:hAnsi="Times New Roman"/>
          <w:sz w:val="18"/>
          <w:szCs w:val="18"/>
          <w:color w:val="auto"/>
        </w:rPr>
        <w:t>has served as Head of Merchant Solutions since January 2024 and previously served as Chief Revenue Officer since July 2023. Before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Fiserv, Ms. LaClair served as chief financial officer of Ally Financial, a digital-only bank and national retail auto lender, from 2017 to 2022. From 2007 to 2017, Ms. LaClair held multiple leadership roles at PNC Financial Services, including chief financial officer for all businesses spanning consumer, commercial and corporate banking, mortgage, and asset management, and head of PNC’s business bank, including merchant services. Prior to that, from 2001 to 2007, Ms. LaClair worked at McKinsey &amp; Company, where she was a strategy consultant and practice manager for the North America operations practice.</w:t>
      </w:r>
    </w:p>
    <w:p>
      <w:pPr>
        <w:spacing w:after="0" w:line="1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Lyons </w:t>
      </w:r>
      <w:r>
        <w:rPr>
          <w:rFonts w:ascii="Times New Roman" w:cs="Times New Roman" w:eastAsia="Times New Roman" w:hAnsi="Times New Roman"/>
          <w:sz w:val="18"/>
          <w:szCs w:val="18"/>
          <w:color w:val="auto"/>
        </w:rPr>
        <w:t>has served as President and CEO-Elect since January 2025. Before joining Fiserv, Mr. Lyons served as President of The PNC Financial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Inc. and its wholly owned subsidiary, PNC Bank, National Association, since February 2024. Prior to that role, he served as Executive Vice President and Head of Corporate and Institutional Banking at PNC from 2011 to February 2024. Prior to joining PNC, from 2010 until 2011, Mr. Lyons served as Head of Corporate Development and Strategic Planning for Bank of America.</w:t>
      </w:r>
    </w:p>
    <w:p>
      <w:pPr>
        <w:spacing w:after="0" w:line="126"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Mr. Rosman </w:t>
      </w:r>
      <w:r>
        <w:rPr>
          <w:rFonts w:ascii="Times New Roman" w:cs="Times New Roman" w:eastAsia="Times New Roman" w:hAnsi="Times New Roman"/>
          <w:sz w:val="18"/>
          <w:szCs w:val="18"/>
          <w:color w:val="auto"/>
        </w:rPr>
        <w:t>has served as Chief Administrative Officer and Chief Legal Officer since 2021. Before joining Fiserv, Mr. Rosman was general counsel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OneMain Financial, a consumer lender, from 2020 to 2021. Previously, he served as general counsel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First Data Corporation from 2014 to 2019. Before joining First Data Corporation, Mr. Rosman was group general counsel of Willis Group Holdings plc, a multinational risk advisor, insurance brokerage, and reinsurance brokerage company, from 2012 to 2014, and deputy general counsel from 2009 to 2012. Mr. Rosman also previously served as an assistant U.S. attorney and as deputy assistant to the president and deputy staff secretary for President William J. Clinton.</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Effective January 27, 2025, Michael P. Lyons was appointed President and CEO-elect of Fiserv. Mr. Lyons reports to Chief Executive Officer Frank J. Bisignano, who will continue in his current roles as Chairman and Chief Executive Officer until the earlier of Mr. Bisignano’s confirmation by the U.S. Senate as the Commissioner of Social Security Administration and June 30, 2025. Upon Mr. Bisignano’s departure, Mr. Lyons will become Chief Executive Officer of Fiserv and a member of the Fiserv Board of Directors.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“FI.” At December 31, 2024, our common stock was held by 1,479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Exchange Act of 1934) of shares of our common stock during the three months ended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4040" w:type="dxa"/>
            <w:vAlign w:val="bottom"/>
            <w:gridSpan w:val="2"/>
            <w:vMerge w:val="continue"/>
          </w:tcPr>
          <w:p>
            <w:pPr>
              <w:spacing w:after="0"/>
              <w:rPr>
                <w:sz w:val="17"/>
                <w:szCs w:val="17"/>
                <w:color w:val="auto"/>
              </w:rPr>
            </w:pP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2024</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2,155,547</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2,155,547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22,002,078</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1,810,500</w:t>
            </w:r>
          </w:p>
        </w:tc>
        <w:tc>
          <w:tcPr>
            <w:tcW w:w="178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20,191,578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2,156,806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2,156,806</w:t>
            </w:r>
          </w:p>
        </w:tc>
        <w:tc>
          <w:tcPr>
            <w:tcW w:w="17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18,034,772</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6,122,853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6,122,853</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right="160" w:hanging="328"/>
        <w:spacing w:after="0" w:line="22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February 19, 2025 and February 22, 2023, our board of directors authorized the purchase of up to 60.0 million and 75.0 million shares of our common stock, respectively. These authorizations do not expire.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stock for the five years ended December 31, 2024 with the S&amp;P 500 Index and the S&amp;P 500 Financials Index. The graph assumes that $100 was invested on December 31, 2019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368935</wp:posOffset>
            </wp:positionV>
            <wp:extent cx="5572125" cy="4029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212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Fiserv, Inc.</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Financials Index</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Effective in the first quarter of 2024, we realigned our reportable segments to correspond with changes in our business designed to further enhance operational performance in the delivery of our integrated portfolio of products and solutions to our financial institution clients (the “Segment Realignment”). Our new reportable segments are the Merchant Solutions (“Merchant”) segment and the Financial Solutions (“Financial”) segment. Segment results for the years ended December 31, 2023 and 2022 have been recast to reflect the Segment Realignment.</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This section generally discusses information and results pertaining to the years ended December 31, 2024 and 2023. Information and discussion of results pertaining to the year ended December 31, 2022 not included herein can be found in Part II,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of our Annual Report on Form 10-K for fiscal year 2023, filed with the Securities and Exchange Commission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22, 2024. Our discussion is organized as follows:</w:t>
      </w:r>
    </w:p>
    <w:p>
      <w:pPr>
        <w:spacing w:after="0" w:line="124" w:lineRule="exact"/>
        <w:rPr>
          <w:sz w:val="20"/>
          <w:szCs w:val="20"/>
          <w:color w:val="auto"/>
        </w:rPr>
      </w:pPr>
    </w:p>
    <w:p>
      <w:pPr>
        <w:ind w:left="980" w:right="360" w:hanging="486"/>
        <w:spacing w:after="0" w:line="267"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our enterprise priorities, and the trends affecting our industry in order to provide context for management’s discussion and analysis of our financial condition and results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980" w:right="180" w:hanging="486"/>
        <w:spacing w:after="0" w:line="267" w:lineRule="auto"/>
        <w:tabs>
          <w:tab w:leader="none" w:pos="97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contains a discussion of the accounting policies that we believe are important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results of operations and that require judgment and estimates on the part of management in their application. Our critical accounting policies are also summarized in Note 1 to the accompanying consolidated financial statements.</w:t>
      </w:r>
    </w:p>
    <w:p>
      <w:pPr>
        <w:spacing w:after="0" w:line="119" w:lineRule="exact"/>
        <w:rPr>
          <w:rFonts w:ascii="Times New Roman" w:cs="Times New Roman" w:eastAsia="Times New Roman" w:hAnsi="Times New Roman"/>
          <w:sz w:val="18"/>
          <w:szCs w:val="18"/>
          <w:b w:val="1"/>
          <w:bCs w:val="1"/>
          <w:color w:val="auto"/>
        </w:rPr>
      </w:pPr>
    </w:p>
    <w:p>
      <w:pPr>
        <w:ind w:left="980" w:right="80" w:hanging="486"/>
        <w:spacing w:after="0" w:line="261"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This section contains an analysis of our results of operations presented in the accompanying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by comparing the consolidated and segment results for the year ended December 31, 2024 to the consolidated and segment results for the year ended December 31, 2023. Due to the Segment Realignment, this section also compares segment results for the year ended December 31, 2023 to the segment results for the year ended December 31, 2022.</w:t>
      </w:r>
    </w:p>
    <w:p>
      <w:pPr>
        <w:spacing w:after="0" w:line="125" w:lineRule="exact"/>
        <w:rPr>
          <w:rFonts w:ascii="Times New Roman" w:cs="Times New Roman" w:eastAsia="Times New Roman" w:hAnsi="Times New Roman"/>
          <w:sz w:val="18"/>
          <w:szCs w:val="18"/>
          <w:color w:val="auto"/>
        </w:rPr>
      </w:pPr>
    </w:p>
    <w:p>
      <w:pPr>
        <w:ind w:left="980" w:right="1020" w:hanging="486"/>
        <w:spacing w:after="0" w:line="284"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an analysis of our cash flows and a discussion of our outstanding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at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Background</w:t>
      </w:r>
    </w:p>
    <w:p>
      <w:pPr>
        <w:spacing w:after="0" w:line="17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aggregated within the Merchant segment consist of the following:</w:t>
      </w:r>
    </w:p>
    <w:p>
      <w:pPr>
        <w:spacing w:after="0" w:line="122" w:lineRule="exact"/>
        <w:rPr>
          <w:sz w:val="20"/>
          <w:szCs w:val="20"/>
          <w:color w:val="auto"/>
        </w:rPr>
      </w:pPr>
    </w:p>
    <w:p>
      <w:pPr>
        <w:ind w:left="980" w:right="140" w:hanging="486"/>
        <w:spacing w:after="0" w:line="230" w:lineRule="auto"/>
        <w:tabs>
          <w:tab w:leader="none" w:pos="97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management platform for small business clients</w:t>
      </w:r>
    </w:p>
    <w:p>
      <w:pPr>
        <w:spacing w:after="0" w:line="143" w:lineRule="exact"/>
        <w:rPr>
          <w:rFonts w:ascii="Times New Roman" w:cs="Times New Roman" w:eastAsia="Times New Roman" w:hAnsi="Times New Roman"/>
          <w:sz w:val="18"/>
          <w:szCs w:val="18"/>
          <w:i w:val="1"/>
          <w:iCs w:val="1"/>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171" w:lineRule="exact"/>
        <w:rPr>
          <w:rFonts w:ascii="Times New Roman" w:cs="Times New Roman" w:eastAsia="Times New Roman" w:hAnsi="Times New Roman"/>
          <w:sz w:val="18"/>
          <w:szCs w:val="18"/>
          <w:i w:val="1"/>
          <w:iCs w:val="1"/>
          <w:color w:val="auto"/>
        </w:rPr>
      </w:pPr>
    </w:p>
    <w:p>
      <w:pPr>
        <w:ind w:left="980" w:right="760" w:hanging="486"/>
        <w:spacing w:after="0" w:line="284" w:lineRule="auto"/>
        <w:tabs>
          <w:tab w:leader="none" w:pos="97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merchants</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our Merchant segment businesses through a variety of channels, including direct sales teams, strategic partnerships with agent sales forces, ISV’s,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6" w:lineRule="exact"/>
        <w:rPr>
          <w:sz w:val="20"/>
          <w:szCs w:val="20"/>
          <w:color w:val="auto"/>
        </w:rPr>
      </w:pPr>
    </w:p>
    <w:p>
      <w:pPr>
        <w:ind w:left="980" w:right="420" w:hanging="486"/>
        <w:spacing w:after="0" w:line="284" w:lineRule="auto"/>
        <w:tabs>
          <w:tab w:leader="none" w:pos="97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person-to-person payments; and account-to-account transfers</w:t>
      </w:r>
    </w:p>
    <w:p>
      <w:pPr>
        <w:spacing w:after="0" w:line="104" w:lineRule="exact"/>
        <w:rPr>
          <w:rFonts w:ascii="Times New Roman" w:cs="Times New Roman" w:eastAsia="Times New Roman" w:hAnsi="Times New Roman"/>
          <w:sz w:val="18"/>
          <w:szCs w:val="18"/>
          <w:i w:val="1"/>
          <w:iCs w:val="1"/>
          <w:color w:val="auto"/>
        </w:rPr>
      </w:pPr>
    </w:p>
    <w:p>
      <w:pPr>
        <w:ind w:left="980" w:right="400" w:hanging="486"/>
        <w:spacing w:after="0" w:line="284" w:lineRule="auto"/>
        <w:tabs>
          <w:tab w:leader="none" w:pos="97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processing; and student loan processing</w:t>
      </w:r>
    </w:p>
    <w:p>
      <w:pPr>
        <w:spacing w:after="0" w:line="104" w:lineRule="exact"/>
        <w:rPr>
          <w:rFonts w:ascii="Times New Roman" w:cs="Times New Roman" w:eastAsia="Times New Roman" w:hAnsi="Times New Roman"/>
          <w:sz w:val="18"/>
          <w:szCs w:val="18"/>
          <w:i w:val="1"/>
          <w:iCs w:val="1"/>
          <w:color w:val="auto"/>
        </w:rPr>
      </w:pPr>
    </w:p>
    <w:p>
      <w:pPr>
        <w:ind w:left="980" w:right="120" w:hanging="486"/>
        <w:spacing w:after="0" w:line="284" w:lineRule="auto"/>
        <w:tabs>
          <w:tab w:leader="none" w:pos="97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Dispositions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and divested businesses are included in our consolidated results from the respective dates of acquisition and through the respective dates of disposition.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9, 2023, we acquired Skytef Solucões em Captura de Transações Ltda (“Skytef”), a distributor for ISV partners and merchants of our Electronic Funds Transfer payments software. Skytef is included within the Merchant segment and expands our distribution network and POS applications. On November 1, 2023, we acquired Sled S.A. (“Sled”), a provider of instant payment solutions. Sled is included within the Merchant segment and expands our direct payment service capabilities. We acquired these businesses in Latin America for an aggregate purchase price, including hold-backs, of $17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2024, we entered into definitive agreements to acquire CCV Group B.V. (“CCV”) and Payfare Inc. (“Payfare”). CCV is a supplier of POS payment solutions. Upon the closing of this acquisition, which is subject to regulatory approval and customary closing conditions, CCV will be included within the Merchant segment and is expected to expand our network of payment solutions. Payfare is a provider of program management solutions powering instant access to earnings and banking solutions for workforces. Upon the closing of this acquisition, which is subject to shareholder and court approvals and customary closing conditions, Payfare will be included within the Financial segment and is expected to expand our embedded finance capabilities. We expect these acquisitions, for an aggregate purchase price of approximately $360 million, to close in the first quarter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 of Businesses</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July 25, 2023, we sold our financial reconciliation business, which was reported within the Financial segment, for cash proceeds of $235 million. We recognized a pre-tax gain of $172 million on the sale during the year ended December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with a notice of non-renewal for the Wells Fargo Merchant Services merchant alliance (“WFMS”), which is accounted for as an equity method investment. With the joint venture expected to expire on April 1, 2025, we expect to receive a cash payment equal to the fair value of our 40% ownership interest of WFMS as determined in accordance with an agreed upon contractual valuation and separation process. During the year ended December 31, 2024, we recorded a $595 million non-cash impairment as a result of an other-than-temporary decline in the fair value of our equity method investment in WFMS. In connection with the expiration of WFMS, we entered into a multi-year agreement with Wells Fargo to provide processing for current and future merchant clients as well as other services to Wells Fargo’s merchant business.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25, 2023, we acquired the remaining 49% ownership interest in European Merchant Services B.V., a Netherlands-based merchant acceptance business, for $56 million. We previously held a majority controlling financial interest in this subsidiary, which continues to be consolidated and reported within the Merchant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Priorities</w:t>
      </w:r>
    </w:p>
    <w:p>
      <w:pPr>
        <w:spacing w:after="0" w:line="17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investing for organic growth 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want.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Market Conditions</w:t>
      </w:r>
    </w:p>
    <w:p>
      <w:pPr>
        <w:spacing w:after="0" w:line="17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the effects of international hostilities, political conditions, and regulations restricting trade or impacting our ability to offer products or services, could have a material adverse effect on our business, results of operations and financial condition. Personal consumption and consumer savings growth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Sterling,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foreign exchange rate environment and may enter into derivative instruments and utilize other non-derivative hedging instruments with creditworthy institutions in an effort to manage these risks.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operations of our Argentina subsidiary have experienced higher interest rates and inflation relative to historical averages. The potential benefits of higher transitory revenue from above-average interest and inflation may be offset in whole or in part by, or may be less than, foreign currency exchange losses related to a significant devaluation of the Argentine Peso.</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discussion of risks and potential challenges applicable to our business, results of operations and financial condition, see “Part I. Item 1A. Risk Factors.” For management’s assessment of market risks, including interest rate and foreign currency risks, see “Part II. 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 Additional information regarding our acquisitions of businesses is included in Note 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review the carrying value of goodwill for impairment annually, or more frequently if events or circumstances indicate the carrying value may not be recoverable. Goodwill is tested for impairment at a reporting unit level, which is one level below our operating segments. When reviewing goodwill for impairment, we consider the prior test’s amount of excess fair value over the carrying value of each reporting unit, the period of time since a reporting unit’s last quantitative test, the extent a reorganization or disposition changes the composition of one or more of our reporting units, and other factors to determine whether or not to first perform a qualitative test. When performing a qualitative test, we assess numerous factors to determine whether it is more likely than not that the fair value of our reporting units are less than their respective carrying values. Examples of qualitative factors that we assess include our share price, our financial performance, market and competitive factors in our industry and other events specific to our reporting units. If we conclude that it is more likely than not that the fair value of a reporting unit is less than its carrying value, we perform a quantitative impairment test.</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compares the estimated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using both a discounted cash flow analysis and a market approach.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Segment Realignment, certain of our reporting units changed in composition as a result of which goodwill was allocated to such reporting units using a relative fair value approach. Our most recent annual impairment assessment of our reporting units in the fourth quarter of 2024 determined that our goodwill of $36.6 billion was not impaired as the estimated fair values of each of the respective reporting units exceeded their carrying values. The excess of the estimated fair value over carrying value for our lowest reporting unit, which maintains a goodwill balance of $1.3 billion, was 29%. The fair value for each of our other reporting units exceeds their respective carrying value by at least 40%. However, if future operating performance is below our expectations or there are material changes to forecasted revenue growth rates or operating margins, risk-adjusted discount rates, foreign currency exchange rates, effective income tax rates, or some combination thereof, a decline in the fair value of the reporting units could result in, and we may be required to record, a goodwill impairment charge. It is also reasonably possible that future developments related to the interest rate environment, a shift in strategic initiatives, or significant changes in the composition of certain of our reporting units could have a future material impact on one or more of the estimates and assumptions used to evaluate goodwill impairment. We have no accumulated goodwill impairment through December 31, 2024. Additional information regarding our goodwill is included in Note 7 to the consolidated financial statements.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review intangible assets for impairment whenever events or changes in circumstances indicate the carrying amount of the asset may not be recoverable. We review capitalized software development costs for impairment at each reporting date. Recoverability of intangible assets is assessed by comparing the carrying amount of the asset to either the undiscounted future cash flows expected to be generated by the asset or the net realizable value of the asset, depending on the type of asset. Determining future cash flows and net realizable values involves judgment and the use of significant estimates and assumptions regarding future economic and market conditions. Measurement of any impairment loss is based on estimated fair value. Additional information regarding our intangible assets is included in Note 6 to the consolidated financial statements. Given the significance of our goodwill and intangible asset balances, an adverse change in fair value could result in an impairment charge, which could be material to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any amounts collected on behalf of third parties. As a practical expedient, we do not adjust the transaction price for the effects of a significant financing component if, at contract inception, the period between customer payment and the transfer of goods or services is expected to be one year or less. Contracts with customers are evaluated on a contract-by-contract basis as contracts may include multiple types of goods and services as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processing and services revenue in the period in which the specific service is performed unless they are not deemed distinct from other goods or services, which revenue would then be recognized as control is transferred of the combined goods and services. Our arrangements for processing and services typically consist of an obligation to provide specific services to our customers on a when- and if-needed basis (a stand-ready performance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fixed or monthly minimum processing fees. Fees for our processing and services arrangements are typically billed and paid on a monthly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Product revenue is generated from print and card production sales, as well as software license and hardware (primarily POS devices)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We sell or lease hardware (POS devices) and other peripherals as part of our contracts with customers. Hardware typically consists of terminals or Clover devices. We do not manufacture hardware, rather we purchase hardware from third-party vendors and hold such hardware in inventory until purchased by a customer. We account for the sale of distinct hardware as a separate performance obligation and recognize the revenue at the standalone selling price when the customer obtains control of the hardware.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use the following methods, inputs and assumptions in determining amounts of revenue to recognize. For multi-element arrangements, we account for individual goods or services as a separate performance obligation if they are distinct, if the good or service is separately identifiable from other items in the arrangement, and if a customer can benefit from the good or service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we obtain control of goods and services prior to their transfer to a customer.</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products or services to the customer. We include any fixed charges within our contracts as part of the total transaction price. To the extent that variable consideration is not constrained, we include an estimate of the variable amount, as appropriate, within the total transaction price and update our assumptions over the duration of the contract. We may constrain the estimated transaction price in the event of a high degree of uncertainty as to the final consideration amount owed. The transaction price (including any discounts or rebates) is allocated between distinct goods and services in a multi-element arrangement based on their relative standalone selling prices. For items that are not sold separately, we estimate the standalone selling prices using available information such as market conditions and internally approved pricing guidelines. Judgment may be required to determine standalone selling prices for each performance obligation and whether it depicts the amount we expect to receive in exchange for the related good or service.</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recognition for each identified performance obligation. Additional information regarding our revenue recognition policies is included in Note 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determination of our provision for income taxes requires management’s judgment in the use of estimates and the interpretation and application of complex tax laws, including certain complexities attributed to our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benefit with respect to a tax position is recognized only when it is more likely than not to be sustained upon examination by the relevant taxing authority, based on its technical merits, considering the facts and circumstances available as of the reporting date. The amount of tax benefit recognized reflects the largest benefit that we believe is more likely than not to be realized on settlement with the relevant taxing authority. As additional information becomes available, we evaluate our tax positions and appropriately adjust our liability for known tax exposures.</w:t>
      </w:r>
    </w:p>
    <w:p>
      <w:pPr>
        <w:spacing w:after="0" w:line="13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In making this determination, we have considered the relative impact of all of the available positive and negative evidence regarding future sources of taxable income and available tax planning strategies. However, there could be a significant impact to our effective income tax rate in the event there is a significant change in our judgment. To the extent our judgment changes, the valuation allowances are then adjusted as appropriate, generally through the provision for income taxes, in the period in which the change in facts and circumstances occurs. Additional information regarding our income taxes is included in Note 17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Revenue and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describes the components of revenue and expenses as presented in our consolidated statements of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Processing and services revenue, which comprised 81% of our total revenue in 2024, is primarily generated from account- and transaction-based fees under multi-year contracts. Processing and services revenue is most reflective of our business performance as a significant amount of our total operating profit is generated from these services. Cost of processing and services consists of costs directly associated with providing services to clients and includes the following: personnel; equipment and data processing; facility costs, including costs to maintain software applications; client support; certain depreciation and amortization; and other operating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Product revenue, which comprised 19% of our total revenue in 2024, is derived from print and card production sales, as well as software license and hardware (primarily POS devices) sales. Cost of product consists of costs directly associated with the products sold and includes the following: costs of materials and postage; hardware costs (primarily POS devices); personnel; facility costs; certain depreciation and amortization; and other costs directly associated with product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wages, commissions and related expenses paid to sales personnel, administrative employees and management; third-party commissions and payments to distribution partners; marketing costs; certain depreciation and amortization; and other selling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consolidated financial statements and accompanying notes. The financial results presented below have been affected by acquisitions, dispositions, non-cash impairment charges, and foreign currency fluctuations. Segment results for the years ended December 31, 2023 and 2022 have been recast to reflect the Segment Realignment.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Percentage of Revenue </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4"/>
                <w:szCs w:val="24"/>
                <w:color w:val="auto"/>
              </w:rPr>
            </w:pPr>
          </w:p>
        </w:tc>
        <w:tc>
          <w:tcPr>
            <w:tcW w:w="2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196"/>
        </w:trPr>
        <w:tc>
          <w:tcPr>
            <w:tcW w:w="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9"/>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Pr>
          <w:p>
            <w:pPr>
              <w:spacing w:after="0"/>
              <w:rPr>
                <w:sz w:val="19"/>
                <w:szCs w:val="19"/>
                <w:color w:val="auto"/>
              </w:rPr>
            </w:pPr>
          </w:p>
        </w:tc>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155"/>
        </w:trPr>
        <w:tc>
          <w:tcPr>
            <w:tcW w:w="20" w:type="dxa"/>
            <w:vAlign w:val="bottom"/>
            <w:shd w:val="clear" w:color="auto" w:fill="CCEEFF"/>
          </w:tcPr>
          <w:p>
            <w:pPr>
              <w:spacing w:after="0"/>
              <w:rPr>
                <w:sz w:val="13"/>
                <w:szCs w:val="13"/>
                <w:color w:val="auto"/>
              </w:rPr>
            </w:pPr>
          </w:p>
        </w:tc>
        <w:tc>
          <w:tcPr>
            <w:tcW w:w="38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 and redeemable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60" w:right="260" w:hanging="328"/>
        <w:spacing w:after="0" w:line="225"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Percentage of Revenue </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24"/>
                <w:szCs w:val="24"/>
                <w:color w:val="auto"/>
              </w:rPr>
            </w:pPr>
          </w:p>
        </w:tc>
        <w:tc>
          <w:tcPr>
            <w:tcW w:w="21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196"/>
        </w:trPr>
        <w:tc>
          <w:tcPr>
            <w:tcW w:w="2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Processing and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9"/>
        </w:trPr>
        <w:tc>
          <w:tcPr>
            <w:tcW w:w="2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20" w:type="dxa"/>
            <w:vAlign w:val="bottom"/>
          </w:tcPr>
          <w:p>
            <w:pPr>
              <w:spacing w:after="0"/>
              <w:rPr>
                <w:sz w:val="19"/>
                <w:szCs w:val="19"/>
                <w:color w:val="auto"/>
              </w:rPr>
            </w:pPr>
          </w:p>
        </w:tc>
        <w:tc>
          <w:tcPr>
            <w:tcW w:w="3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156"/>
        </w:trPr>
        <w:tc>
          <w:tcPr>
            <w:tcW w:w="20" w:type="dxa"/>
            <w:vAlign w:val="bottom"/>
            <w:shd w:val="clear" w:color="auto" w:fill="CCEEFF"/>
          </w:tcPr>
          <w:p>
            <w:pPr>
              <w:spacing w:after="0"/>
              <w:rPr>
                <w:sz w:val="13"/>
                <w:szCs w:val="13"/>
                <w:color w:val="auto"/>
              </w:rPr>
            </w:pPr>
          </w:p>
        </w:tc>
        <w:tc>
          <w:tcPr>
            <w:tcW w:w="388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(Loss) income from investments in unconsolidated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 and redeemable 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260" w:hanging="328"/>
        <w:spacing w:after="0" w:line="225"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5"/>
                <w:szCs w:val="15"/>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bps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bps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bps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bps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revenue increased $1,363 million, or 7%, in 2024 compared to 2023. The revenue increase in 2024 was primarily driven by higher global processing revenue across our businesses, partially offset by a 8% decrease due to foreign currency exchange rate fluctuations.</w:t>
      </w:r>
    </w:p>
    <w:p>
      <w:pPr>
        <w:spacing w:after="0" w:line="10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Revenue in our Merchant segment increased $909 million, or 10%, in 2024 compared to 2023 and increased $839 million, or 11%, in 2023 compared to 2022. Small Business contributed 8% and 9% to Merchant segment revenue growth in 2024 and 2023, respectively, driven by an increase in payment volumes in both 2024 and 2023, partially offset by foreign currency exchange rate fluctuations. Small Business revenue growth also included payment volume growth and increased hardware offerings from our Clover POS and business management platform, and the expansion of our merchant relationships through value-added services. Additionally, Enterprise contributed 3% and 2% to Merchant segment revenue growth in 2024 and 2023, respectively, primarily driven by transaction growth in both 2024 and 2023, as well as new clients wins in 2024. Processing partially offset Merchant segment revenue growth in 2024.</w:t>
      </w:r>
    </w:p>
    <w:p>
      <w:pPr>
        <w:spacing w:after="0" w:line="13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Revenue in our Financial segment increased $376 million, or 4%, in 2024 compared to 2023 and increased $420 million, or 5%, in 2023 compared to 2022. Digital Payments contributed 2% and 3% to Financial segment revenue growth in 2024 and 2023, respectively, driven by an increase in transaction volume, including growth in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transactions, in both years. Digital Payments revenue growth in 2024 also benefited from transaction growth on our network routing services. Issuing contributed 1% and 2% to Financial segment growth in 2024 and 2023, respectively, primarily driven by an increase in active accounts in both years. Banking contributed 1% to Financial segment revenue growth in 2024.</w:t>
      </w:r>
    </w:p>
    <w:p>
      <w:pPr>
        <w:spacing w:after="0" w:line="1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$78 million, or 6%, in 2024 compared to 2023 and increased $97 million, or 8%, in 2023 compared to 2022 due to increased postage revenue in both 2024 and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Total expenses increased $498 million, or 4%, in 2024 compared to 2023 and total expenses as a percentage of total revenue decreased 240 basis points to 71.3% in 2024 compared to 2023. Total expenses as a percentage of total revenue were favorably impacted in 2024 by operating leverage across our various businesses, as well as a reduction in amortization of acquisition-related intangible assets of approximately 100 basis points. Total expenses as a percentage of total revenue were favorably impacted in 2023 by a $172 million pre-tax gain on the sale of our financial reconciliation business.</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32.2% in 2024 compared to 34.1% in 2023. Cost of processing and services as a percentage of processing and services revenue was favorably impacted in 2024 by strong operating leverage accompanying scalable revenue growth.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Cost of product as a percentage of product revenue increased to 69.4% in 2024 compared to 67.5% in 2023. Cost of product as a percentage of product revenue in 2024 was impacted by revenue mix, including an increase in postage revenue.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32.1% in 2024 compared to 34.4% in 2023. Selling, general and administrative expenses as a percentage of total revenue in 2024 was favorably impacted by a reduction in amortization of acquisition-related intangible assets of approximately 80 basis points, as well as expense management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operating income increased $865 million, or 17%, in 2024 compared to 2023 and total operating margin increased 240 basis points to 28.7%. Total operating income and total operating margin in 2024 benefited from scalable revenue growth and productivity. Total operating margin in 2023 was favorably impacted by a $172 million pre-tax gain on the sale of our financial reconciliation business.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income in our Merchant segment increased $587 million, or 20%, in 2024 compared to 2023 and increased $533 million, or 22%, in 2023 compared to 2022. Operating margin increased 290 basis points to 37.0% in 2024 compared to 2023 and increased 310 basis points to 34.1% in 2023 compared to 2022. Operating income and operating margin growth in our Merchant segment were primarily due to operating leverage and productivity in both 2024 and 2023.</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increased $307 million, or 7%, in 2024 compared to 2023 and increased $372 million, or 10%, in 2023 compared to 2022. Operating margin increased 140 basis points to 47.3% in 2024 compared to 2023 and increased 210 basis points to 45.9% in 2023 compared to 2022. Operating income and operating margin growth in our Financial segment were primarily due to operating leverage and scalable revenue growth in both 2024 and 2023, as well as favorable vendor spend in 2024.</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operating loss in Corporate and Other increased $29 million in 2024 compared to 2023 and decreased $369 million in 2023 compared to 2022. The operating loss in 2023 was favorably impacted by a reduction of $191 million and $135 million in amortization of acquisition related intangible assets and severance costs, respectively, compared to 2022. The operating loss in 2023 also included a $172 million pre-tax gain on the sale of our financial reconciliation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increased $219 million, or 22%, in 2024 compared to 2023 due to higher fixed rate outstanding borrowings associated with our public offering and issuance of $2.0 billion and $1.75 billion of senior notes in March 2024 and August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Other expense, net increased $38 million in 2024 compared to 2023. Other expense, net includes the remeasurement of monetary assets and liabilities for subsidiaries located in highly inflationary economies, gains or losses from a sale or change in fair value of investments in certain equity securities, and amounts related to debt guarantee arrangements of certain joint ventures. Other expense, net in 2024 also included a $147 million non-cash settlement charge associated with the terminations of certain defined benefit pension plans, as well as $29 million related to gains on the sale and remeasurement of certain equity securities. The remeasurement of monetary assets and liabilities for subsidiaries located in highly inflationary economies, including Argentina, resulted in foreign currency exchange losses of $98 million and $164 million during the years ended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14.2% and 19.3% in 2024 and 2023, respectively. The effective income tax rate as a percentage of income before income taxes and loss from investments in unconsolidated affiliates in 2024 included a deferred tax benefit recorded within the income tax provision associated with a non-cash impairment of certain equity method investments, primarily related to WFMS, recorded within loss from investments in unconsolidated affiliates. The effective income tax rate as a percentage of income before income taxes and loss from investments in unconsolidated affiliates in 2024 also included benefits associated with transferable federal tax credits, resulting in a lower effective income tax 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Investments in Unconsolidated Affiliates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share of net loss from unconsolidated affiliates accounted for using the equity method is reported as loss from investments in unconsolidated affiliates, and the related tax benefit is reported within the income tax provision in the consolidated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statements of income. Loss from investments in unconsolidated affiliates, including acquired intangible asset amortization from valuations in purchase accounting, was $685 million and $15 million in 2024 and 2023, respectively. Loss from investments in unconsolidated affiliates in 2024 included a $595 million non-cash impairment related to the Wells Fargo Merchant Services merchant alliance.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$49 million and $61 million in 2024 and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$5.38 and $4.98 in 2024 and 2023, respectively. In addition to the impacts to net income attributable to Fiserv, Inc. described above, our diluted weighted average outstanding shares were reduced by 5% in 2024 compared to 2023, due to our share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$1.2 billion, proceeds from the issuance of U.S. dollar and Euro commercial paper, and available capacity under our revolving credit facility of $2.8 billion (net of outstanding revolver borrowings and $3.2 billion of capacity designated for outstanding borrowings under our commercial paper programs, senior notes due in the next twelve months and letters of credit) at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1"/>
                <w:szCs w:val="21"/>
                <w:color w:val="auto"/>
              </w:rPr>
            </w:pPr>
          </w:p>
        </w:tc>
        <w:tc>
          <w:tcPr>
            <w:tcW w:w="2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settlement charge for terminated pension plans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Our operating cash flow was $6.6 billion in 2024, an increase of 28% compared with $5.2 billion in 2023. This increase was primarily attributable to increased profitability (excluding the non-cash settlement charge for terminated pension plans and non-cash impairments included within loss from investments in unconsolidated affiliates), and corresponding cash flows, along with working capital improvements associated with receivables and payables.</w:t>
      </w:r>
    </w:p>
    <w:p>
      <w:pPr>
        <w:spacing w:after="0" w:line="12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cash advances, share repurchases, acquisitions and to repay debt rather than to pay dividends. Net merchant cash advances, primarily associated with our operations in Latin America, were $801 million during 2024. These cash advances are funded through a combination of local operating cash and various short-term lines of credit. Our capital expenditures were approximately 8% and 7% of our total revenue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future cash requirements under certain contractual obligations at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1 year</w:t>
            </w: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Long-term debt, including interest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Minimum finance lease payments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Minimum operating lease payments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1"/>
                <w:szCs w:val="21"/>
                <w:color w:val="auto"/>
                <w:vertAlign w:val="superscript"/>
              </w:rPr>
              <w:t>(1) (3)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Unrecognized income tax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finance lease, operating lease and purchase obligations are reported on a pre-tax basis.</w:t>
      </w:r>
    </w:p>
    <w:p>
      <w:pPr>
        <w:spacing w:after="0" w:line="50" w:lineRule="exact"/>
        <w:rPr>
          <w:rFonts w:ascii="Times New Roman" w:cs="Times New Roman" w:eastAsia="Times New Roman" w:hAnsi="Times New Roman"/>
          <w:sz w:val="21"/>
          <w:szCs w:val="21"/>
          <w:color w:val="auto"/>
          <w:vertAlign w:val="superscript"/>
        </w:rPr>
      </w:pPr>
    </w:p>
    <w:p>
      <w:pPr>
        <w:ind w:left="660" w:right="20" w:hanging="328"/>
        <w:spacing w:after="0" w:line="233"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calculations assume that only mandatory debt repayments are made, no additional refinancing or lending occurs, except for our 3.850% senior notes due in June 2025 and 2.250% senior notes due in July 2025, and U.S. dollar and Euro commercial paper notes programs as we have the intent to refinance this debt on a long-term basis through the issuance of new commercial paper notes upon maturity, and we have the ability to do so under our revolving credit facility maturing in June 2027. The variable rate on the revolving credit facility is priced at the rate in effect at December 31, 2024.</w:t>
      </w:r>
    </w:p>
    <w:p>
      <w:pPr>
        <w:spacing w:after="0" w:line="17"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enforceable and legally binding agreements to purchase goods or services based on signed contracts as of December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5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repurchased $5.5 billion of our common stock during the year ended December 31, 2024. In August 2023, we repurchased 4.1 million shares of our common stock for $121.98 per share in a privately negotiated transaction with ValueAct Capital Master Fund, L.P. for an aggregate purchase price of $500 million. Including this transaction, we repurchased $4.7 billion of our common stock in 2023.</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19, 2025 and February 22, 2023, our board of directors authorized the purchase of up to 60.0 million and 75.0 million shares of our common stock, respectively. As of December 31, 2024, we had approximately 18.0 million shares remaining under our existing repurchase authorization. Shares repurchased are generally held for issuance in connection with our equity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acquired Skytef in October 2023 and Sled in November 2023 for an aggregate purchase price, including hold-backs, of $17 million. We funded these acquisitions by utilizing available cash. The results of operations for these acquired businesses are included in our consolidated results from the respective dates of acquisition.</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2024, we entered into definitive agreements to acquire CCV and Payfare, which are expected to close in the first quarter of 2025, for an estimated aggregate purchase price of $360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 of Businesses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sold our financial reconciliation business in July 2023 for cash proceeds of $235 million. Net proceeds from the sale were primarily used to pay down indebtedness and repurchase shares of our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third quarter of 2024, Wells Fargo provided us with a notice of non-renewal for WFMS. With the joint venture expected to expire on April 1, 2025, we expect to receive a cash payment equal to the fair value of our 40% ownership interest of WFMS as determined in accordance with an agreed upon contractual valuation and separation process.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September 2023, we acquired the remaining 49% ownership interest in European Merchant Services B.V., in which we previously held a majority controlling financial interest in this consolidated subsidiary, for $56 million. We funded this transaction by utilizing a combination of available cash and proceeds from the issuance of commercial paper.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6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we completed the public offering and issuance of $1.75 billion of senior notes, comprised of $850 million aggregate principal amount of 4.750% senior notes due in March 2030 and $900 million aggregate principal amount of 5.150% senior notes due in August 2034.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in July 2024, the repayment of a portion of our 2.750% senior notes.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August 2023, we completed the public offering and issuance of $2.0 billion of senior notes, comprised of $700 million aggregate principal amount of 5.375% senior notes due in August 2028 and $1.3 billion aggregate principal amount of 5.625% senior notes due in August 2033. In May 2023, we completed the public offering and issuance of 800 million Euros aggregate principal amount of 4.500% senior notes due in May 2031. In March 2023, we completed the public offering and issuance of $1.8 billion of senior notes, comprised of $900 million aggregate principal amount of 5.450% senior notes due in March 2028 and $900 million aggregate principal amount of 5.600% senior notes due in March 2033. We used the net proceeds from these senior notes offerings for general corporate purposes, including the repayment of U.S. dollar commercial paper notes, share repurchases, the repayment of the 0.375% Euro-denominated senior notes in July 2023 and the repayment of the 3.800% senior notes in October 2023.</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December 31, 2024, our debt consisted primarily of $21.6 billion of fixed-rate senior notes and $1.5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December 31, 2024, the 3.850% senior notes due in June 2025 and 2.250% senior notes due in July 2025 were classified in the consolidated balance sheet as long-term, as we have the intent to refinance this debt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December 31, 2024: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2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31.695%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4.534%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3.115%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20" w:type="dxa"/>
            <w:vAlign w:val="bottom"/>
            <w:tcBorders>
              <w:bottom w:val="single" w:sz="8" w:color="CCEEFF"/>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5.440%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12.856%</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our foreign lines of credit and other borrowing arrangements by country at December 31,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12.976 %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9.766 %</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3.984 %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offer advanced funding of settlement activity associated with operations in Latin America by utilizing local operating cash and various short-term lines of credit. Net merchant cash advances during 2024 were $801 million. As we collect a portion of the corresponding receivables from card issuers over several months, in the event we are unable to continue to borrow in the Argentina overnight market, we may fund future advances with our consolidated cash and cash equivalents and available capacity under our revolving credit facility.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also maintain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our long-term debt rating. Outstanding borrowings under the revolving credit facility were $115 million at December 31, 2024. We are required to pay a facility fee based on the aggregate commitments in effect under the credit agreement from time to time.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 and Compliance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Guarantees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$421 million in senior unsecured debt at December 31, 2024 and variable-rate revolving credit facilities with an aggregate borrowing capacity of $83 million with a syndicate of banks, which mature in April 2027. There were $35 million of outstanding borrowings on the revolving credit facilities at December 31, 2024. We have guaranteed the debt of the Lending Joint Ventures. We maintained a liability of $21 million at December 31, 2024 for the estimated fair value of our non-contingent obligations to stand ready to perform over the term of the guarantee arrangements. Such guarantees will be amortized in future periods over the contractual term of the debt. In addition, we maintained a contingent liability of $15 million at December 31, 2024,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Access to capital markets impacts our cost of capital and our ability to refinance maturing debt and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2024, we had a corporate credit rating of Baa2 with a stable outlook from Moody’s Investors Service, Inc. (“Moody’s”) and BBB with a stable outlook from Standard &amp; Poor’s Ratings Services (“S&amp;P”) on our senior unsecured debt securities. As of December 31, 2024, we had a commercial paper credit rating of P-2 from Moody’s and A-2 from S&amp;P.</w:t>
      </w:r>
    </w:p>
    <w:p>
      <w:pPr>
        <w:spacing w:after="0" w:line="1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interest rates payable on certain of our senior notes and commercial paper notes programs are subject to adjustment from time to time if Moody’s or S&amp;P changes the debt rating applicable to the notes. If the ratings from Moody’s or S&amp;P decrease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below investment grade, the per annum interest rates on certain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Pr>
          <w:p>
            <w:pPr>
              <w:spacing w:after="0"/>
              <w:rPr>
                <w:sz w:val="15"/>
                <w:szCs w:val="15"/>
                <w:color w:val="auto"/>
              </w:rPr>
            </w:pPr>
          </w:p>
        </w:tc>
        <w:tc>
          <w:tcPr>
            <w:tcW w:w="1600" w:type="dxa"/>
            <w:vAlign w:val="bottom"/>
          </w:tcPr>
          <w:p>
            <w:pPr>
              <w:jc w:val="right"/>
              <w:ind w:right="7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20" w:type="dxa"/>
            <w:vAlign w:val="bottom"/>
            <w:tcBorders>
              <w:bottom w:val="single" w:sz="8" w:color="CCEEFF"/>
            </w:tcBorders>
          </w:tcPr>
          <w:p>
            <w:pPr>
              <w:spacing w:after="0"/>
              <w:rPr>
                <w:sz w:val="23"/>
                <w:szCs w:val="23"/>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380" w:hanging="328"/>
        <w:spacing w:after="0" w:line="225" w:lineRule="auto"/>
        <w:tabs>
          <w:tab w:leader="none" w:pos="64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to existing cash and cash equivalents balances and cash provided by operating activities, we use a combination of fixed- and variable-rate debt instruments to finance our operations. We are exposed to interest rate risk on certain of these debt obligations. We had fixed- and variable-rate debt, excluding finance leases and other financing obligations, with varying maturities for an aggregate carrying amount of $21.6 billion and $2.4 billion, respectively, at December 31, 2024. Our fixed-rate debt at December 31, 2024 primarily consisted of fixed-rate senior notes with a fair value of</w:t>
      </w:r>
    </w:p>
    <w:p>
      <w:pPr>
        <w:spacing w:after="0" w:line="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$20.8 billion, based on matrix pricing which considers readily observable inputs of comparable securities. The potential change in fair value of our fixed-rate senior notes from a hypothetical 1% change in market interest rates would not alone impact any decisions to repurchase our outstanding fixed-rate debt instruments before their maturity. Our variable-rate debt at December 31, 2024 primarily consisted of outstanding U.S. dollar and Euro commercial paper and borrowings on our variable rate foreign lines of credit. Based on our outstanding debt balances and interest rates at December 31, 2024, a hypothetical 1% increase in market interest rates related to our variable-rate debt would increase annual interest expense by approximately $24 million. This sensitivity analysis assumes the outstanding debt balances at December 31, 2024 and the change in market interest rates is applicable for an entire year.</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processing electronic payments transactions, funds received from subscribers are invested into short-term, highly liquid investments from the time we collect the funds until payments are made to the applicable recipients. Fluctuations in market interest rates affect the interest-related income that we earn on these investments. We also earn interest on intermediary settlement cash balances received from agents, payment networks, bank partners, merchants or direct consumers that we hold on behalf of merchants until the funding becomes due to the merchants or payees. Subscriber funds and intermediary settlement cash balances earning interest averaged $3.0 billion during the year ended December 31, 2024. The interest earned on subscriber funds and intermediary settlement cash is recorded as a component of total revenue in the consolidated statements of income. During the year ended December 31, 2024, a hypothetical 1% decrease in market interest rates would decrease the annual interest-related income by approximately $30 million. This sensitivity analysis uses the average subscriber fund and intermediary settlement cash balances during the year ended December 31, 2024 and assumes the change in market interest rates is applicable for an entire year.</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risk with regard to interest rate fluctuations is largely mitigated by the offsetting impacts associated with our variable-rate debt and interest earning liquid investments associated with subscriber funds and intermediary settlement cash.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 business globally and are exposed to foreign currency risk from changes in the value of underlying assets and liabilities of our non-U.S. dollar-denominated foreign investments and foreign currency transactions. We manage the exposure to these risks through the use of foreign currency forward exchange contracts, fixed-to-fixed cross-currency rate swap contracts and non-derivative net investment hedges. Translation gains and losses from non-U.S. subsidiaries are generally reflected as a component of accumulated other comprehensive loss within shareholders’ equity on the consolidated balance sheets. For subsidiaries located in highly inflationary economies, primarily Argentina, the financial statements are remeasured into U.S. dollars, and the foreign currency gains and losses from the remeasurement of monetary assets and liabilities are reflected in the consolidated statements of income, rather than in shareholders’ equity. The remeasurement of monetary assets and liabilities of our Argentina subsidiary resulted in pre-tax foreign currency exchange losses, included within other expense, net in the consolidated statements of income, of $98 million and $164 million during the years ended December 31, 2024 and 2023, respectively. Gains and losses from foreign currency transactions, included within operating expenses in the consolidated statements of income, were not significant during the years ended December 31, 2024 and 2023. We also have exposure to risks related to currency devaluation in certain countries, including Argentina, which may negatively impact our international operating results if there is a prolonged devaluation of local currencies relative to the U.S. dollar or if the economic conditions in these countries decline.</w:t>
      </w:r>
    </w:p>
    <w:p>
      <w:pPr>
        <w:spacing w:after="0" w:line="1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 from our international operations to the extent they are conducted in local currency. Approximately 15% of our total revenue was generated internationally in 2024. The major currencies to which our revenues are exposed are the Argentine Peso, Brazilian Real, British Pound, Euro and Indian Rupee.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strengthening or weakening of the U.S. dollar, relative to the currencies in which our income is denominated, by 10% would not have a material impact on our reported pre-tax income for the years ended December 31, 2024 and 2023.</w:t>
      </w:r>
    </w:p>
    <w:p>
      <w:pPr>
        <w:spacing w:after="0" w:line="1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maintain foreign currency forward exchange contracts, designated as cash flow hedges, to hedge foreign currency exposure to the Indian Rupee. At December 31, 2024, the notional amount of these derivatives was $481 million, with a fair value of $(8) million. In addition, we maintain fixed-to-fixed cross-currency rate swap contracts to hedge a portion of our net investment in certain subsidiaries whose functional currencies are in the Euro, Singapore Dollar and Canadian Dollar. At December 31, 2024, aggregate notional fixed-to-fixed cross-currency rate swaps of 600 million Euros, 841 million Singapore Dollars and 259 million Canadian Dollars were designated as net investment hedges. We also designated certain of our Euro- and British Pound-denominated senior notes and Euro commercial paper notes as net investment hedges to hedge a portion of our net investment in certain subsidiaries whose functional currencies are the Euro and British Pound. Additionally, we maintain a fixed-to-fixed cross-currency swap contract, designated as a fair value hedge, to mitigate the spot foreign exchange rate risk on the principal amount of certain foreign currency denominated debt and previously maintained fixed-to-fixed cross-currency rate swap contracts on the principal amount of a Euro-denominated intercompany note which was repaid in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3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20" w:type="dxa"/>
            <w:vAlign w:val="bottom"/>
            <w:gridSpan w:val="9"/>
            <w:vMerge w:val="continue"/>
          </w:tcPr>
          <w:p>
            <w:pPr>
              <w:spacing w:after="0"/>
              <w:rPr>
                <w:sz w:val="14"/>
                <w:szCs w:val="14"/>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658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440" w:type="dxa"/>
            <w:vAlign w:val="bottom"/>
            <w:gridSpan w:val="5"/>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4"/>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4"/>
        </w:trPr>
        <w:tc>
          <w:tcPr>
            <w:tcW w:w="20" w:type="dxa"/>
            <w:vAlign w:val="bottom"/>
          </w:tcPr>
          <w:p>
            <w:pPr>
              <w:spacing w:after="0"/>
              <w:rPr>
                <w:sz w:val="24"/>
                <w:szCs w:val="24"/>
                <w:color w:val="auto"/>
              </w:rPr>
            </w:pPr>
          </w:p>
        </w:tc>
        <w:tc>
          <w:tcPr>
            <w:tcW w:w="4220" w:type="dxa"/>
            <w:vAlign w:val="bottom"/>
            <w:tcBorders>
              <w:top w:val="single" w:sz="8" w:color="0000FF"/>
            </w:tcBorders>
            <w:gridSpan w:val="8"/>
          </w:tcPr>
          <w:p>
            <w:pPr>
              <w:spacing w:after="0"/>
              <w:rPr>
                <w:sz w:val="24"/>
                <w:szCs w:val="24"/>
                <w:color w:val="auto"/>
              </w:rPr>
            </w:pPr>
          </w:p>
        </w:tc>
        <w:tc>
          <w:tcPr>
            <w:tcW w:w="61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02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(In millions, except per share data)</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30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Processing and services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r>
      <w:tr>
        <w:trPr>
          <w:trHeight w:val="229"/>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r>
      <w:tr>
        <w:trPr>
          <w:trHeight w:val="20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r>
      <w:tr>
        <w:trPr>
          <w:trHeight w:val="230"/>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29"/>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29"/>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3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income from investments in unconsolidated affiliates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income from investments in unconsolidated affiliates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 interests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0"/>
        </w:trPr>
        <w:tc>
          <w:tcPr>
            <w:tcW w:w="73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Fiserv, Inc.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0"/>
        </w:trPr>
        <w:tc>
          <w:tcPr>
            <w:tcW w:w="730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attributable to Fiserv, Inc.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30"/>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r>
    </w:tbl>
    <w:p>
      <w:pPr>
        <w:spacing w:after="0" w:line="229" w:lineRule="exact"/>
        <w:rPr>
          <w:sz w:val="20"/>
          <w:szCs w:val="20"/>
          <w:color w:val="auto"/>
        </w:rPr>
      </w:pPr>
    </w:p>
    <w:p>
      <w:pPr>
        <w:ind w:left="660" w:right="100" w:hanging="328"/>
        <w:spacing w:after="0" w:line="232" w:lineRule="auto"/>
        <w:tabs>
          <w:tab w:leader="none" w:pos="648" w:val="left"/>
        </w:tabs>
        <w:numPr>
          <w:ilvl w:val="0"/>
          <w:numId w:val="24"/>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$137 million, $178 million and $201 million for the years ended December 31, 2024, 2023 and 2022, respectively (see Note 19).</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40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0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(In millions)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76"/>
        </w:trPr>
        <w:tc>
          <w:tcPr>
            <w:tcW w:w="73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realized (gains) losses on cash flow hedges included in cost</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processing and services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6"/>
        </w:trPr>
        <w:tc>
          <w:tcPr>
            <w:tcW w:w="73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 interest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7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defined benefit pension plans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76"/>
        </w:trPr>
        <w:tc>
          <w:tcPr>
            <w:tcW w:w="730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Realized loss due to settlement of terminated defined benefit pension plans (see Notes 14 and</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1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w:t>
            </w:r>
          </w:p>
        </w:tc>
        <w:tc>
          <w:tcPr>
            <w:tcW w:w="6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176"/>
        </w:trPr>
        <w:tc>
          <w:tcPr>
            <w:tcW w:w="73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accumulated foreign currency translation impacts from the sale</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7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foreign entities included in net gain on sale of businesses and other assets</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175"/>
        </w:trPr>
        <w:tc>
          <w:tcPr>
            <w:tcW w:w="730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7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72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2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2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(In millions)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9"/>
        </w:trPr>
        <w:tc>
          <w:tcPr>
            <w:tcW w:w="1280" w:type="dxa"/>
            <w:vAlign w:val="bottom"/>
            <w:shd w:val="clear" w:color="auto" w:fill="CCEEFF"/>
          </w:tcPr>
          <w:p>
            <w:pPr>
              <w:spacing w:after="0"/>
              <w:rPr>
                <w:sz w:val="18"/>
                <w:szCs w:val="18"/>
                <w:color w:val="auto"/>
              </w:rPr>
            </w:pPr>
          </w:p>
        </w:tc>
        <w:tc>
          <w:tcPr>
            <w:tcW w:w="7260" w:type="dxa"/>
            <w:vAlign w:val="bottom"/>
            <w:shd w:val="clear" w:color="auto" w:fill="CCEEFF"/>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34,811</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37,205</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costs,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260" w:type="dxa"/>
            <w:vAlign w:val="bottom"/>
            <w:shd w:val="clear" w:color="auto" w:fill="CCEEFF"/>
          </w:tcPr>
          <w:p>
            <w:pPr>
              <w:jc w:val="center"/>
              <w:ind w:right="129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r>
      <w:tr>
        <w:trPr>
          <w:trHeight w:val="21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Fiserv, Inc. Shareholders’ Equity: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no par value: 25 million shares authorized; none issued</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$0.01 par value: 1,800 million shares authorized; 784 million shares issued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w:t>
            </w:r>
          </w:p>
        </w:tc>
      </w:tr>
      <w:tr>
        <w:trPr>
          <w:trHeight w:val="23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8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w:t>
            </w:r>
          </w:p>
        </w:tc>
      </w:tr>
      <w:tr>
        <w:trPr>
          <w:trHeight w:val="230"/>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Treasury stock, at cost, 220 million and 190 million shares, respectively</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r>
      <w:tr>
        <w:trPr>
          <w:trHeight w:val="223"/>
        </w:trPr>
        <w:tc>
          <w:tcPr>
            <w:tcW w:w="8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Fiserv, Inc.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r>
      <w:tr>
        <w:trPr>
          <w:trHeight w:val="223"/>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3"/>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30,508</w:t>
            </w:r>
          </w:p>
        </w:tc>
      </w:tr>
      <w:tr>
        <w:trPr>
          <w:trHeight w:val="22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90,890</w:t>
            </w:r>
          </w:p>
        </w:tc>
      </w:tr>
      <w:tr>
        <w:trPr>
          <w:trHeight w:val="20"/>
        </w:trPr>
        <w:tc>
          <w:tcPr>
            <w:tcW w:w="12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784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22,983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(745)</w:t>
            </w: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14,846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31,672</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Capital contribution from noncontrolling</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12"/>
        </w:trPr>
        <w:tc>
          <w:tcPr>
            <w:tcW w:w="24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460" w:type="dxa"/>
            <w:vAlign w:val="bottom"/>
            <w:tcBorders>
              <w:bottom w:val="single" w:sz="8" w:color="CCEEFF"/>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23,011</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17,376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(8,378)</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31,527</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Acquisition of noncontrolling interest of</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consolidated subsidiary </w:t>
            </w:r>
            <w:r>
              <w:rPr>
                <w:rFonts w:ascii="Times New Roman" w:cs="Times New Roman" w:eastAsia="Times New Roman" w:hAnsi="Times New Roman"/>
                <w:sz w:val="9"/>
                <w:szCs w:val="9"/>
                <w:color w:val="auto"/>
              </w:rPr>
              <w:t>(3)</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23,103</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20,444</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(12,915)</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30,508</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Change in estimated redemption value of</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9"/>
        </w:trPr>
        <w:tc>
          <w:tcPr>
            <w:tcW w:w="246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redeemable noncontrolling interest (see</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13)</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0" w:type="dxa"/>
            <w:vAlign w:val="bottom"/>
          </w:tcPr>
          <w:p>
            <w:pPr>
              <w:spacing w:after="0"/>
              <w:rPr>
                <w:sz w:val="1"/>
                <w:szCs w:val="1"/>
                <w:color w:val="auto"/>
              </w:rPr>
            </w:pPr>
          </w:p>
        </w:tc>
      </w:tr>
      <w:tr>
        <w:trPr>
          <w:trHeight w:val="22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(1,413)</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(18,182)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618</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27,686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right="140" w:hanging="328"/>
        <w:spacing w:after="0" w:line="295" w:lineRule="auto"/>
        <w:tabs>
          <w:tab w:leader="none" w:pos="647"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total net income presented in the consolidated statements of equity for the years ended December 31, 2024, 2023 and 2022 is different than the amount presented in the consolidated statements of income due to the net income attributable to redeemable noncontrolling interests of $13 million, $26 million and $28 million, respectively, not included in equity.</w:t>
      </w:r>
    </w:p>
    <w:p>
      <w:pPr>
        <w:spacing w:after="0" w:line="184" w:lineRule="exact"/>
        <w:rPr>
          <w:rFonts w:ascii="Times New Roman" w:cs="Times New Roman" w:eastAsia="Times New Roman" w:hAnsi="Times New Roman"/>
          <w:sz w:val="9"/>
          <w:szCs w:val="9"/>
          <w:color w:val="auto"/>
        </w:rPr>
      </w:pPr>
    </w:p>
    <w:p>
      <w:pPr>
        <w:ind w:left="660" w:right="280" w:hanging="328"/>
        <w:spacing w:after="0" w:line="230" w:lineRule="auto"/>
        <w:tabs>
          <w:tab w:leader="none" w:pos="647"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distributions presented in the consolidated statements of equity for the years ended December 31, 2024, 2023 and 2022 exclude $13 million, $26 million and $34 million, respectively, in distributions paid to redeemable noncontrolling interests not included in equity.</w:t>
      </w:r>
    </w:p>
    <w:p>
      <w:pPr>
        <w:spacing w:after="0" w:line="27" w:lineRule="exact"/>
        <w:rPr>
          <w:rFonts w:ascii="Times New Roman" w:cs="Times New Roman" w:eastAsia="Times New Roman" w:hAnsi="Times New Roman"/>
          <w:sz w:val="19"/>
          <w:szCs w:val="19"/>
          <w:color w:val="auto"/>
          <w:vertAlign w:val="superscript"/>
        </w:rPr>
      </w:pPr>
    </w:p>
    <w:p>
      <w:pPr>
        <w:ind w:left="660" w:right="560" w:hanging="328"/>
        <w:spacing w:after="0" w:line="302" w:lineRule="auto"/>
        <w:tabs>
          <w:tab w:leader="none" w:pos="647"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acquired the remaining 49% ownership interest in European Merchant Services B.V., a Netherlands-based merchant acceptance business, during the year ended December 31, 2023. The Company previously held a majority controlling financial interest in this consolidated subsidiary.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3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3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32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(In millions)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(income) from investments in unconsolidated affiliates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settlement charge for terminated pension plans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foreign currency exchange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acquisitions and dispositions: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7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Contract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1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sale of businesses and other assets</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cash advances,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for acquisition of businesses, net of cash acquired</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1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proceeds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repayments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from (repayments of) commercial paper and short-term borrowings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debt financing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treasury stock, including employee shares withheld for tax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activity, net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paid to noncontrolling interests and redeemable noncontrolling interests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to acquire noncontrolling interest of consolidated subsidiary</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acquisition-related contingent consideration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balance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ending balance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0"/>
        </w:trPr>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080"/>
          </w:cols>
          <w:pgMar w:left="320" w:top="108" w:right="499" w:bottom="1440" w:gutter="0" w:footer="0" w:header="0"/>
        </w:sectPr>
      </w:pP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right="7620" w:firstLine="8"/>
        <w:spacing w:after="0" w:line="440" w:lineRule="auto"/>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the Business</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Fiserv, Inc. and its subsidiaries (collectively, the “Company”) is a leading global provider of payments and financial services technology solutions, serving clients that include merchants, banks, credit unions, other financial institutions, corporate and public sector clients. The Company provides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in the first quarter of 2024, the Company realigned its reportable segments to correspond with changes in its business designed to further enhance operational performance in the delivery of its integrated portfolio of products and solutions to its financial institution clients (the “Segment Realignment”). The Company’s new reportable segments are the Merchant Solutions (“Merchant”) segment and the Financial Solutions (“Financial”) segment. Segment results for the years ended December 31, 2023 and 2022 have been recast to reflect the Segment Realignment. Additional information regarding the Company’s reportable segments is included in Note 20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Additional information regarding the Company’s redeemable noncontrolling interests is included in Note 13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 Additional information regarding the Company’s revenue recognition policies is included in Note 3 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are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changes in settlement cash and cash equivalents are included in settlement activity, net within cash flows from financing activities in the consolidated statements of cash flows.</w:t>
      </w:r>
    </w:p>
    <w:p>
      <w:pPr>
        <w:spacing w:after="0" w:line="10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4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311"/>
        </w:trPr>
        <w:tc>
          <w:tcPr>
            <w:tcW w:w="20" w:type="dxa"/>
            <w:vAlign w:val="bottom"/>
          </w:tcPr>
          <w:p>
            <w:pPr>
              <w:spacing w:after="0"/>
              <w:rPr>
                <w:sz w:val="24"/>
                <w:szCs w:val="24"/>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 (see Note 5)</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4"/>
        </w:trPr>
        <w:tc>
          <w:tcPr>
            <w:tcW w:w="20" w:type="dxa"/>
            <w:vAlign w:val="bottom"/>
          </w:tcPr>
          <w:p>
            <w:pPr>
              <w:spacing w:after="0"/>
              <w:rPr>
                <w:sz w:val="22"/>
                <w:szCs w:val="22"/>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cash and cash equivalents on the consolidated statements of cash flows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economic trends, changes in client payment terms and collection trends when evaluating the adequacy of the allowance for doubtful accounts.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the assumptions used in analyzing a specific account receivable may result in an additional allowance for doubtful accounts being recognized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in which the change occurs. The allowance for doubtful accounts was $71 million and $86 million at December 31,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Leases are classified as operating or finance leases based on factors such as the lease term, lease payments, and the economic life, fair value and estimated residual value of the asset. Right-of-use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As a practical expedient, lease agreements with lease and non-lease components are accounted for as a single lease component for all asset classes. Leases with a term of 12 months or less are not recorded on the consolidated balance sheets; instead, lease payments are recognized as lease expense on a straight-line basis over the lease term.</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certain leasing receivables associated with its POS terminal leasing businesses. Leasing receivables are included in prepaid expenses and other current assets (current portion) and other long-term assets (noncurrent portion) in the consolidated balance sheets. Interest income on the Company’s leasing receivables is recognized using the effective interest method, and is included within product revenue in the consolidated statements of income. Initial direct costs incurred to obtain operating leases are deferred and recognized over the lease term. Initial direct costs to obtain a sales-type lease are expensed as incurred if the fair value of the underlying asset is different from its carrying amount at the lease commencement date. Additional information regarding the Company’s lease policies is included in Note 11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Capital cash advances, net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advance cash payments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5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17).</w:t>
      </w:r>
    </w:p>
    <w:p>
      <w:pPr>
        <w:spacing w:after="0" w:line="1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offers merchants advance access to capital through its Clover Capital program. Under this program, merchants sell fixed amounts of their future credit card receivables to the Company in exchange for an up-front purchase price payment. Future credit card receivables purchased by the Company under the Clover Capital program were $397 million and $281 million at December 31, 2024 and 2023, respectively. The Company maintained a reserve of $16 million and $12 million at December 31, 2024 and 2023, respectively, based on an estimate of uncollectible amounts.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the cardholders have elected to pay over time in installments. The Company maintains various short-term lines of credit with foreign banks and alliance partners, in addition to the utilization of local operating cash, to fund such anticipated settlement activity (see Note 12). These local currency denominated arrangements are primarily associated with the Company’s operations in Latin America, the most significant of which are denominated in Argentine Peso and Brazilian Real.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Assets and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 Additional information regarding the Company’s settlement assets and obligations is included in Note 5 to the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Merchant Credit Losses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$108 million, $80 million and $62 million for the years ended December 31, 2024, 2023 and 2022, respectively.</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amount of merchant collateral available to the Company was $598 million and $690 million at December 31, 2024 and 2023, respectively. The allowance includes estimated losses from anticipated chargebacks and fraud events that have been incurred on merchants’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$40 million and $36 million at December 31, 2024 and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and equipment is reported at cost. Depreciation of property and equipment is computed primarily using the straight-line method over the shorter of the estimated useful life of the asset or the leasehold period, if applicable.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4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Data processing equipment</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 to 40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8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5 to 8 years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all property and equipment totaled $589 million, $566 million and $555 million for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straight-line method over their estimated useful lives, generally four to ten years. Trade names are amortized using the straight-line method over their estimated useful lives, generally eight to twenty years. Non-compete agreements are amortized using the straight-line method over their estimated useful lives, generally four to five years.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Purchased software represents software licenses purchased from third parties and is amortized using the straight-line method over their estimated useful lives, generally five years.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continually develops, maintains and enhances its products and systems. Product development expenditures represented approximately 6% of the Company’s total revenue for the year ended December 31, 2024 and approximately 7% of the Company's total revenue for the years ended December 31, 2023 and 2022. Research and development costs incurred prior to the establishment of technological feasibility are expensed as incurred. Routine maintenance of software products, design costs and other development costs incurred prior to the establishment of a product’s technological feasibility are also expensed as incurred. Costs are capitalized commencing when the technological feasibility of the software has been established.</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may, at its discretion, negotiate to pay an independent sales organization (“ISO”) an agreed-upon up-front amount in exchange for the ISO’s surrender of its right to receive commission payments from the Company related to future transactions of merchants referred by the ISO (“residual buyout”). The amount that the Company pays for these residual buyouts is capitalized and subsequently amortized using the straight-line method over the expected life of the merchant portfolios, generally five to nine years. The Company may also obtain residual buyouts as part of acquired businesses. Additional information regarding the Company’s identifiable intangible assets is included in Note 6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When assessing goodwill for impairment, the Company considers (i) the prior year’s amount of excess fair value over the carrying value of each reporting unit, (ii) the period of time since a reporting unit’s last quantitative test, (iii) the extent a reorganization or disposition changes the composition of one or more of the reporting units and (iv) other factors to determine whether or not to first perform a qualitative test. When performing a qualitative test, the Company assesses numerous factors to determine whether it is more likely than not that the fair value of its reporting units is less than their respective carrying values. Examples of qualitative factors that the Company assesses include its share price, its financial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Segment Realignment described above, certain of the Company’s reporting units changed in composition as a result of which goodwill was allocated to such reporting units using a relative fair value approach. The Company’s most recent annual impairment assessment of its reporting units in the fourth quarter of 2024 determined that its goodwill was not impaired as the estimated fair values exceeded the carrying values for each of the Company’s reporting units.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December 31, 2024. Additional information regarding the Company’s goodwill is included in Note 7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reviews property and equipment, ROU assets,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Recoverability of property and equipment, lease ROU assets, capitalized software development costs and other intangible assets is assessed by comparing the carrying amount of the asset to either the undiscounted future cash flows expected to be generated by the asset or the net realizable value of the asset, depending on the type of asset. The Company assesses lease ROU assets that are exited in advance of the non-cancellable lease terms by comparing the carrying values of the lease ROU assets to the discounted cash flows from estimated sublease payments. The Company’s investments in unconsolidated affiliates are assessed by comparing the carrying amount of the investments to their estimated fair values and are impaired if any decline in fair value is determined to be other-than-temporary. Measurement of any impairment loss is based on estimated fair value. The estimated fair values of the Company’s investments in unconsolidated merchant alliances assume a continuation beyond the existing contractual term; however, a renewal of certain of the merchant alliance agreements beyond the current contractual term is not solely within the Company’s control. Additional information regarding the Company’s investments in unconsolidated affiliates is included in Note 8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and considers the principal or most advantageous market and the market-based risk measurements or assumptions that market participants would use in pricing the asset or liability. The three levels in the hierarchy are as follows:</w:t>
      </w:r>
    </w:p>
    <w:p>
      <w:pPr>
        <w:spacing w:after="0" w:line="13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for identical assets or liabilities in active markets that are accessible as of the measurement date.</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reflecting management’s judgments about the assumptions that market participants would use in pricing the asset or liability, including assumptions about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fair value measurements is included in Note 10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6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Transferable federal tax credits (see Note 17)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 to purchase redeemable noncontrolling interest (see Note 13)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$98 million, $164 million and $52 million during the years ended December 31, 2024, 2023 and 2022, respectively, which is included within other expense, net in the consolidated statements of income.</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 Additional information regarding the Company’s derivatives and hedging instruments is included in Note 9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Processing, Services and Product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processing and services consists of costs directly associated with providing services to clients and includes the following: personnel; equipment and data processing; facility costs, including costs to maintain software applications; client support; certain depreciation and amortization; and other operating expenses.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Cost of product consists of costs directly associated with the products sold and includes the following: costs of materials and postage; hardware costs (primarily POS devices); personnel; facility costs; certain depreciation and amortization; and other costs directly associated with product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wages, commissions and related expenses paid to sales personnel, administrative employees and management; third-party commissions and payments to distribution partners; marketing costs; certain depreciation and amortization; and other selling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4"/>
                <w:szCs w:val="24"/>
                <w:color w:val="auto"/>
              </w:rPr>
            </w:pPr>
          </w:p>
        </w:tc>
      </w:tr>
      <w:tr>
        <w:trPr>
          <w:trHeight w:val="311"/>
        </w:trPr>
        <w:tc>
          <w:tcPr>
            <w:tcW w:w="2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4"/>
                <w:szCs w:val="24"/>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such temporary differences are expected to be recovered or settled. A valuation allowance is recorded against deferred tax assets if it is more likely than not that some portion or all of the deferred tax assets will not be realized.</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 Additional information regarding the Company’s income taxes is included in Note 17 to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Net income per share attributable to Fiserv, Inc. in each year is calculated using actual, unrounded amounts. Basic net income per share is computed by dividing net income attributable to Fiserv, Inc. by the weighted-average number of common shares outstanding during the year. Diluted net income per share is computed by dividing net income attributable to Fiserv, Inc. by the weighted-average number of common shares and common stock equivalents outstanding during the year. Common stock equivalents consist of unvested restricted stock units, unvested restricted stock awards and outstanding stock options, and are computed using the treasury stock method. The Company excluded 0.3 million and 1.7 million weighted-average shares from the calculations of common stock equivalents for anti-dilutive stock options in 2023 and 2022, respectively. Weighted-average shares excluded from the calculation of common stock equivalents for anti-dilutive stock options in 2024 were not significant.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Fiserv, Inc. per share – basic</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Fiserv, Inc. per share – diluted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1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right="2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taxes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w:t>
      </w:r>
    </w:p>
    <w:p>
      <w:pPr>
        <w:spacing w:after="0" w:line="29" w:lineRule="exact"/>
        <w:rPr>
          <w:sz w:val="20"/>
          <w:szCs w:val="20"/>
          <w:color w:val="auto"/>
        </w:rPr>
      </w:pPr>
    </w:p>
    <w:p>
      <w:pPr>
        <w:ind w:right="80" w:firstLine="8"/>
        <w:spacing w:after="0" w:line="251" w:lineRule="auto"/>
        <w:tabs>
          <w:tab w:leader="none" w:pos="10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enhances and expands the current annual and interim requirements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information disclosures. Under the new disclosure requirements, entities are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 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are effective for fiscal years beginning after December 15, 2023, and for interim periods of fiscal years beginning after December 15, 2024. The Company adopted ASU 2023-07 effective for the year ended December 31, 2024, with retrospective application of the additional segment information for the years ended December 31, 2023 and 2022. Additional information regarding the Company’s reportable segments is included in Note 20 to the consolidated financial statements.</w:t>
      </w:r>
    </w:p>
    <w:p>
      <w:pPr>
        <w:spacing w:after="0" w:line="1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2022, the FASB issued ASU No. 2022-03,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the guidance in ASC Topic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when measuring the fair value of an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adopted ASU 2022-03 effective January 1, 2024, and the adoption did not have a material impact on the Company’s consolidated financial statements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2023, the FASB issued ASU No. 2023-09</w:t>
      </w:r>
      <w:r>
        <w:rPr>
          <w:rFonts w:ascii="Times New Roman" w:cs="Times New Roman" w:eastAsia="Times New Roman" w:hAnsi="Times New Roman"/>
          <w:sz w:val="17"/>
          <w:szCs w:val="17"/>
          <w:i w:val="1"/>
          <w:iCs w:val="1"/>
          <w:color w:val="auto"/>
        </w:rPr>
        <w:t>, Income Taxes (Topic 740) - Improvement to Income Tax Disclosures</w:t>
      </w:r>
      <w:r>
        <w:rPr>
          <w:rFonts w:ascii="Times New Roman" w:cs="Times New Roman" w:eastAsia="Times New Roman" w:hAnsi="Times New Roman"/>
          <w:sz w:val="17"/>
          <w:szCs w:val="17"/>
          <w:color w:val="auto"/>
        </w:rPr>
        <w:t xml:space="preserve"> (“ASU 2023-09”</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2023-09 are effective for fiscal years beginning after December 15, 2024, and for interim periods of fiscal years beginning after December 15, 2025. The Company is currently assessing the impact the adoption of ASU 2023-09 will have on its consolidated financial statement disclosures.</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2024, the FASB issued ASU No.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disaggregation of certain expense captions into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are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for interim reporting periods within annual reporting periods beginning after December 15, 2027. The provisions within ASU 2024-03 are required to be applied prospectively; however, they may be applied retrospectively for all comparative periods following the effective date. The Company is currently assessing the impact the adoption of ASU 2024-03 will have on its consolidated financial statement disclosures.</w:t>
      </w:r>
    </w:p>
    <w:p>
      <w:pPr>
        <w:spacing w:after="0" w:line="136" w:lineRule="exact"/>
        <w:rPr>
          <w:sz w:val="20"/>
          <w:szCs w:val="20"/>
          <w:color w:val="auto"/>
        </w:rPr>
      </w:pPr>
    </w:p>
    <w:p>
      <w:pPr>
        <w:ind w:right="8920" w:firstLine="8"/>
        <w:spacing w:after="0" w:line="439"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Significant Accounting Policy</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any amounts collected on behalf of third parties. 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operations are comprised of the Merchant and the Financial reportable segments (see Note 20).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Processing and services revenue is generated from account- and transaction-based fees for merchant transaction processing and acquiring, electronic billing and payment services, electronic funds transfer and debit/credit processing services; consulting and professional services; merchant cash advances; and software maintenance for ongoing client support.</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processing and services revenue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performance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fixed or monthly minimum processing fees. Fees for the Company’s processing and services arrangements are typically billed and paid on a monthly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generated from print and card production, software license, and hardware (primarily POS device) sales.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In certain instances, the Company may offer extended payment terms beyond one year. To the extent a significant financing component exists, it is calculated as the difference between the promised consideration and the present value of the software license fees utilizing a discount rate reflective of a separate financing transaction, and is recognized as interest income over the extended payment period. The cash selling price of the software license fee is recognized as revenue at the point in time when the software is transferred to the customer.</w:t>
      </w:r>
    </w:p>
    <w:p>
      <w:pPr>
        <w:spacing w:after="0" w:line="140"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8"/>
          <w:szCs w:val="18"/>
          <w:color w:val="auto"/>
        </w:rPr>
        <w:t>The Company sells or leases hardware (POS devices) and other peripherals as part of its contracts with customers. Hardware typically consists of POS terminals or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The Company does not manufacture hardware; rather, it purchases hardware from third-party vendors and holds such hardware in inventory until purchased by a customer. The Company accounts for sales of distinct hardware as a separate performance obligation and recognizes the revenue at its standalone selling price when the customer obtains control of the hardware.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following methods, inputs and assumptions in determining amounts of revenue to recognize: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control of goods and services is obtained prior to their transfer to a customer.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Estimates of Variable Consideration</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transaction price (including any discounts or rebates) is allocated between distinct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Judgment may be required to determine standalone selling prices for each performance obligation and whether it depicts the amount the Company expects to receive in exchange for the related good or service.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revenue recognition for each identified performance obligation.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by business line, including a reconciliation with its reportable segments. The Company’s disaggregation of revenue for the years ended December 31, 2023 and 2022 have been recast to reflect the Segment Realignment. The Company serves its global client base by working among its geographic teams across various regions, including the U.S. and Canada; Europe, Middle East and Africa (“EMEA”); Latin America (“LATAM”); and Asia Pacific (“APAC”). The majority of the Company’s revenue is earned domestically, with revenue generated within its EMEA, LATAM and APAC regions comprising approximately 15% of total revenue for each of the years ended December 31, 2024 and 2023, and comprising approximately 14% of total revenue for the year ended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3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vMerge w:val="continue"/>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Enterprise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Merchant segment revenue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Financial segment revenue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20,456</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19,093</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80" w:type="dxa"/>
            <w:vAlign w:val="bottom"/>
          </w:tcPr>
          <w:p>
            <w:pPr>
              <w:spacing w:after="0"/>
              <w:rPr>
                <w:sz w:val="15"/>
                <w:szCs w:val="15"/>
                <w:color w:val="auto"/>
              </w:rPr>
            </w:pPr>
          </w:p>
        </w:tc>
        <w:tc>
          <w:tcPr>
            <w:tcW w:w="156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4"/>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bl>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contract assets and contract liabilities increased primarily due to customer discounts (contract incentives), customer prepaid maintenance and deferred conversion revenue associated with long-term contracts obtained during the respective year. The Company recognized $761 million and $625 million of revenue during the years ended December 31, 2024 and 2023, respectively, that was included in the contract liabilities balance at the beginning of the year.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bl>
    <w:p>
      <w:pPr>
        <w:spacing w:after="0" w:line="2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incurs incremental costs to obtain a contract as well as costs to fulfill contracts with customers that are expected to be recovered. These costs consist of sales commissions incurred only if a contract is obtained, and customer conversion or implementation related costs. Capitalized sales commissions and conversion or implementation costs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6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5"/>
                <w:szCs w:val="15"/>
                <w:color w:val="auto"/>
              </w:rPr>
            </w:pPr>
          </w:p>
        </w:tc>
        <w:tc>
          <w:tcPr>
            <w:tcW w:w="1720" w:type="dxa"/>
            <w:vAlign w:val="bottom"/>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sales commissions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4"/>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conversion or implementation costs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bl>
    <w:p>
      <w:pPr>
        <w:spacing w:after="0" w:line="2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 amortization of capitalized sales commissions is included in selling, general and administrative expenses and amortization of capitalized conversion or implementation costs within cost of processing and services. Amortization totaled $221 million, $195 million and $173 million during the years ended December 31, 2024, 2023 and 2022, respectively. Impairment losses recognized during the years ended December 31, 2024, 2023 and 2022 related to capitalized contract costs were not significant.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Merchant One</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December 20, 2022, the Company acquired Merchant One, Inc. (“Merchant One”), an independent sales organization focused on acquiring merchants in the restaurant, retail and e-commerce industries using an innovative mix of direct and digital marketing strategies, for $302 million, net of $1 million of acquired cash. Merchant One is included within the Merchant segment and enhances the Company’s merchant distribution and sales force channels.</w:t>
      </w:r>
    </w:p>
    <w:p>
      <w:pPr>
        <w:spacing w:after="0" w:line="12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and recorded measurement period adjustments to the preliminary Merchant One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$61 million and a corresponding decrease in identifiable intangible assets, including customer relationships. Such measurement period adjustments did not have a material impact on the Company’s consolidated statement of income. The allocation of the purchase price was finalized in the second quarter of 2023 and resulted in the recognition of identifiable intangible assets of $118 million, goodwill of $179 million and other net assets of $6 million. Goodwill, which is deductible for tax purposes, is primarily attributed to the anticipated value created by expanding the reach of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POS and business management platform, and select value-added services that enable the Company to deliver new and innovative capabilities to Merchant One’s clients.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are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Finxact</w:t>
      </w:r>
    </w:p>
    <w:p>
      <w:pPr>
        <w:spacing w:after="0" w:line="17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April 1, 2022, the Company acquired a remaining ownership interest in Finxact, Inc. (“Finxact”), a developer of cloud-native banking solutions powering digital transformation throughout the financial services sector, for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$110 million, included within income from investments in unconsolidated affiliates in the consolidated statement of income during the year ended December 31, 2022. Finxact is included within the Financial segment and advances the Company’s digital banking strategy, expanding its account processing, digital, and payments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Finxact was finalized in the fourth quarter of 2022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Goodwill, which is not deductible for tax purposes, is primarily attributed to the anticipated value created by the combined scale, core platform modernization, and accelerated delivery of enhanced digital banking solutions offered to financial institutions of all sizes. The amounts allocated to identifiable intangible assets were as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9, 2023, the Company acquired Skytef Solucões em Captura de Transações Ltda (“Skytef”), a distributor for independent software vendor partners and merchants of the Company’s Electronic Funds Transfer payments software. Skytef is included within the Merchant segment and expands the Company’s distribution network and POS applications. On November 1, 2023, the Company acquired Sled S.A. (“Sled”), a provider of instant payment solutions. Sled is included within the Merchant segment and expands the Company’s direct payment service capabilities. The Company acquired these businesses in Latin America for an aggregate purchase price, including hold-backs, of $17 million. The purchase price allocations for the Skytef and Sled acquisitions were finalized in the first quarter of 2024, and measurement period adjustments did not have a material impact on the Company’s consolidated statement of income.</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29, 2022, the Company acquired OrangeData S.A. (“Yacaré”), an Argentina-based payment service provider that enables customers to transact at merchant locations using QR codes. Yacaré is included within the Merchant segment and enhances the Company’s instant payment transaction capabilities. On September 1, 2022, the Company acquired NexTable, Inc. (“NexTable”), a provider of cloud-based reservation and table management solutions for restaurants. NexTable is included within the Merchant segment and expands the Company’s end-to-end restaurant solutions. On June 1, 2022, the Company acquired The LR2 Group, LLC (“City POS”), an independent sales organization that promotes payment processing services and facilitates the sale of POS equipment for merchants. City POS is included within the Merchant segment and expands the Company’s merchant services business. The Company acquired these businesses for an aggregate purchase price of $44 million, including earn-out provisions estimated at a fair value of $6 million. The allocation of purchase price for these acquisitions resulted in the recognition of identifiable intangible assets of $23 million, goodwill of $22 million and other net assumed liabilities of $1 million. The purchase price allocations for the CityPOS and NexTable acquisitions were finalized in the third and fourth quarters of 2022, respectively. The purchase price allocation for the Yacaré acquisition was finalized in the second quarter of 2023. Measurement period adjustments did not have a material impact on the Company’s consolidated statements of income. Goodwill for these acquisitions, of which</w:t>
      </w:r>
    </w:p>
    <w:p>
      <w:pPr>
        <w:spacing w:after="0" w:line="4"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$17 million is deductible for tax purposes, is primarily attributed to the value created by expanding the reach of the Company’s payment solutions and enhancing omnichannel capabilities.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2024, the Company entered into definitive agreements to acquire CCV Group B.V. (“CCV”) and Payfare Inc. (“Payfare”). CCV is a supplier of POS payment solutions. Upon the closing of this acquisition, which is subject to regulatory approval and customary closing conditions, CCV will be included within the Merchant segment and is expected to expand the Company’s network of payment solutions. Payfare is a provider of program management solutions powering instant access to earnings and banking solutions for workforces. Upon the closing of this acquisition, which is subject to shareholder and court approvals and customary closing conditions, Payfare will be included within the Financial segment and is expected to expand the Company’s embedded finance capabilities. The Company expects these acquisitions, for an aggregate purchase price of approximately $360 million, to close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Financial Reconciliation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2023, the Company sold its financial reconciliation business, which was reported within the Financial segment, for cash proceeds of</w:t>
      </w:r>
    </w:p>
    <w:p>
      <w:pPr>
        <w:spacing w:after="0" w:line="2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$235 million. The Company recognized a pre-tax gain of $172 million on the sale, recorded within net gain on sale of businesses and other assets, with a related tax expense of $48 million recorded within the income tax provision, in the consolidated statement of income for the year ended December 31, 2023. The pre-tax gain was comprised of the difference between the consideration received and the net carrying amount of the business, including</w:t>
      </w:r>
    </w:p>
    <w:p>
      <w:pPr>
        <w:spacing w:after="0" w:line="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$38 million of allocated goodwill, $15 million of other net assets, primarily consisting of trade accounts receivable and capitalized software, and $10 million of accumulated foreign currency translation losses which were reclassified from accumulated other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Fiserv Costa Rica and Systems Integration Services</w:t>
      </w:r>
    </w:p>
    <w:p>
      <w:pPr>
        <w:spacing w:after="0" w:line="17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On October 17, 2022, the Company sold Fiserv Costa Rica, S.A. and its Systems Integration Services (“SIS”) operations, which provides information technology engineering services in the U.S. and India, to a single buyer, for an aggregate sales price of $49 million. The Company recognized a pre-tax gain of $44 million on the sales, recorded within net gain on sale of businesses and other assets, with a related tax expense of $8 million recorded within the income tax provision, in the consolidated statement of income for the year ended December 31, 2022. The Company recognized a pre-tax loss of $3 million, recorded within net gain on sale of businesses and other assets during the year ended December 31, 2023, associated with final working capital adjustments related to the disposition of Fiserv Costa Rica, S.A. Both Fiserv Costa Rica, S.A. and SIS were reported primarily within the Financial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Korea Operations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sold its Korea operations, which were reported within the Merchant segment, for total consideration of $50 million, consisting of $43 million in net cash and an equity interest in the buyer of $7 million. The Company recognized a pre-tax loss of $127 million on the sale, recorded within net gain on sale of businesses and other assets in the consolidated statement of income for the year ended December 31, 2022. The pre-tax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Settlement Assets and Obligations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between card issuers, payment networks, processors, merchants and consumers, and collateral amounts held to manage merchant credit risk, primarily associated with the Company’s merchant acquiring services. The Company records settlement assets and obligations upon processing a payment transaction. Settlement assets represent amounts receivable from agents, payment networks, bank partners, merchants or direct consumers for submitted merchant transactions, and funds received by the Company in advance of paying to merchants or payees. Settlement obligations represent the unpaid amounts that are due to merchants and payees for their payment transactions and collateral deposits.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the Company’s settlement assets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jc w:val="right"/>
              <w:ind w:right="7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settlement assets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24"/>
                <w:szCs w:val="24"/>
                <w:color w:val="auto"/>
              </w:rPr>
            </w:pPr>
          </w:p>
        </w:tc>
        <w:tc>
          <w:tcPr>
            <w:tcW w:w="15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tcPr>
          <w:p>
            <w:pPr>
              <w:jc w:val="center"/>
              <w:ind w:left="49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17"/>
                <w:szCs w:val="17"/>
                <w:color w:val="auto"/>
              </w:rPr>
            </w:pPr>
          </w:p>
        </w:tc>
        <w:tc>
          <w:tcPr>
            <w:tcW w:w="1560" w:type="dxa"/>
            <w:vAlign w:val="bottom"/>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14,488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software development costs capitalized for new products and enhancements to existing products totaled $942 million, $870 million and $807 million for the years ended December 31, 2024, 2023 and 2022, respectively. Amortization expense associated with the above identifiable intangible assets was $2.3 billion for the year ended December 31, 2024 and $2.4 billion for each of the years ended December 31,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annual amortization expense with respect to intangible assets recorded at December 31, 2024 will be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goodwill during the years ended December 31,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5"/>
                <w:szCs w:val="15"/>
                <w:color w:val="auto"/>
              </w:rPr>
            </w:pPr>
          </w:p>
        </w:tc>
        <w:tc>
          <w:tcPr>
            <w:tcW w:w="12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Acceptance</w:t>
            </w:r>
          </w:p>
        </w:tc>
        <w:tc>
          <w:tcPr>
            <w:tcW w:w="2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Fintech</w:t>
            </w:r>
          </w:p>
        </w:tc>
        <w:tc>
          <w:tcPr>
            <w:tcW w:w="18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5"/>
                <w:szCs w:val="15"/>
                <w:color w:val="auto"/>
              </w:rPr>
            </w:pPr>
          </w:p>
        </w:tc>
        <w:tc>
          <w:tcPr>
            <w:tcW w:w="11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80" w:type="dxa"/>
            <w:vAlign w:val="bottom"/>
          </w:tcPr>
          <w:p>
            <w:pPr>
              <w:spacing w:after="0"/>
              <w:rPr>
                <w:sz w:val="15"/>
                <w:szCs w:val="15"/>
                <w:color w:val="auto"/>
              </w:rPr>
            </w:pPr>
          </w:p>
        </w:tc>
        <w:tc>
          <w:tcPr>
            <w:tcW w:w="10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valuation adjustments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Reallocation due to Segment Realignment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80" w:type="dxa"/>
            <w:vAlign w:val="bottom"/>
            <w:gridSpan w:val="2"/>
          </w:tcPr>
          <w:p>
            <w:pPr>
              <w:jc w:val="right"/>
              <w:ind w:right="551"/>
              <w:spacing w:after="0"/>
              <w:rPr>
                <w:sz w:val="20"/>
                <w:szCs w:val="20"/>
                <w:color w:val="auto"/>
              </w:rPr>
            </w:pPr>
            <w:r>
              <w:rPr>
                <w:rFonts w:ascii="Times New Roman" w:cs="Times New Roman" w:eastAsia="Times New Roman" w:hAnsi="Times New Roman"/>
                <w:sz w:val="12"/>
                <w:szCs w:val="12"/>
                <w:color w:val="auto"/>
              </w:rPr>
              <w:t>(1)</w:t>
            </w: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1"/>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reallocation of goodwill as a result of the Company’s Segment Realignment in the first quarter of 2024 (see Note 1).</w:t>
      </w:r>
    </w:p>
    <w:p>
      <w:pPr>
        <w:spacing w:after="0" w:line="78"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Affiliates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 (see Note 19). The Company’s investments in its merchant alliances was $1.2 billion and $1.9 billion at December 31, 2024 and 2023, respectively, and is reported within investments in unconsolidated affiliates in the consolidated balance sheets.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a 40% ownership interest in the Wells Fargo Merchant Services merchant alliance (“WFMS”), which is accounted for as an equity method investment. The Company acquired its ownership, at fair value, in WFMS through its 2019 acquisition of First Data Corporation. In the third quarter of 2024, Wells Fargo Bank, National Association (“Wells Fargo”) provided the Company a notice of non-renewal for WFMS. With the joint venture expected to expire on April 1, 2025, the Company expects to receive a cash payment equal to the fair value of its share of WFMS as determined in accordance with an agreed upon contractual valuation and separation process.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$595 million non-cash impairment as a result of an other-than-temporary decline in the fair value of its equity method investment in WFMS within income (loss) from investments in unconsolidated affiliates, with the related tax benefit of $129 million recorded through the income tax provision, in the consolidated statement of income. The Company recorded an initial pre-tax impairment charge of $570 million in the third quarter of 2024 based upon the Company’s estimate of the fair value of its portion of WFMS. An additional $25 million pre-tax impairment charge was recorded in the fourth quarter of 2024 based on the expected cash payment, as determined in accordance with an agreed upon contractual valuation and separation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Method Investments</w:t>
      </w:r>
    </w:p>
    <w:p>
      <w:pPr>
        <w:spacing w:after="0" w:line="17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(“Sagent”) and defi SOLUTIONS Group, LLC (collectively the “Lending Joint Ventures”), which are accounted for under the equity method. In March 2022, Sagent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net pre-tax gain of $80 million within income (loss) from investments in unconsolidated affiliates, with related tax expense of $19 million recorded through the income tax provision, in the consolidated statement of income for the year ended December 31, 2022. The Company’s remaining noncontrolling ownership interest in Sagent continues to be accounted for as an equity method investment. The Company’s net investment in the Lending Joint Ventures was $49 million and $55 million at December 31, 2024 and 2023, respectively, and is reported within investments in unconsolidated affiliates in the consolidated balance sheets. In addition, the Company maintains other strategic investments accounted for under the equity method. The Company's aggregate investment in such entities was $218 million and $254 million at December 31, 2024 and 2023, respectively, and is reported within investments in unconsolidated affiliates in the consolidated balance sheets.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Lending Joint Ventures maintain, as amended in April 2022, variable-rate term loan facilities with aggregate outstanding borrowings of $421 million in senior unsecured debt at December 31, 2024 and variable-rate revolving credit facilities with an aggregate borrowing capacity of $83 million with a syndicate of banks, which mature in April 2027. There were $35 million of aggregate outstanding borrowings on the revolving credit facilities at December 31, 2024. The Company has guaranteed the debt of the Lending Joint Ventures and does not anticipate that the Lending Joint Ventures will fail to fulfill their debt obligations (see Note 10).</w:t>
      </w:r>
    </w:p>
    <w:p>
      <w:pPr>
        <w:spacing w:after="0" w:line="1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classifies distributions from its investments accounted for using the equity method in the consolidated statements of cash flows using the cumulative earnings approach. Under this approach, distributions received from unconsolidated affiliates are classified as cash flows from operating activities to the extent that the cumulative distributions do not exceed the cumulative earnings on the investment. To the extent the current period distribution exceeds the cumulative earnings on the investment, the distribution is considered a return of investment and is classified as cash flows from investing activities. The Company received cash distributions from unconsolidated affiliates of $99 million, $191 million and $211 million, of which $60 million, $136 million and $138 million were recorded as cash flows from investing activities in the Company’s consolidated statements of cash flows for the years ended December 31, 2024, 2023 and 2022,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$250 million and $156 million at December 31, 2024 and 2023,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net gains from sales of equity securities were $29 million during the year ended December 31, 2024, and were not significant during the years ended December 31, 2023 and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and Hedging Instruments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10).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$481 million and $443 million at December 31, 2024 and 2023, respectively. Based on the amounts recorded in accumulated other comprehensive loss at December 31, 2024, the Company estimates that it will recognize losses of approximately $6 million in cost of processing and services during the next twelve months as foreign exchange forward contracts settle.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recorded in accumulated other comprehensive loss that is being amortized to earnings over the terms of the originally forecast interest payments. The unamortized balance recorded in accumulated other comprehensive loss related to the Treasury Locks was $101 million and $116 million at December 31, 2024 and 2023, respectively. Based on the amounts recorded in accumulated other comprehensive loss at December 31, 2024, the Company estimates that it will recognize approximately $13 million in net interest expense during the next twelve months related to settled interest rate hedge contracts.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96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7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18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7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5"/>
                <w:szCs w:val="15"/>
                <w:color w:val="auto"/>
              </w:rPr>
            </w:pPr>
          </w:p>
        </w:tc>
        <w:tc>
          <w:tcPr>
            <w:tcW w:w="110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9"/>
              </w:rPr>
              <w:t>(17)</w:t>
            </w:r>
          </w:p>
        </w:tc>
      </w:tr>
      <w:tr>
        <w:trPr>
          <w:trHeight w:val="310"/>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236</w:t>
            </w:r>
          </w:p>
        </w:tc>
      </w:tr>
    </w:tbl>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$(66) million, $68 million and $(73) million for the years ended December 31, 2024, 2023 and 2022, respectively, in other comprehensive income (loss) from the translation of foreign currency-denominated senior notes, Euro commercial paper notes and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maintains a fixed-to-fixed cross-currency rate swap contract, designated as a fair value hedge, to mitigate the spot foreign exchange rate risk on the principal amount of its British Pound-denominated 2.250% senior notes due in July 2025, and previously maintained fixed-to-fixed cross-currency rate swap contracts on the principal amount of a Euro-denominated intercompany note which was repaid in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96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7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18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Pounds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9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changes in the fair value of the cross-currency rate swaps ($8 million and $6 million loss for the years ended December 31, 2024 and 2023, respectively), along with the offsetting change in the fair value of the hedged notes, attributable to fluctuations in the respective foreign currency spot rates are recognized in other expense, net within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9) are measured on a recurring basis based on foreign currency spot rates and forwards quoted by banks and foreign currency dealers and are marked to market each period. Contingent consideration related to certain of the Company’s acquisitions is estimated using the present value of a probability-weighted assessment approach based on the likelihood of achieving the earn-out criteria. The Company’s obligation to purchase a redeemable noncontrolling interest in one of its merchant alliance joint ventures (see Note 13) is measured at the estimated fair value of the minority interest. Such obligation will be settled at a future date through the distribution of certain merchant contracts to the minority partner.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8"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19685</wp:posOffset>
            </wp:positionV>
            <wp:extent cx="19373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9" w:lineRule="exact"/>
        <w:rPr>
          <w:sz w:val="20"/>
          <w:szCs w:val="20"/>
          <w:color w:val="auto"/>
        </w:rPr>
      </w:pPr>
    </w:p>
    <w:p>
      <w:pPr>
        <w:ind w:left="180" w:hanging="80"/>
        <w:spacing w:after="0" w:line="234"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180" w:right="220" w:hanging="80"/>
        <w:spacing w:after="0" w:line="256" w:lineRule="auto"/>
        <w:rPr>
          <w:sz w:val="20"/>
          <w:szCs w:val="20"/>
          <w:color w:val="auto"/>
        </w:rPr>
      </w:pPr>
      <w:r>
        <w:rPr>
          <w:rFonts w:ascii="Times New Roman" w:cs="Times New Roman" w:eastAsia="Times New Roman" w:hAnsi="Times New Roman"/>
          <w:sz w:val="17"/>
          <w:szCs w:val="17"/>
          <w:color w:val="auto"/>
        </w:rPr>
        <w:t>Cross-currency rate swap contract designated as net investment hedge</w:t>
      </w:r>
    </w:p>
    <w:p>
      <w:pPr>
        <w:spacing w:after="0" w:line="1" w:lineRule="exact"/>
        <w:rPr>
          <w:sz w:val="20"/>
          <w:szCs w:val="20"/>
          <w:color w:val="auto"/>
        </w:rPr>
      </w:pPr>
    </w:p>
    <w:p>
      <w:pPr>
        <w:ind w:left="180" w:right="38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 designated as fair value hedge</w:t>
      </w:r>
    </w:p>
    <w:p>
      <w:pPr>
        <w:spacing w:after="0" w:line="10" w:lineRule="exact"/>
        <w:rPr>
          <w:sz w:val="20"/>
          <w:szCs w:val="20"/>
          <w:color w:val="auto"/>
        </w:rPr>
      </w:pPr>
    </w:p>
    <w:p>
      <w:pPr>
        <w:ind w:left="180" w:right="14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80" w:hanging="80"/>
        <w:spacing w:after="0" w:line="234"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180" w:right="38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 designated as fair value hedge</w:t>
      </w:r>
    </w:p>
    <w:p>
      <w:pPr>
        <w:spacing w:after="0" w:line="10" w:lineRule="exact"/>
        <w:rPr>
          <w:sz w:val="20"/>
          <w:szCs w:val="20"/>
          <w:color w:val="auto"/>
        </w:rPr>
      </w:pPr>
    </w:p>
    <w:p>
      <w:pPr>
        <w:ind w:left="180" w:right="14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180" w:hanging="80"/>
        <w:spacing w:after="0" w:line="237"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180" w:right="320" w:hanging="80"/>
        <w:spacing w:after="0" w:line="256" w:lineRule="auto"/>
        <w:rPr>
          <w:sz w:val="20"/>
          <w:szCs w:val="20"/>
          <w:color w:val="auto"/>
        </w:rPr>
      </w:pPr>
      <w:r>
        <w:rPr>
          <w:rFonts w:ascii="Times New Roman" w:cs="Times New Roman" w:eastAsia="Times New Roman" w:hAnsi="Times New Roman"/>
          <w:sz w:val="17"/>
          <w:szCs w:val="17"/>
          <w:color w:val="auto"/>
        </w:rPr>
        <w:t>Cross-currency rate swap contracts designated as fair value hedges</w:t>
      </w:r>
    </w:p>
    <w:p>
      <w:pPr>
        <w:spacing w:after="0" w:line="1" w:lineRule="exact"/>
        <w:rPr>
          <w:sz w:val="20"/>
          <w:szCs w:val="20"/>
          <w:color w:val="auto"/>
        </w:rPr>
      </w:pPr>
    </w:p>
    <w:p>
      <w:pPr>
        <w:ind w:left="180" w:right="14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7" w:lineRule="exact"/>
        <w:rPr>
          <w:sz w:val="20"/>
          <w:szCs w:val="20"/>
          <w:color w:val="auto"/>
        </w:rPr>
      </w:pPr>
    </w:p>
    <w:p>
      <w:pPr>
        <w:ind w:left="180" w:right="320" w:hanging="80"/>
        <w:spacing w:after="0" w:line="234" w:lineRule="auto"/>
        <w:rPr>
          <w:sz w:val="20"/>
          <w:szCs w:val="20"/>
          <w:color w:val="auto"/>
        </w:rPr>
      </w:pPr>
      <w:r>
        <w:rPr>
          <w:rFonts w:ascii="Times New Roman" w:cs="Times New Roman" w:eastAsia="Times New Roman" w:hAnsi="Times New Roman"/>
          <w:sz w:val="18"/>
          <w:szCs w:val="18"/>
          <w:color w:val="auto"/>
        </w:rPr>
        <w:t>Obligation to purchase redeemable noncontrolling interest</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Contingent debt guarantee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360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0" w:type="dxa"/>
            <w:vAlign w:val="bottom"/>
          </w:tcPr>
          <w:p>
            <w:pPr>
              <w:spacing w:after="0"/>
              <w:rPr>
                <w:sz w:val="1"/>
                <w:szCs w:val="1"/>
                <w:color w:val="auto"/>
              </w:rPr>
            </w:pPr>
          </w:p>
        </w:tc>
      </w:tr>
      <w:tr>
        <w:trPr>
          <w:trHeight w:val="53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64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3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32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-3093720</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-2562225</wp:posOffset>
            </wp:positionV>
            <wp:extent cx="7132320"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-2150745</wp:posOffset>
            </wp:positionV>
            <wp:extent cx="7132320" cy="265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-1619250</wp:posOffset>
            </wp:positionV>
            <wp:extent cx="7132320"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-1088390</wp:posOffset>
            </wp:positionV>
            <wp:extent cx="7132320"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-556895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-145415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-3505200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5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8"/>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8"/>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6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66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616" w:lineRule="exact"/>
        <w:rPr>
          <w:sz w:val="20"/>
          <w:szCs w:val="20"/>
          <w:color w:val="auto"/>
        </w:rPr>
      </w:pPr>
    </w:p>
    <w:p>
      <w:pPr>
        <w:sectPr>
          <w:pgSz w:w="11900" w:h="16838" w:orient="portrait"/>
          <w:cols w:equalWidth="0" w:num="3">
            <w:col w:w="2940" w:space="200"/>
            <w:col w:w="4940" w:space="120"/>
            <w:col w:w="3040"/>
          </w:cols>
          <w:pgMar w:left="320" w:top="121" w:right="3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$23.2 billion and $21.6 billion at December 31, 2024 and 2023, respectively, and the carrying value was $23.9 billion and $22.2 billion at December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(see Note 8), which are reported within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 pre-tax expense of $48 million related to such debt guarantee obligations, recorded within other expense, net in the consolidated statement of income and within other operating activities in the consolidated statement of cash flows, during the year ended December 31, 2022. The Company has provided aggregate guarantees 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$504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$21 million and $31 million approximates the fair value at December 31, 2024 and 2023,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$18 million, $7 million and $12 million during the years ended December 31, 2024, 2023 and 2022, respectively, within other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ROU assets, equity securities without a readily determinable fair value, goodwill and other intangible assets, and are subject to fair value adjustment in certain circumstances. Additional information about fair value adjustments recorded on a non-recurring basis during the years ended December 31, 2024, 2023 and 2022 is included in Note 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as Lessee</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primarily leases office space,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or obtains control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Company’s leases have remaining lease terms ranging from one month to 19 years.</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uses the right-of-use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variable lease expenses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 term of 12 months or less are not recorded on the consolidated balance sheets;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5"/>
                <w:szCs w:val="15"/>
                <w:color w:val="auto"/>
              </w:rPr>
            </w:pPr>
          </w:p>
        </w:tc>
        <w:tc>
          <w:tcPr>
            <w:tcW w:w="1760" w:type="dxa"/>
            <w:vAlign w:val="bottom"/>
          </w:tcPr>
          <w:p>
            <w:pPr>
              <w:jc w:val="right"/>
              <w:ind w:right="8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jc w:val="right"/>
              <w:ind w:right="8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Operating lease assets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4"/>
                <w:szCs w:val="24"/>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assets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6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0"/>
        </w:trPr>
        <w:tc>
          <w:tcPr>
            <w:tcW w:w="20" w:type="dxa"/>
            <w:vAlign w:val="bottom"/>
          </w:tcPr>
          <w:p>
            <w:pPr>
              <w:spacing w:after="0"/>
              <w:rPr>
                <w:sz w:val="23"/>
                <w:szCs w:val="23"/>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41"/>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31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180" w:hanging="328"/>
        <w:spacing w:after="0" w:line="225" w:lineRule="auto"/>
        <w:tabs>
          <w:tab w:leader="none" w:pos="661"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assets are included within other long-term assets, and operating lease liabilities are included within accounts payable and other current liabilities (current portion) and other long-term liabilities (noncurrent portion) in the consolidated balance sheets.</w:t>
      </w:r>
    </w:p>
    <w:p>
      <w:pPr>
        <w:spacing w:after="0" w:line="33" w:lineRule="exact"/>
        <w:rPr>
          <w:rFonts w:ascii="Times New Roman" w:cs="Times New Roman" w:eastAsia="Times New Roman" w:hAnsi="Times New Roman"/>
          <w:sz w:val="21"/>
          <w:szCs w:val="21"/>
          <w:color w:val="auto"/>
          <w:vertAlign w:val="superscript"/>
        </w:rPr>
      </w:pPr>
    </w:p>
    <w:p>
      <w:pPr>
        <w:ind w:left="660" w:right="20" w:hanging="328"/>
        <w:spacing w:after="0" w:line="232" w:lineRule="auto"/>
        <w:tabs>
          <w:tab w:leader="none" w:pos="64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assets are included within property and equipment, net and finance lease liabilities are included within short-term and current maturities of long-term debt (current portion) and long-term debt (noncurrent portion) in the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Lease Cost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3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4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310"/>
        </w:trPr>
        <w:tc>
          <w:tcPr>
            <w:tcW w:w="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Finance lease cost: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1"/>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10"/>
        </w:trPr>
        <w:tc>
          <w:tcPr>
            <w:tcW w:w="2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260" w:hanging="328"/>
        <w:spacing w:after="0" w:line="237" w:lineRule="auto"/>
        <w:tabs>
          <w:tab w:leader="none" w:pos="64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expense is included within cost of processing and services, cost of product and selling, general and administrative expense, dependent upon the nature and use of the ROU asset, in the consolidated statements of income. Operating lease expense includes approximately $51 million, $41 million and $38 million of variable lease costs during the years ended December 31, 2024, 2023 and 2022, respectively.</w:t>
      </w:r>
    </w:p>
    <w:p>
      <w:pPr>
        <w:spacing w:after="0" w:line="32" w:lineRule="exact"/>
        <w:rPr>
          <w:rFonts w:ascii="Times New Roman" w:cs="Times New Roman" w:eastAsia="Times New Roman" w:hAnsi="Times New Roman"/>
          <w:sz w:val="21"/>
          <w:szCs w:val="21"/>
          <w:color w:val="auto"/>
          <w:vertAlign w:val="superscript"/>
        </w:rPr>
      </w:pPr>
    </w:p>
    <w:p>
      <w:pPr>
        <w:ind w:left="660" w:right="560" w:hanging="328"/>
        <w:spacing w:after="0" w:line="225" w:lineRule="auto"/>
        <w:tabs>
          <w:tab w:leader="none" w:pos="64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34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40" w:type="dxa"/>
            <w:vAlign w:val="bottom"/>
            <w:gridSpan w:val="2"/>
          </w:tcPr>
          <w:p>
            <w:pPr>
              <w:jc w:val="right"/>
              <w:ind w:right="7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20" w:type="dxa"/>
            <w:vAlign w:val="bottom"/>
          </w:tcPr>
          <w:p>
            <w:pPr>
              <w:spacing w:after="0"/>
              <w:rPr>
                <w:sz w:val="19"/>
                <w:szCs w:val="19"/>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4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20" w:type="dxa"/>
            <w:vAlign w:val="bottom"/>
          </w:tcPr>
          <w:p>
            <w:pPr>
              <w:spacing w:after="0"/>
              <w:rPr>
                <w:sz w:val="20"/>
                <w:szCs w:val="20"/>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42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9"/>
        </w:trPr>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10 years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 years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29"/>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4"/>
        </w:trPr>
        <w:tc>
          <w:tcPr>
            <w:tcW w:w="20" w:type="dxa"/>
            <w:vAlign w:val="bottom"/>
          </w:tcPr>
          <w:p>
            <w:pPr>
              <w:spacing w:after="0"/>
              <w:rPr>
                <w:sz w:val="20"/>
                <w:szCs w:val="20"/>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 of Lease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on leases with initial non-cancellable lease terms in excess of one year were due as follows at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31"/>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4"/>
                <w:szCs w:val="24"/>
                <w:color w:val="auto"/>
              </w:rPr>
            </w:pPr>
          </w:p>
        </w:tc>
        <w:tc>
          <w:tcPr>
            <w:tcW w:w="2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23"/>
                <w:szCs w:val="23"/>
                <w:b w:val="1"/>
                <w:bCs w:val="1"/>
                <w:color w:val="auto"/>
                <w:vertAlign w:val="superscript"/>
              </w:rPr>
              <w:t>(1) (2)</w:t>
            </w:r>
          </w:p>
        </w:tc>
        <w:tc>
          <w:tcPr>
            <w:tcW w:w="28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Finance Leases </w:t>
            </w:r>
            <w:r>
              <w:rPr>
                <w:rFonts w:ascii="Times New Roman" w:cs="Times New Roman" w:eastAsia="Times New Roman" w:hAnsi="Times New Roman"/>
                <w:sz w:val="23"/>
                <w:szCs w:val="23"/>
                <w:b w:val="1"/>
                <w:bCs w:val="1"/>
                <w:color w:val="auto"/>
                <w:vertAlign w:val="superscript"/>
              </w:rPr>
              <w:t>(3)</w:t>
            </w:r>
          </w:p>
        </w:tc>
      </w:tr>
      <w:tr>
        <w:trPr>
          <w:trHeight w:val="223"/>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payments include $42 million related to options to extend lease terms that are reasonably certain of being exercised.</w:t>
      </w:r>
    </w:p>
    <w:p>
      <w:pPr>
        <w:spacing w:after="0" w:line="50" w:lineRule="exact"/>
        <w:rPr>
          <w:rFonts w:ascii="Times New Roman" w:cs="Times New Roman" w:eastAsia="Times New Roman" w:hAnsi="Times New Roman"/>
          <w:sz w:val="21"/>
          <w:szCs w:val="21"/>
          <w:color w:val="auto"/>
          <w:vertAlign w:val="superscript"/>
        </w:rPr>
      </w:pPr>
    </w:p>
    <w:p>
      <w:pPr>
        <w:ind w:left="660" w:right="240" w:hanging="328"/>
        <w:spacing w:after="0" w:line="222" w:lineRule="auto"/>
        <w:tabs>
          <w:tab w:leader="none" w:pos="64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payments exclude $26 million of legally binding minimum lease payments for leases signed but not yet commenced. Operating leases that have been signed but not yet commenced are for real estate and will commence in 2025 with lease terms of up to 11 years.</w:t>
      </w:r>
    </w:p>
    <w:p>
      <w:pPr>
        <w:spacing w:after="0" w:line="33" w:lineRule="exact"/>
        <w:rPr>
          <w:rFonts w:ascii="Times New Roman" w:cs="Times New Roman" w:eastAsia="Times New Roman" w:hAnsi="Times New Roman"/>
          <w:sz w:val="21"/>
          <w:szCs w:val="21"/>
          <w:color w:val="auto"/>
          <w:vertAlign w:val="superscript"/>
        </w:rPr>
      </w:pPr>
    </w:p>
    <w:p>
      <w:pPr>
        <w:ind w:left="660" w:right="80" w:hanging="328"/>
        <w:spacing w:after="0" w:line="232" w:lineRule="auto"/>
        <w:tabs>
          <w:tab w:leader="none" w:pos="64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payments exclude $226 million of legally binding minimum lease payments for leases signed but not yet commenced. Finance leases that have been signed but not yet commenced are for equipment and will commence in 2025 with lease terms of up to 7 years.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as Lessor</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owns certain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one month to four years. For operating leases, the minimum lease payments received are recognized as lease income on a straight-line basis over the lease term and the leased asset is included in property and equipment, net in the consolidated balance sheets and depreciated over its estimated useful life.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value of the underlying asset at the end of the lease term. Unearned income is recognized as interest income within product revenue over the lease term. For sales-type leases, the Company derecognizes the carrying amount of the underlying leased asset and recognizes a net investment in the leased asset in the consolidated balance sheets. The net investment in a leased asset is computed based on the present value of the minimum lease payments not yet received, along with the present value of the residual value of the asset less unearned interest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Lease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4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Sales-type leases: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Selling profit </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0"/>
        </w:trPr>
        <w:tc>
          <w:tcPr>
            <w:tcW w:w="2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39"/>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lease income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bl>
    <w:p>
      <w:pPr>
        <w:spacing w:after="0" w:line="214" w:lineRule="exact"/>
        <w:rPr>
          <w:sz w:val="20"/>
          <w:szCs w:val="20"/>
          <w:color w:val="auto"/>
        </w:rPr>
      </w:pPr>
    </w:p>
    <w:p>
      <w:pPr>
        <w:jc w:val="both"/>
        <w:ind w:left="660" w:right="240" w:hanging="328"/>
        <w:spacing w:after="0" w:line="231" w:lineRule="auto"/>
        <w:tabs>
          <w:tab w:leader="none" w:pos="64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Selling profit includes $213 million, $160 million and $147 million recorded within product revenue with a corresponding charge of $139 million, $104 million and $92 million recorded within cost of product in the consolidated statements of income for the years ended December 31, 2024, 2023 and 2022, respectively. Interest income is included within product revenue in the consolidated statements of income.</w:t>
      </w:r>
    </w:p>
    <w:p>
      <w:pPr>
        <w:spacing w:after="0" w:line="47" w:lineRule="exact"/>
        <w:rPr>
          <w:rFonts w:ascii="Times New Roman" w:cs="Times New Roman" w:eastAsia="Times New Roman" w:hAnsi="Times New Roman"/>
          <w:sz w:val="21"/>
          <w:szCs w:val="21"/>
          <w:color w:val="auto"/>
          <w:vertAlign w:val="superscript"/>
        </w:rPr>
      </w:pPr>
    </w:p>
    <w:p>
      <w:pPr>
        <w:ind w:left="660" w:right="180" w:hanging="328"/>
        <w:spacing w:after="0" w:line="225" w:lineRule="auto"/>
        <w:tabs>
          <w:tab w:leader="none" w:pos="64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income includes a nominal amount of variable lease income and is included within product revenue in the consolidated statements of income for each of the years ended December 31, 2024, 2023 and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Net Investment in Sales-Type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5"/>
                <w:szCs w:val="15"/>
                <w:color w:val="auto"/>
              </w:rPr>
            </w:pPr>
          </w:p>
        </w:tc>
        <w:tc>
          <w:tcPr>
            <w:tcW w:w="1760" w:type="dxa"/>
            <w:vAlign w:val="bottom"/>
          </w:tcPr>
          <w:p>
            <w:pPr>
              <w:jc w:val="right"/>
              <w:ind w:right="8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jc w:val="right"/>
              <w:ind w:right="8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310"/>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values</w:t>
            </w: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1"/>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Unearned interest income</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63"/>
        </w:trPr>
        <w:tc>
          <w:tcPr>
            <w:tcW w:w="20" w:type="dxa"/>
            <w:vAlign w:val="bottom"/>
          </w:tcPr>
          <w:p>
            <w:pPr>
              <w:spacing w:after="0"/>
              <w:rPr>
                <w:sz w:val="22"/>
                <w:szCs w:val="22"/>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investment in leases </w:t>
            </w:r>
            <w:r>
              <w:rPr>
                <w:rFonts w:ascii="Times New Roman" w:cs="Times New Roman" w:eastAsia="Times New Roman" w:hAnsi="Times New Roman"/>
                <w:sz w:val="23"/>
                <w:szCs w:val="23"/>
                <w:color w:val="auto"/>
                <w:vertAlign w:val="superscript"/>
              </w:rPr>
              <w:t>(1)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120" w:hanging="328"/>
        <w:spacing w:after="0" w:line="232" w:lineRule="auto"/>
        <w:tabs>
          <w:tab w:leader="none" w:pos="64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investments in leased assets are included within prepaid expenses and other current assets (current portion) and other long-term assets (noncurrent portion)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receivable on sales-type leases were as follows at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31"/>
        </w:trPr>
        <w:tc>
          <w:tcPr>
            <w:tcW w:w="2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Sales-Type Leases</w:t>
            </w:r>
          </w:p>
        </w:tc>
      </w:tr>
      <w:tr>
        <w:trPr>
          <w:trHeight w:val="22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Payment Receivables Portfolio</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 specific risk factors, such as FICO score, number of years the lessee has been in business and the nature of the lessee’s industry, which are considered indicators of the likelihood a lessee may default in the future. The allowance for estimated credit losses on lease payment receivables was $50 million at each of December 31, 2024 and 2023.</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within product revenue is no longer recognized. Lease payment receivables are fully written off in the period they become delinquent greater than 180 days past due. Lease payment receivables that were determined to be on non-accrual status were nominal at each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46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the Company’s total debt were as follows at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r>
      <w:tr>
        <w:trPr>
          <w:trHeight w:val="230"/>
        </w:trPr>
        <w:tc>
          <w:tcPr>
            <w:tcW w:w="20" w:type="dxa"/>
            <w:vAlign w:val="bottom"/>
            <w:tcBorders>
              <w:bottom w:val="single" w:sz="8" w:color="CCEEFF"/>
            </w:tcBorders>
          </w:tcPr>
          <w:p>
            <w:pPr>
              <w:spacing w:after="0"/>
              <w:rPr>
                <w:sz w:val="19"/>
                <w:szCs w:val="19"/>
                <w:color w:val="auto"/>
              </w:rPr>
            </w:pPr>
          </w:p>
        </w:tc>
        <w:tc>
          <w:tcPr>
            <w:tcW w:w="9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23"/>
        </w:trPr>
        <w:tc>
          <w:tcPr>
            <w:tcW w:w="20" w:type="dxa"/>
            <w:vAlign w:val="bottom"/>
            <w:shd w:val="clear" w:color="auto" w:fill="CCEEFF"/>
          </w:tcPr>
          <w:p>
            <w:pPr>
              <w:spacing w:after="0"/>
              <w:rPr>
                <w:sz w:val="19"/>
                <w:szCs w:val="19"/>
                <w:color w:val="auto"/>
              </w:rPr>
            </w:pPr>
          </w:p>
        </w:tc>
        <w:tc>
          <w:tcPr>
            <w:tcW w:w="9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w:t>
            </w:r>
          </w:p>
        </w:tc>
      </w:tr>
      <w:tr>
        <w:trPr>
          <w:trHeight w:val="230"/>
        </w:trPr>
        <w:tc>
          <w:tcPr>
            <w:tcW w:w="20" w:type="dxa"/>
            <w:vAlign w:val="bottom"/>
            <w:tcBorders>
              <w:bottom w:val="single" w:sz="8" w:color="CCEEFF"/>
            </w:tcBorders>
          </w:tcPr>
          <w:p>
            <w:pPr>
              <w:spacing w:after="0"/>
              <w:rPr>
                <w:sz w:val="19"/>
                <w:szCs w:val="19"/>
                <w:color w:val="auto"/>
              </w:rPr>
            </w:pPr>
          </w:p>
        </w:tc>
        <w:tc>
          <w:tcPr>
            <w:tcW w:w="9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has outstanding $21.6 billion of various fixed-rate senior notes, as described above. 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 Interest on the Company’s U.S. dollar-denominated senior notes is paid semi-annually, while interest on its Euro- and British Pound-denominated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1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August 12, 2024, the Company completed the public offering and issuance of $1.75 billion of senior notes, comprised of $850 million aggregate principal amount of 4.750% senior notes due in March 2030 and $900 million aggregate principal amount of 5.150% senior notes due in August 2034.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4,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 for general corporate purposes, including the repayment of a portion of the Company’s commercial paper notes and for share repurchases, and in July 2024, the repayment of a portion of its 2.750% senior notes.</w:t>
      </w:r>
    </w:p>
    <w:p>
      <w:pPr>
        <w:spacing w:after="0" w:line="129"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At December 31, 2024, the 3.850% senior notes due in June 2025 and 2.250% senior notes due in July 2025 were classified in the consolidated balance sheet as long-term, as the Company has the intent to refinance this debt on a long-term basis, and the ability to do so under its revolving credit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$221 million and $418 million at December 31, 2024 and 2023, respectively, with weighted average interest rates of 4.534% and 5.454%, respectively. Outstanding borrowings under the Euro program were $1.2 billion and $1.3 billion at December 31, 2024 and 2023, respectively, with weighted average interest rates of 3.115% and 4.029%,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the Company’s long-term debt rating. Outstanding borrowings under the revolving credit facility were $115 million and $74 million at December 31, 2024 and 2023, respectively, with corresponding interest rates of 5.440% and 6.450%, respectively.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the Company’s foreign lines of credit and other borrowing arrangements by country at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880" w:type="dxa"/>
            <w:vAlign w:val="bottom"/>
            <w:tcBorders>
              <w:bottom w:val="single" w:sz="8" w:color="auto"/>
            </w:tcBorders>
          </w:tcPr>
          <w:p>
            <w:pPr>
              <w:spacing w:after="0"/>
              <w:rPr>
                <w:sz w:val="20"/>
                <w:szCs w:val="20"/>
                <w:color w:val="auto"/>
              </w:rPr>
            </w:pPr>
          </w:p>
        </w:tc>
      </w:tr>
      <w:tr>
        <w:trPr>
          <w:trHeight w:val="223"/>
        </w:trPr>
        <w:tc>
          <w:tcPr>
            <w:tcW w:w="2220" w:type="dxa"/>
            <w:vAlign w:val="bottom"/>
          </w:tcPr>
          <w:p>
            <w:pPr>
              <w:spacing w:after="0"/>
              <w:rPr>
                <w:sz w:val="19"/>
                <w:szCs w:val="19"/>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Pr>
          <w:p>
            <w:pPr>
              <w:spacing w:after="0"/>
              <w:rPr>
                <w:sz w:val="19"/>
                <w:szCs w:val="19"/>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50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121.581 %</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12.976 %</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13.500 %</w:t>
            </w: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1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11.125 %</w:t>
            </w:r>
          </w:p>
        </w:tc>
      </w:tr>
      <w:tr>
        <w:trPr>
          <w:trHeight w:val="229"/>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3.984 %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4.912 %</w:t>
            </w:r>
          </w:p>
        </w:tc>
      </w:tr>
      <w:tr>
        <w:trPr>
          <w:trHeight w:val="248"/>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31.695 %</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Deferred financing costs are amortized as a component of interest expense, net over the term of the underlying debt using the effective interest method. Deferred financing costs, primarily related to the Company’s senior notes, totaled $103 million and $94 million at December 31, 2024 and 2023, respectively, and are reported as a direct reduction of the related debt instrument in the consolidated balance sheets. Deferred financing costs related to the Company’s revolving credit facility are reported in other long-term assets in the consolidated balance sheets and totaled $5 million and $7 million at December 31,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Redeemable Noncontrolling Interests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merchant alliance joint ventures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is not solely within the Company’s control.</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redeemable noncontrolling interest was adjusted to reflect the estimated redemption value, with a corresponding adjustment recorded to additional paid-in capital within the consolidated statement of equity. Additionally, as the redeemable noncontrolling interest is now mandatorily redeemable, the Company’s obligation to satisfy the purchase of the interest has been reclassified as a current liability in the consolidated balance sheet (see Notes 1 and 10). The Company maintains an ongoing relationship with the former minority partner to provide processing and other support services following the termination of the joint venture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 activity during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estimated redemption value of redeemable noncontrolling interest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to current liability</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Pr>
          <w:p>
            <w:pPr>
              <w:spacing w:after="0"/>
              <w:rPr>
                <w:sz w:val="15"/>
                <w:szCs w:val="15"/>
                <w:color w:val="auto"/>
              </w:rPr>
            </w:pPr>
          </w:p>
        </w:tc>
        <w:tc>
          <w:tcPr>
            <w:tcW w:w="14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maintain defined contribution savings plans covering the majority of its employees. Under the plans, eligible participants may elect to contribute a specified percentage of their salaries and the Company makes matching contributions, each subject to certain limitations. The plans provide tax-deferred amounts for each participant, consisting of employee elective contributions, company matching and discretionary company contributions. Company matching contributions are 100% on the first 1% contributed and 50% on the next 4% contributed for eligible participants. Expenses for company contributions under these plans totaled $81 million, $78 million, and $79 million for the years ended December 31, 2024,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17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maintains frozen noncontributory defined benefit pension plans (collectively, the “Plans”) covering certain of its employees in the United Kingdom (“U.K.”), U.S., Germany and Austria, which provide benefits to eligible employees based on an employee’s average final compensation and years of service.</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Effective September 30, 2023, the Company terminated its U.K. and U.S. defined benefit pension plans. In March 2024, the Company entered into a group annuity insurance contract to provide for the administration of future payments to eligible plan participants of the terminated U.K. plan. In connection with the buy-in of this insurance policy, the plan’s projected benefit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obligation was remeasured to the value of the group annuity insurance contract, resulting in an unrecognized loss, net of tax, of approximately $63 million recorded in accumulated other comprehensive loss within the consolidated balance sheet.</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Upon the settlement of the terminated plans, which was completed in the fourth quarter of 2024, the Company funded a plan termination liability shortfall for the U.S. defined benefit pension plans of $20 million and recognized a non-cash pre-tax pension settlement charge for the U.K. and U.S. terminated defined benefit pension plans of $147 million. The settlement charge, which includes $15 million of surplus excise tax and other administrative costs, was recorded within other expense, net in the consolidated statement of income. Qualifying participants of the terminated plans were provided with election options as to how and when to receive their accrued benefits, such as an immediate one-time lump sum payment or monthly annuity. The amount of accrued vested benefits to be received by participants was not impacted by the terminations of the plans.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Funded Status</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the funded status of the Plans as of and for the years ended December 31: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U.K. Plan</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 and Other Plans</w:t>
            </w:r>
          </w:p>
        </w:tc>
      </w:tr>
      <w:tr>
        <w:trPr>
          <w:trHeight w:val="183"/>
        </w:trPr>
        <w:tc>
          <w:tcPr>
            <w:tcW w:w="470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Actuarial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Settlement of terminated plans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50"/>
        </w:trPr>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fair value of plan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10"/>
        </w:trPr>
        <w:tc>
          <w:tcPr>
            <w:tcW w:w="80" w:type="dxa"/>
            <w:vAlign w:val="bottom"/>
          </w:tcPr>
          <w:p>
            <w:pPr>
              <w:spacing w:after="0"/>
              <w:rPr>
                <w:sz w:val="24"/>
                <w:szCs w:val="24"/>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Company contribution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Settlement of terminated plans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0"/>
        </w:trPr>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8"/>
        </w:trPr>
        <w:tc>
          <w:tcPr>
            <w:tcW w:w="4700" w:type="dxa"/>
            <w:vAlign w:val="bottom"/>
            <w:tcBorders>
              <w:bottom w:val="single" w:sz="8" w:color="CCEEFF"/>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Funded status of the plans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180" w:hanging="328"/>
        <w:spacing w:after="0" w:line="225"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expects to receive an approximate $40 million refund (net of excise tax) of residual surplus in the first quarter of 2025 related the terminated U.K. defined benefit pension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Projected Benefit Obligations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records amounts relating to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affect the amount of pension expense in future periods. The Company reviewed its actuarial assumptions at least annually and modified the assumptions based on then-current rates and trends, as appropriate. The effects of modifications were recognized immediately within the consolidated balance sheets, and were generally amortized to operating income over future periods, with the deferred amount recorded in accumulated other comprehensive loss within the consolidated balance sheets. The Company’s funding policy was to contribute quarterly an amount as recommended by the Plans’ independent actuaries. The Company employed a building block approach in determining the expected long-term rate of return for plan assets with proper consideration of diversification and re-balancing. Historical markets were studied and long-term historical relationships between equities and fixed-income securities were preserved consistent with the widely accepted capital market principle that assets with higher volatility generate a greater return over the long run. Current market factors such as inflation and interest rates were evaluated before long-term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 assumptions were determined. Peer data and historical returns were reviewed to check for reasonableness and appropriateness.</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weighted-average rate assumptions used in the measurement of the Company’s projected benefit obligations and net periodic benefit expense as of and for the years ended December 31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Projected Benefit Obligations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Net Periodic Benefit Expense</w:t>
            </w:r>
          </w:p>
        </w:tc>
        <w:tc>
          <w:tcPr>
            <w:tcW w:w="56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9"/>
                <w:szCs w:val="19"/>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4.81 %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78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Assets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its termination, the Company’s investment strategy for the U.K. plan was to allocate the assets into two pools: (i) liability-hedging assets whereby the focus was risk management, protection and insurance relative to the liability target invested in, but not limited to, money market funds, debt, U.K. government bonds and U.K. government index-linked bonds; and (ii) return-seeking assets whereby the focus was on return generation and taking risk in a controlled manner. Such assets included equities, government bonds, high-yield bonds, property, commodities or hedge funds. Prior to their termination, the Company’s investment strategy for the U.S. plans employed a total return investment approach whereby a diversified blend of equities and fixed-income investments were used to maximize the long-term return of plan assets for a prudent level of risk. The Company set an allocation mix necessary to support the underlying plan liabilities as influenced significantly by the demographics of the participants and the frozen nature of the plans.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termination of these defined benefit pension plans, a modified investment allocation strategy was adopted for purposes of protecting the funded status of the respective plan assets subsequent to such terminations. The assets of the respective plans were invested exclusively in liability-hedging assets. Investment risk was measured and monitored on an ongoing basis through quarterly investment portfolio reviews, annual liability measurements, and periodic asset and liability studies.</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residual surplus assets carried and measured at fair value within the terminated U.K. plan at December 31, 2024 included $53 million of cash and cash equivalents (Level 1). The following table sets forth assets carried and measured at fair value on a recurring basis for the Plans at December 31,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13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23"/>
                <w:szCs w:val="23"/>
                <w:color w:val="auto"/>
                <w:vertAlign w:val="superscript"/>
              </w:rPr>
              <w:t>(3)</w:t>
            </w: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1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and cash equivalents include highly liquid investments in money market funds.</w:t>
      </w:r>
    </w:p>
    <w:p>
      <w:pPr>
        <w:spacing w:after="0" w:line="64"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Equity securities primarily consist of domestic, international and global equity pooled funds.</w:t>
      </w:r>
    </w:p>
    <w:p>
      <w:pPr>
        <w:spacing w:after="0" w:line="50" w:lineRule="exact"/>
        <w:rPr>
          <w:rFonts w:ascii="Times New Roman" w:cs="Times New Roman" w:eastAsia="Times New Roman" w:hAnsi="Times New Roman"/>
          <w:sz w:val="21"/>
          <w:szCs w:val="21"/>
          <w:color w:val="auto"/>
          <w:vertAlign w:val="superscript"/>
        </w:rPr>
      </w:pPr>
    </w:p>
    <w:p>
      <w:pPr>
        <w:ind w:left="660" w:right="60" w:hanging="328"/>
        <w:spacing w:after="0" w:line="215" w:lineRule="auto"/>
        <w:tabs>
          <w:tab w:leader="none" w:pos="64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Fixed income securities primarily consist of debt securities issued by U.S. and foreign government agencies and debt obligations issued by a variety of private and public corporations.</w:t>
      </w:r>
    </w:p>
    <w:p>
      <w:pPr>
        <w:spacing w:after="0" w:line="15"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investments primarily consist of index-linked government bonds, derivatives and other investments.</w:t>
      </w:r>
    </w:p>
    <w:p>
      <w:pPr>
        <w:spacing w:after="0" w:line="1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investments presented within the fair value hierarchy table above, the Plans’ assets included investments in various collective trusts that were measured at fair value using the net asset value per share (or its equivalent) practical expedient. Such investments totaled $99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Periodic Benefit Cost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(income)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7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5"/>
                <w:szCs w:val="15"/>
                <w:color w:val="auto"/>
              </w:rPr>
            </w:pPr>
          </w:p>
        </w:tc>
        <w:tc>
          <w:tcPr>
            <w:tcW w:w="134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awards are typically granted in the first quarter of the year; however, grants may also occur throughout the year, and primarily consist of the following:</w:t>
      </w:r>
    </w:p>
    <w:p>
      <w:pPr>
        <w:spacing w:after="0" w:line="106" w:lineRule="exact"/>
        <w:rPr>
          <w:sz w:val="20"/>
          <w:szCs w:val="20"/>
          <w:color w:val="auto"/>
        </w:rPr>
      </w:pPr>
    </w:p>
    <w:p>
      <w:pPr>
        <w:ind w:left="660" w:right="20" w:hanging="328"/>
        <w:spacing w:after="0" w:line="261" w:lineRule="auto"/>
        <w:tabs>
          <w:tab w:leader="none" w:pos="65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Restricted Stock Units and Awards </w:t>
      </w:r>
      <w:r>
        <w:rPr>
          <w:rFonts w:ascii="Times New Roman" w:cs="Times New Roman" w:eastAsia="Times New Roman" w:hAnsi="Times New Roman"/>
          <w:sz w:val="18"/>
          <w:szCs w:val="18"/>
          <w:color w:val="auto"/>
        </w:rPr>
        <w:t>– The Company grants restricted stock units and awards to employees and non-employee directors. Time-based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and award grants generally vest over a three- or four-year period. The Company recognizes compensation expense for restricted stock units and awards based on the market price of its common stock on the grant date over the period during which the units and awards vest.</w:t>
      </w:r>
    </w:p>
    <w:p>
      <w:pPr>
        <w:spacing w:after="0" w:line="125" w:lineRule="exact"/>
        <w:rPr>
          <w:rFonts w:ascii="Times New Roman" w:cs="Times New Roman" w:eastAsia="Times New Roman" w:hAnsi="Times New Roman"/>
          <w:sz w:val="18"/>
          <w:szCs w:val="18"/>
          <w:i w:val="1"/>
          <w:iCs w:val="1"/>
          <w:color w:val="auto"/>
        </w:rPr>
      </w:pPr>
    </w:p>
    <w:p>
      <w:pPr>
        <w:ind w:left="660" w:right="220" w:hanging="328"/>
        <w:spacing w:after="0" w:line="257" w:lineRule="auto"/>
        <w:tabs>
          <w:tab w:leader="none" w:pos="65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Performance Share Units </w:t>
      </w:r>
      <w:r>
        <w:rPr>
          <w:rFonts w:ascii="Times New Roman" w:cs="Times New Roman" w:eastAsia="Times New Roman" w:hAnsi="Times New Roman"/>
          <w:sz w:val="18"/>
          <w:szCs w:val="18"/>
          <w:color w:val="auto"/>
        </w:rPr>
        <w:t>– The Company grants performance share units to employees. The number of shares issued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is determined by the level of achievement of predefined performance goals, including earnings, revenue growth, integration attainment, and shareholder return. The Company recognizes compensation expense on performance share units ratably over the requisite performance period of the award, generally two to five years, to the extent management views the performance goals as probable of attainment. The Company recognizes compensation expense for the fair value of the shareholder return component over the requisite service period of the award.</w:t>
      </w:r>
    </w:p>
    <w:p>
      <w:pPr>
        <w:spacing w:after="0" w:line="128" w:lineRule="exact"/>
        <w:rPr>
          <w:rFonts w:ascii="Times New Roman" w:cs="Times New Roman" w:eastAsia="Times New Roman" w:hAnsi="Times New Roman"/>
          <w:sz w:val="18"/>
          <w:szCs w:val="18"/>
          <w:i w:val="1"/>
          <w:iCs w:val="1"/>
          <w:color w:val="auto"/>
        </w:rPr>
      </w:pPr>
    </w:p>
    <w:p>
      <w:pPr>
        <w:ind w:left="660" w:right="10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 The Company may grant stock options to employees and non-employee directors at exercise prices equal to the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stock on the dates of grant. Stock option grants generally vest over a three- or four-year period. All stock options expire ten years from the date of the award. The Company recognizes compensation expense for the fair value of the stock options over the requisite service period of the stock option award.</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 The Company maintains an employee stock purchase plan that allows eligible employees to purchase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each quarter through payroll deductions at a discount of the closing price of the Company’s common stock on the last business day of each calendar quarter. The employee discount of 5% under the employee stock purchase plan is considered non-compensatory and therefore does not give rise to recognizable compensation cost.</w:t>
      </w:r>
    </w:p>
    <w:p>
      <w:pPr>
        <w:spacing w:after="0" w:line="1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recognized $367 million, $342 million and $323 million of share-based compensation expense during the years ended December 31, 2024, 2023 and 2022, respectively. At December 31, 2024, the total remaining unrecognized compensation cost for restricted stock units and awards and performance share units, net of estimated forfeitures, of $341 million is expected to be recognized over a weighted-average period of 1.8 years. During the years ended December 31, 2024, 2023 and 2022, stock options to purchase 2.3 million, 2.4 million and 3.7 million shares, respectively, were exercised.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5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5"/>
                <w:szCs w:val="15"/>
                <w:color w:val="auto"/>
              </w:rPr>
            </w:pPr>
          </w:p>
        </w:tc>
        <w:tc>
          <w:tcPr>
            <w:tcW w:w="140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 conjunction with certain acquisitions, the Company granted restricted stock units with performance vesting provisions to be measured over two and five years, which are presented as performance share units within the table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 awards were granted during the years ended December 31, 2024, 2023 and 2022. A summary of stock option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7"/>
                <w:szCs w:val="17"/>
                <w:color w:val="auto"/>
              </w:rPr>
            </w:pPr>
          </w:p>
        </w:tc>
        <w:tc>
          <w:tcPr>
            <w:tcW w:w="14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15"/>
                <w:szCs w:val="15"/>
                <w:color w:val="auto"/>
              </w:rPr>
            </w:pPr>
          </w:p>
        </w:tc>
        <w:tc>
          <w:tcPr>
            <w:tcW w:w="146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240" w:type="dxa"/>
            <w:vAlign w:val="bottom"/>
          </w:tcPr>
          <w:p>
            <w:pPr>
              <w:spacing w:after="0"/>
              <w:rPr>
                <w:sz w:val="21"/>
                <w:szCs w:val="21"/>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 December 31, 2024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stock option and restricted stock unit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8"/>
                <w:szCs w:val="18"/>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restricted stock units and awards vested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184"/>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Income tax benefit from stock options exercised and restricted stock units and</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 vested</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stock options exercised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3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At December 31, 2024, 18.0 million share-based awards were available for grant under the Amended and Restated Fiserv, Inc. 2007 Omnibus Incentive Plan. Under its employee stock purchase plan, the Company issued 0.3 million, 0.4 million and 0.5 million shares during the years ended December 31, 2024, 2023 and 2022, respectively. At December 31, 2024, there were 22.7 million shares available for issuance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income before income taxes and income (loss) from investments in unconsolidated affiliates,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center"/>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income tax provision was as follows: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center"/>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tax provision (benefit):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5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w:t>
      </w:r>
    </w:p>
    <w:p>
      <w:pPr>
        <w:spacing w:after="0" w:line="20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intangibles income deduction</w:t>
            </w:r>
          </w:p>
        </w:tc>
        <w:tc>
          <w:tcPr>
            <w:tcW w:w="1920" w:type="dxa"/>
            <w:vAlign w:val="bottom"/>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benefit from share-based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businesses and subsidiary restructuring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92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6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Transferable federal tax credits </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 charge (see Note 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1"/>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160" w:hanging="328"/>
        <w:spacing w:after="0" w:line="244" w:lineRule="auto"/>
        <w:tabs>
          <w:tab w:leader="none" w:pos="661"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Pursuant to provisions under the Inflation Reduction Act, the Company purchased transferable federal tax credits during 2024 and 2023 from various counterparties. Such federal tax credits were purchased at negotiated discounts, resulting in an income tax benefit recorded during the years ended December 31, 2024 and 2023.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Leasing liabilities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36"/>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commissions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right-of-use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maintained a valuation allowance of $404 million and $467 million at December 31, 2024 and 2023, respectively, against its deferred tax assets. Substantially all of the valuation allowance relates to certain foreign and state net operating loss carryforwards.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reported in the consolidated balance sheets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deferred tax assets are included in other long-term assets in the consolidated balance sheets at December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of federal, state and foreign net operating loss carryforwards and foreign tax credit carryforwards: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5"/>
                <w:szCs w:val="15"/>
                <w:color w:val="auto"/>
              </w:rPr>
            </w:pPr>
          </w:p>
        </w:tc>
        <w:tc>
          <w:tcPr>
            <w:tcW w:w="146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operating loss carryforwards: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30"/>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43" w:lineRule="exact"/>
        <w:rPr>
          <w:sz w:val="20"/>
          <w:szCs w:val="20"/>
          <w:color w:val="auto"/>
        </w:rPr>
      </w:pPr>
    </w:p>
    <w:p>
      <w:pPr>
        <w:ind w:left="660" w:hanging="328"/>
        <w:spacing w:after="0" w:line="243" w:lineRule="auto"/>
        <w:tabs>
          <w:tab w:leader="none" w:pos="648"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December 31, 2024, the Company had federal net operating loss carryforwards of $28 million, most of which do not expire, state net operating loss carryforwards of $2.8 billion, most of which expire in 2025 through 2044, and foreign net operating loss carryforwards of $1.6 billion, of which $65 million expire in 2025 through 2044, and the remainder of which do not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asserts that its investment in its foreign subsidiaries is intended to be indefinitely reinvested. Undistributed historical and future earnings of its foreign subsidiaries are not considered to be indefinitely reinvested. Should these earnings be distributed in the future in the form of dividends or otherwise, the Company may be subject to foreign or U.S. taxes. The Company has the ability and intent to limit distributions so as to not make a distribution in excess of its investment in those subsidiaries. The Company will continue to monitor its global cash requirements and the need to recognize a deferred tax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5"/>
                <w:szCs w:val="15"/>
                <w:color w:val="auto"/>
              </w:rPr>
            </w:pPr>
          </w:p>
        </w:tc>
        <w:tc>
          <w:tcPr>
            <w:tcW w:w="130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5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Beginning of year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Increases for tax positions taken during the current year</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Increases for tax positions taken in prior years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Decreases for tax positions taken in prior years</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for settlements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Lapse of the statute of limitations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December 31, 2024, unrecognized tax benefits of $50 million, net of federal and state benefits, would affect the effective income tax rate if recognized. The Company believes it is reasonably possible that the liability for unrecognized tax benefits may decrease by up to $7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26"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Company classifies interest expense and penalties related to income taxes as components of its income tax provision. The income tax provision included interest expense and penalties on unrecognized tax benefits of $1 million in 2024, $2 million in 2023 and less than $1 million in 2022. Accrued interest expense and penalties related to unrecognized tax benefits totaled $16 million and $15 million at December 31, 2024 and 2023, respectively.</w:t>
      </w:r>
    </w:p>
    <w:p>
      <w:pPr>
        <w:spacing w:after="0" w:line="10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U.S. federal income tax returns for 2023 and 2024, and tax returns in certain states and foreign jurisdictions for 2017 through 2024,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$43 million and $32 million at December 31, 2024 and 2023, respectively, related to its various legal proceedings. The Company’s estimate of the possible range of exposure for various legal proceedings in excess of amounts accrued is $0 million to approximately $120 million. In the opinion of management, the liabilities, if any, which may ultimately result from such legal proceedings are not expected to have a material adverse effect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5,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$1.3 billion and $3.5 billion at December 31, 2024 and 2023,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Payments, net of recoveries, under such indemnification or warranty provisions were not material to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the Company’s business is conducted through merchant alliances between the Company and certain financial institutions (see Note 8).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2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$140 million, $177 million and $187 million during the years ended December 31, 2024, 2023 and 2022,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$21 million and $38 million of amounts due from unconsolidated merchant alliances included within trade accounts receivable, net in the Company’s consolidated balance sheets at December 31, 2024 and 2023,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7, 2023, the Company entered into a stock purchase agreement with ValueAct Capital Master Fund, L.P., an affiliate of which employed a member of the Company’s board of directors, to repurchase 4.1 million shares of the Company’s common stock for $121.98 per share in a privately negotiated transaction for an aggregate purchase price of $500 million. The repurchase was effected pursuant to an existing repurchase authorization for up to 75.0 million shares of the Company’s common stock approved by the Company’s board of directors on February 22, 2023. The share repurchase was completed on August 8, 2023, and the fair value of the repurchased shares of Company common stock was recorded to treasury stock during the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Following the Segment Realignment (see Note 1), 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spacing w:after="0" w:line="126" w:lineRule="exact"/>
        <w:rPr>
          <w:sz w:val="20"/>
          <w:szCs w:val="20"/>
          <w:color w:val="auto"/>
        </w:rPr>
      </w:pPr>
    </w:p>
    <w:p>
      <w:pPr>
        <w:ind w:left="660" w:right="140" w:hanging="328"/>
        <w:spacing w:after="0" w:line="230" w:lineRule="auto"/>
        <w:tabs>
          <w:tab w:leader="none" w:pos="65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point-of-sale and 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the Company’s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50"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160" w:hanging="328"/>
        <w:spacing w:after="0" w:line="284" w:lineRule="auto"/>
        <w:tabs>
          <w:tab w:leader="none" w:pos="6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who is also the Company’s CODM, assesses segment performance and makes strategic decisions on the allocation of resources. Additionally, the Company’s CEO provides oversight on business leadership and corporate strategy to the executive leadership team, who manages the day to day operations of the various business lines.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intersegement revenues contained within the respective reportable segment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postage reimbursements.</w:t>
      </w:r>
    </w:p>
    <w:p>
      <w:pPr>
        <w:spacing w:after="0" w:line="10" w:lineRule="exact"/>
        <w:rPr>
          <w:rFonts w:ascii="Times New Roman" w:cs="Times New Roman" w:eastAsia="Times New Roman" w:hAnsi="Times New Roman"/>
          <w:sz w:val="21"/>
          <w:szCs w:val="21"/>
          <w:color w:val="auto"/>
          <w:vertAlign w:val="superscript"/>
        </w:rPr>
      </w:pPr>
    </w:p>
    <w:p>
      <w:pPr>
        <w:ind w:left="660" w:right="320" w:hanging="328"/>
        <w:spacing w:after="0" w:line="213" w:lineRule="auto"/>
        <w:tabs>
          <w:tab w:leader="none" w:pos="64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compensation and benefit costs of Company employees, as well as expenses paid to third parties for consulting and temporary help, net of capitalized software costs.</w:t>
      </w:r>
    </w:p>
    <w:p>
      <w:pPr>
        <w:ind w:left="640" w:hanging="308"/>
        <w:spacing w:after="0" w:line="191" w:lineRule="auto"/>
        <w:tabs>
          <w:tab w:leader="none" w:pos="64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 of goods sold, payments to distribution partners and other reselling costs.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87" w:lineRule="auto"/>
        <w:tabs>
          <w:tab w:leader="none" w:pos="64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data processing, facility, and marketing costs that are directly charged to the reportable segments.</w:t>
      </w:r>
    </w:p>
    <w:p>
      <w:pPr>
        <w:ind w:left="660" w:right="300" w:hanging="328"/>
        <w:spacing w:after="0" w:line="220" w:lineRule="auto"/>
        <w:tabs>
          <w:tab w:leader="none" w:pos="64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centrally-managed costs, including sales, technology and administrative expenses, that are allocated to the reportable segments from Corporate and Other and are considered in the CODM’s evaluation of segment performance.</w:t>
      </w:r>
    </w:p>
    <w:p>
      <w:pPr>
        <w:spacing w:after="0" w:line="1"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acquisition-related intangible assets; costs associated with acquisition and divestiture activity; unallocated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corporate expenses; and gains or losses on sales of businesses.</w:t>
      </w:r>
    </w:p>
    <w:p>
      <w:pPr>
        <w:spacing w:after="0" w:line="20" w:lineRule="exact"/>
        <w:rPr>
          <w:sz w:val="20"/>
          <w:szCs w:val="20"/>
          <w:color w:val="auto"/>
        </w:rPr>
      </w:pPr>
    </w:p>
    <w:p>
      <w:pPr>
        <w:ind w:left="660" w:right="440" w:hanging="328"/>
        <w:spacing w:after="0" w:line="224" w:lineRule="auto"/>
        <w:tabs>
          <w:tab w:leader="none" w:pos="648"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foreign currency transaction gains and losses, gains or losses from a sale or change in fair value of investments in certain equity securities, amounts related to debt guarantee arrangements of certain equity method investments, and non-cash pension plan settlement charges.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significant items include: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7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Merchant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Financial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340" w:hanging="328"/>
        <w:spacing w:after="0" w:line="225" w:lineRule="auto"/>
        <w:tabs>
          <w:tab w:leader="none" w:pos="648"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associated with commissions, residual buyouts and deferred conversion costs included within personnel expenses, direct costs and other operating expenses, respectively, in the segment operating results tables above.</w:t>
      </w:r>
    </w:p>
    <w:p>
      <w:pPr>
        <w:ind w:left="640" w:hanging="308"/>
        <w:spacing w:after="0" w:line="201" w:lineRule="auto"/>
        <w:tabs>
          <w:tab w:leader="none" w:pos="64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amortization of acquisition-related intangible assets, such as customer relationships, software/technology and trade names.</w:t>
      </w:r>
    </w:p>
    <w:p>
      <w:pPr>
        <w:spacing w:after="0" w:line="1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evaluate the performance or allocate resources to its reportable segments using asset data. Long-lived assets, excluding goodwill and other intangibles, within the Company’s international regions comprised approximately 19% and 26% of total consolidated long-lived assets, excluding goodwill and other intangible assets,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 at</w:t>
            </w:r>
          </w:p>
        </w:tc>
        <w:tc>
          <w:tcPr>
            <w:tcW w:w="132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Charged to</w:t>
            </w:r>
          </w:p>
        </w:tc>
        <w:tc>
          <w:tcPr>
            <w:tcW w:w="12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76"/>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Costs and</w:t>
            </w:r>
          </w:p>
        </w:tc>
        <w:tc>
          <w:tcPr>
            <w:tcW w:w="158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660" w:type="dxa"/>
            <w:vAlign w:val="bottom"/>
            <w:gridSpan w:val="2"/>
            <w:vMerge w:val="continue"/>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23"/>
                <w:szCs w:val="23"/>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decrease in the deferred tax asset valuation allowance is primarily due to subsidiary restructurings.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6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04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Fiserv, Inc. </w:t>
      </w:r>
      <w:r>
        <w:rPr>
          <w:rFonts w:ascii="Times New Roman" w:cs="Times New Roman" w:eastAsia="Times New Roman" w:hAnsi="Times New Roman"/>
          <w:sz w:val="18"/>
          <w:szCs w:val="18"/>
          <w:b w:val="1"/>
          <w:bCs w:val="1"/>
          <w:color w:val="auto"/>
        </w:rPr>
        <w:t>Opinion on the Financial Statements</w:t>
      </w: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Fiserv, Inc. and subsidiaries (the “Company”) as of December 31, 2024 and 2023, the related consolidated statements of income, comprehensive income, equity, and cash flows, for each of the three years in the period ended December 31, 2024, and the related notes and the schedule listed in the Index at Item 8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54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 Refer to Note 1 and Note 3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the Company recognizes revenue when it satisfies a performance obligation by transferring control over a product or service to a customer, which may be at a point in time or over time. The Company’s revenue consists of a significant volume of transactions sourced from multiple systems and applications. The processing of such transactions and recording of the majority of revenue is system-driven and based on contractual terms with customers. In addition, contract modifications occur when the Company and its customers agree to modify existing customer contracts to change the scope or price (or both) of the contract. Contract modifications also occur when a customer terminates some, or all, of the existing services provided by the Company, which may result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 (iii) a cumulative catch-up adjustment to the original contract. Further, contract modifications require the identification and evaluation of the performance obligations of the modified contract,</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allocation of consideration to the remaining performance obligations and the period of recognition for each identified performance obligation.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identified the complexity of revenue processing and revenue recognition, including customer contract modifications, as a critical audit matter because of the increased extent of effort and involvement of professionals in our firm having expertise in information technology (IT) to identify, test, and evaluate the Company’s systems and automated controls and the management judgments necessary to determine the appropriate accounting. This required an increased extent of effort and a high degree of auditor judgment when performing audit procedures to evaluate whether revenue transactions were recognized appropriately.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revenue recognition included the following, among others:</w:t>
      </w:r>
    </w:p>
    <w:p>
      <w:pPr>
        <w:spacing w:after="0" w:line="25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revenue business processes, including those in place to reconcile the various reports extracted from the IT systems to the Company’s general ledger and those related to the Company’s accounting for contract modifications.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IT, we:</w:t>
      </w:r>
    </w:p>
    <w:p>
      <w:pPr>
        <w:spacing w:after="0" w:line="27" w:lineRule="exact"/>
        <w:rPr>
          <w:rFonts w:ascii="Times New Roman" w:cs="Times New Roman" w:eastAsia="Times New Roman" w:hAnsi="Times New Roman"/>
          <w:sz w:val="18"/>
          <w:szCs w:val="18"/>
          <w:color w:val="auto"/>
        </w:rPr>
      </w:pPr>
    </w:p>
    <w:p>
      <w:pPr>
        <w:ind w:left="1300" w:right="620" w:hanging="320"/>
        <w:spacing w:after="0" w:line="250"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ind w:left="1300" w:hanging="320"/>
        <w:spacing w:after="0" w:line="260"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system interface controls and automated controls within the relevant revenue streams, as well as the controls designed to assess the accuracy and completeness of revenue.</w:t>
      </w:r>
    </w:p>
    <w:p>
      <w:pPr>
        <w:spacing w:after="0" w:line="20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expectations of revenue at a disaggregated level based on historical transaction prices and current year volumes. We compared those estimates to revenue recognized by the Company.</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revenue transactions, we tested selected transactions by agreeing the amounts of revenue recognized to source documents and testing the mathematical accuracy of the recorded revenue.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significant customer contract modifications and performed the following procedures: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customer contracts.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contract represented a new contract or a contract modification and, if applicable, assessed the accounting treatment of any modification in scope or price.</w:t>
      </w: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new or remaining performance obligations.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transaction price and assessed the appropriateness of the allocation of consideration to each performance obligation.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pattern of delivery for each distinct performance obligation.</w:t>
      </w:r>
    </w:p>
    <w:p>
      <w:pPr>
        <w:spacing w:after="0" w:line="149" w:lineRule="exact"/>
        <w:rPr>
          <w:sz w:val="20"/>
          <w:szCs w:val="20"/>
          <w:color w:val="auto"/>
        </w:rPr>
      </w:pPr>
    </w:p>
    <w:p>
      <w:pPr>
        <w:ind w:right="16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Annual impairment test for one reporting unit — Refer to Note 1 and Note 7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determines the fair value of its reporting units using both a discounted cash flow model and a market approach. The determination of fair value using the discounted cash flow model requires management to make significant estimates and assumptions, which include assumptions related to revenue growth, margin growth, and discount rates. The goodwill balance was $36,584 million as of December 31, 2024. For all reporting units, the fair values exceeded the carrying values and therefore, no impairment was recognized.</w:t>
      </w:r>
    </w:p>
    <w:p>
      <w:pPr>
        <w:spacing w:after="0" w:line="1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one reporting unit we identified as a critical audit matter, which maintains a recorded goodwill balance of $1.3 billion, has a fair value exceeding its carrying value as of the annual assessment of 29%. Revenue growth, margin growth, and discount rates for this reporting unit are sensitive to significant and long-term deterioration in the macroeconomic environment, industry or market conditions.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identified goodwill for this reporting unit as a critical audit matter because of the significant estimates and assumptions management makes to estimate the fair value of this reporting unit and the sensitivity of operations to changes in the macroeconomic environment, industry or market conditions. This required a high degree of auditor judgment and an increased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extent of effort, including the need to involve professionals in our firm having expertise in valuation, when performing audit procedures to evaluate the reasonableness of management’s estimates and assumptions related to revenue growth, margin growth, and selection of the discount rates.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revenue growth, margin growth, and the selection of discount rates for this reporting unit included the following, among others:</w:t>
      </w:r>
    </w:p>
    <w:p>
      <w:pPr>
        <w:spacing w:after="0" w:line="108" w:lineRule="exact"/>
        <w:rPr>
          <w:sz w:val="20"/>
          <w:szCs w:val="20"/>
          <w:color w:val="auto"/>
        </w:rPr>
      </w:pPr>
    </w:p>
    <w:p>
      <w:pPr>
        <w:ind w:left="660" w:right="3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this reporting unit, specifically controls related to management’s forecasts and selection of the discount rates.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 (1) historical results, (2) industry reports containing analyses of the Company’s and its competitors’ products and (3) forecasted information included in Company press releases as well as in analyst and industry reports of the Company and companies in its peer group.</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valuation,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Disclosure Controls and Procedures</w:t>
      </w:r>
    </w:p>
    <w:p>
      <w:pPr>
        <w:spacing w:after="0" w:line="173" w:lineRule="exact"/>
        <w:rPr>
          <w:rFonts w:ascii="Times New Roman" w:cs="Times New Roman" w:eastAsia="Times New Roman" w:hAnsi="Times New Roman"/>
          <w:sz w:val="18"/>
          <w:szCs w:val="18"/>
          <w:i w:val="1"/>
          <w:iCs w:val="1"/>
          <w:color w:val="auto"/>
        </w:rPr>
      </w:pPr>
    </w:p>
    <w:p>
      <w:pPr>
        <w:jc w:val="both"/>
        <w:ind w:left="340" w:right="1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2024.</w:t>
      </w:r>
    </w:p>
    <w:p>
      <w:pPr>
        <w:spacing w:after="0" w:line="11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Report on Internal Control Over Financial Reporting</w:t>
      </w:r>
    </w:p>
    <w:p>
      <w:pPr>
        <w:spacing w:after="0" w:line="169"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rFonts w:ascii="Times New Roman" w:cs="Times New Roman" w:eastAsia="Times New Roman" w:hAnsi="Times New Roman"/>
          <w:sz w:val="18"/>
          <w:szCs w:val="18"/>
          <w:i w:val="1"/>
          <w:iCs w:val="1"/>
          <w:color w:val="auto"/>
        </w:rPr>
      </w:pPr>
    </w:p>
    <w:p>
      <w:pPr>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i w:val="1"/>
          <w:iCs w:val="1"/>
          <w:color w:val="auto"/>
        </w:rPr>
      </w:pPr>
    </w:p>
    <w:p>
      <w:pPr>
        <w:ind w:left="340" w:right="7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107" w:lineRule="exact"/>
        <w:rPr>
          <w:rFonts w:ascii="Times New Roman" w:cs="Times New Roman" w:eastAsia="Times New Roman" w:hAnsi="Times New Roman"/>
          <w:sz w:val="18"/>
          <w:szCs w:val="18"/>
          <w:i w:val="1"/>
          <w:iCs w:val="1"/>
          <w:color w:val="auto"/>
        </w:rPr>
      </w:pPr>
    </w:p>
    <w:p>
      <w:pPr>
        <w:ind w:left="340" w:right="1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2024.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management’s assessment, our management believes that, as of December 31, 2024,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was effective based on those criteria.</w:t>
      </w:r>
    </w:p>
    <w:p>
      <w:pPr>
        <w:spacing w:after="0" w:line="125" w:lineRule="exact"/>
        <w:rPr>
          <w:rFonts w:ascii="Times New Roman" w:cs="Times New Roman" w:eastAsia="Times New Roman" w:hAnsi="Times New Roman"/>
          <w:sz w:val="18"/>
          <w:szCs w:val="18"/>
          <w:i w:val="1"/>
          <w:iCs w:val="1"/>
          <w:color w:val="auto"/>
        </w:rPr>
      </w:pPr>
    </w:p>
    <w:p>
      <w:pPr>
        <w:ind w:left="340" w:right="4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105"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rFonts w:ascii="Times New Roman" w:cs="Times New Roman" w:eastAsia="Times New Roman" w:hAnsi="Times New Roman"/>
          <w:sz w:val="18"/>
          <w:szCs w:val="18"/>
          <w:i w:val="1"/>
          <w:iCs w:val="1"/>
          <w:color w:val="auto"/>
        </w:rPr>
      </w:pPr>
    </w:p>
    <w:p>
      <w:pPr>
        <w:ind w:left="340" w:right="2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December 31, 2024 that has materially affected, or is reasonably likely to materially affect, our internal control over financial reporting.</w:t>
      </w:r>
    </w:p>
    <w:p>
      <w:pPr>
        <w:spacing w:after="0" w:line="105"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 of Independent Registered Public Accounting Firm on Internal Control Over Financial Reporting</w:t>
      </w:r>
    </w:p>
    <w:p>
      <w:pPr>
        <w:spacing w:after="0" w:line="173" w:lineRule="exact"/>
        <w:rPr>
          <w:rFonts w:ascii="Times New Roman" w:cs="Times New Roman" w:eastAsia="Times New Roman" w:hAnsi="Times New Roman"/>
          <w:sz w:val="18"/>
          <w:szCs w:val="18"/>
          <w:i w:val="1"/>
          <w:iCs w:val="1"/>
          <w:color w:val="auto"/>
        </w:rPr>
      </w:pPr>
    </w:p>
    <w:p>
      <w:pPr>
        <w:ind w:left="340" w:right="1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Fiserv,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Fiserv,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right="560" w:firstLine="8"/>
        <w:spacing w:after="0" w:line="282"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during the three months ended December 31, 2024, none of the Company’s directors or Section 16 officers adopted or terminated a Rule 10b5-1 Trading Plan or “non-Rule 10b5-1 trading arrangement,” as defined in Item 408(a) of Regulation S-K.</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11, 2024, Adam Rosman, Chief Administrative Officer and Chief Legal Officer of the Company, adopted a trading arrangement for the sale of the Company’s common stock (a “Rule 10b5-1 Trading Plan”) that is intended to satisfy the affirmative defense conditions of Exchange Act Rule 10b5-1(c). Mr. Rosman’s Rule 10b5-1 Trading Plan provides for the sale of up to 17,906 shares of common stock pursuant to one or more limit orders until February 27, 2027.</w:t>
      </w:r>
    </w:p>
    <w:p>
      <w:pPr>
        <w:spacing w:after="0" w:line="122" w:lineRule="exact"/>
        <w:rPr>
          <w:sz w:val="20"/>
          <w:szCs w:val="20"/>
          <w:color w:val="auto"/>
        </w:rPr>
      </w:pPr>
    </w:p>
    <w:p>
      <w:pPr>
        <w:ind w:right="5260"/>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 Who We Are,” “Our Board of Directors – How We Are Selected, Elected and Evaluated,” “Our Board of Directors – How We Are Organized – Our Committees – Audit Committee,” and “Compensation Discussion and Analysis – Additional Compensation Policies – Securities Trading Policy” in our definitive proxy statement for our 2025 annual meeting of shareholders, which will be filed with the Securities and Exchange Commission no later than 120 days after the close of the fiscal year ended December 31, 2024.</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Conduct and Business Ethics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the “About – Investor Relations – Corporate Governance – Governance Documents”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information set forth under the captions “Our Board of Directors – How We Are Paid,” “Compensation Discussion and Analysis,” “Compensation Committee Report,” “Compensation Committee Interlocks and Insider Participation,” “Executive Compensation,” and “Pay Ratio” in our definitive proxy statement for our 2025 annual meeting of shareholders, which will be filed with the Securities and Exchange Commission no later than 120 days after the close of the fiscal year ended December 31, 2024.</w:t>
      </w:r>
    </w:p>
    <w:p>
      <w:pPr>
        <w:spacing w:after="0" w:line="1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 “Our Shareholders – Common Stock Ownership” in our definitive proxy statement for our 2025 annual meeting of shareholders, which will be filed with the Securities and Exchange Commission no later than 120 days the close of the fiscal year ended December 31, 2024, is incorporated by reference 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compensation plans under which equity securities are authorized for issuance as of December 31, 2024.</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4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40" w:type="dxa"/>
            <w:vAlign w:val="bottom"/>
            <w:tcBorders>
              <w:right w:val="single" w:sz="8" w:color="auto"/>
            </w:tcBorders>
            <w:vMerge w:val="continue"/>
          </w:tcPr>
          <w:p>
            <w:pPr>
              <w:spacing w:after="0"/>
              <w:rPr>
                <w:sz w:val="16"/>
                <w:szCs w:val="16"/>
                <w:color w:val="auto"/>
              </w:rPr>
            </w:pPr>
          </w:p>
        </w:tc>
        <w:tc>
          <w:tcPr>
            <w:tcW w:w="24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plans (excluding</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243"/>
        </w:trPr>
        <w:tc>
          <w:tcPr>
            <w:tcW w:w="4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Equity compensation plans approved by our shareholders </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3,583,029 </w:t>
            </w:r>
            <w:r>
              <w:rPr>
                <w:rFonts w:ascii="Times New Roman" w:cs="Times New Roman" w:eastAsia="Times New Roman" w:hAnsi="Times New Roman"/>
                <w:sz w:val="23"/>
                <w:szCs w:val="23"/>
                <w:color w:val="auto"/>
                <w:w w:val="95"/>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94.15 </w:t>
            </w:r>
            <w:r>
              <w:rPr>
                <w:rFonts w:ascii="Times New Roman" w:cs="Times New Roman" w:eastAsia="Times New Roman" w:hAnsi="Times New Roman"/>
                <w:sz w:val="23"/>
                <w:szCs w:val="23"/>
                <w:color w:val="auto"/>
                <w:w w:val="92"/>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 xml:space="preserve">18,013,195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our shareholders</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8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(5)</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3,583,029 </w:t>
            </w:r>
            <w:r>
              <w:rPr>
                <w:rFonts w:ascii="Times New Roman" w:cs="Times New Roman" w:eastAsia="Times New Roman" w:hAnsi="Times New Roman"/>
                <w:sz w:val="23"/>
                <w:szCs w:val="23"/>
                <w:color w:val="auto"/>
                <w:w w:val="95"/>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94.15 </w:t>
            </w:r>
            <w:r>
              <w:rPr>
                <w:rFonts w:ascii="Times New Roman" w:cs="Times New Roman" w:eastAsia="Times New Roman" w:hAnsi="Times New Roman"/>
                <w:sz w:val="23"/>
                <w:szCs w:val="23"/>
                <w:color w:val="auto"/>
                <w:w w:val="92"/>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 xml:space="preserve">18,013,195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360" w:hanging="328"/>
        <w:spacing w:after="0" w:line="237" w:lineRule="auto"/>
        <w:tabs>
          <w:tab w:leader="none" w:pos="64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Columns (a) and (c) of the table above do not include 4,540,827 unvested restricted stock units outstanding under the Amended and Restated Fiserv, Inc. 2007 Omnibus Incentive Plan (the “Incentive Plan”) or 22,679,972 shares authorized for issuance under the Fiserv, Inc. Amended and Restated Employee Stock Purchase Plan.</w:t>
      </w:r>
    </w:p>
    <w:p>
      <w:pPr>
        <w:spacing w:after="0" w:line="86" w:lineRule="exact"/>
        <w:rPr>
          <w:rFonts w:ascii="Times New Roman" w:cs="Times New Roman" w:eastAsia="Times New Roman" w:hAnsi="Times New Roman"/>
          <w:sz w:val="21"/>
          <w:szCs w:val="21"/>
          <w:color w:val="auto"/>
          <w:vertAlign w:val="superscript"/>
        </w:rPr>
      </w:pPr>
    </w:p>
    <w:p>
      <w:pPr>
        <w:ind w:left="660" w:right="260" w:hanging="328"/>
        <w:spacing w:after="0" w:line="232" w:lineRule="auto"/>
        <w:tabs>
          <w:tab w:leader="none" w:pos="64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options outstanding under the Incentive Plan; 1,966,382 shares subject to performance share units at the target award level under the Incentive Plan; and 173,778 shares subject to non-employee director deferred compensation notional units under the Incentive Plan.</w:t>
      </w:r>
    </w:p>
    <w:p>
      <w:pPr>
        <w:spacing w:after="0" w:line="88" w:lineRule="exact"/>
        <w:rPr>
          <w:rFonts w:ascii="Times New Roman" w:cs="Times New Roman" w:eastAsia="Times New Roman" w:hAnsi="Times New Roman"/>
          <w:sz w:val="21"/>
          <w:szCs w:val="21"/>
          <w:color w:val="auto"/>
          <w:vertAlign w:val="superscript"/>
        </w:rPr>
      </w:pPr>
    </w:p>
    <w:p>
      <w:pPr>
        <w:ind w:left="660" w:right="380" w:hanging="328"/>
        <w:spacing w:after="0" w:line="232" w:lineRule="auto"/>
        <w:tabs>
          <w:tab w:leader="none" w:pos="64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weighted-average exercise price of outstanding options under the Incentive Plan and does not take into account outstanding performance share units or non-employee director deferred compensation notional units under the Incentive Plan.</w:t>
      </w:r>
    </w:p>
    <w:p>
      <w:pPr>
        <w:spacing w:after="0" w:line="57"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number of shares available for future issuance under the Incentive Plan.</w:t>
      </w:r>
    </w:p>
    <w:p>
      <w:pPr>
        <w:spacing w:after="0" w:line="140" w:lineRule="exact"/>
        <w:rPr>
          <w:rFonts w:ascii="Times New Roman" w:cs="Times New Roman" w:eastAsia="Times New Roman" w:hAnsi="Times New Roman"/>
          <w:sz w:val="21"/>
          <w:szCs w:val="21"/>
          <w:color w:val="auto"/>
          <w:vertAlign w:val="superscript"/>
        </w:rPr>
      </w:pPr>
    </w:p>
    <w:p>
      <w:pPr>
        <w:ind w:left="660" w:right="80" w:hanging="328"/>
        <w:spacing w:after="0" w:line="245" w:lineRule="auto"/>
        <w:tabs>
          <w:tab w:leader="none" w:pos="64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table does not include 142,950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2024 at a weighted-average exercise price of $44.27.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This table also does not include 1,318 shares of restricted stock and restricted stock units outstanding under the 2015 First Data Plan, as of December 31, 2024. No additional equity awards will be made under the First Data Plans.</w:t>
      </w:r>
    </w:p>
    <w:p>
      <w:pPr>
        <w:spacing w:after="0" w:line="1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information set forth under the captions “Our Board of Directors – How We Are Organized – Our Independence,” and “Our Board of Directors – How We Govern – Review, Approval or Ratification of Transactions with Related Persons,” in our definitive proxy statement for our 2025 annual meeting of shareholders, which will be filed with the Securities and Exchange Commission no later than 120 days after the close of the fiscal year ended December 31, 2024.</w:t>
      </w:r>
    </w:p>
    <w:p>
      <w:pPr>
        <w:spacing w:after="0" w:line="1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7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information required by Item 14 is incorporated by reference to the information set forth under the captions “Independent Registered Public Accounting Firm and Fees” and “Audit Committee Pre-Approval Policy” in our definitive proxy statement for our 2025 annual meeting of shareholders, which will be filed with the Securities and Exchange Commission no later than 120 days after the close of the fiscal year ended December 31, 2024.</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p>
      <w:pPr>
        <w:spacing w:after="0" w:line="17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accompanying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Annual Report on Form 10-K.</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24"/>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4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gridSpan w:val="2"/>
          </w:tcPr>
          <w:p>
            <w:pPr>
              <w:jc w:val="center"/>
              <w:ind w:right="64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Borders>
              <w:left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right w:val="single" w:sz="8" w:color="auto"/>
            </w:tcBorders>
            <w:gridSpan w:val="3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Borders>
              <w:right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Restated Articles of Incorporation (1)</w:t>
              </w:r>
            </w:hyperlink>
          </w:p>
        </w:tc>
        <w:tc>
          <w:tcPr>
            <w:tcW w:w="580" w:type="dxa"/>
            <w:vAlign w:val="bottom"/>
            <w:vMerge w:val="restart"/>
          </w:tcPr>
          <w:p>
            <w:pPr>
              <w:spacing w:after="0"/>
              <w:rPr>
                <w:sz w:val="18"/>
                <w:szCs w:val="18"/>
                <w:color w:val="auto"/>
              </w:rPr>
            </w:pPr>
          </w:p>
        </w:tc>
        <w:tc>
          <w:tcPr>
            <w:tcW w:w="53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5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25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Amended and Restated By-laws (2)</w:t>
              </w:r>
            </w:hyperlink>
          </w:p>
        </w:tc>
        <w:tc>
          <w:tcPr>
            <w:tcW w:w="720" w:type="dxa"/>
            <w:vAlign w:val="bottom"/>
            <w:gridSpan w:val="2"/>
            <w:vMerge w:val="restart"/>
          </w:tcPr>
          <w:p>
            <w:pPr>
              <w:spacing w:after="0"/>
              <w:rPr>
                <w:sz w:val="19"/>
                <w:szCs w:val="19"/>
                <w:color w:val="auto"/>
              </w:rPr>
            </w:pPr>
          </w:p>
        </w:tc>
        <w:tc>
          <w:tcPr>
            <w:tcW w:w="534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vMerge w:val="continue"/>
          </w:tcPr>
          <w:p>
            <w:pPr>
              <w:spacing w:after="0"/>
              <w:rPr>
                <w:sz w:val="6"/>
                <w:szCs w:val="6"/>
                <w:color w:val="auto"/>
              </w:rPr>
            </w:pPr>
          </w:p>
        </w:tc>
        <w:tc>
          <w:tcPr>
            <w:tcW w:w="5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32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Description of Securities of the Registrant (3)</w:t>
              </w:r>
            </w:hyperlink>
          </w:p>
        </w:tc>
        <w:tc>
          <w:tcPr>
            <w:tcW w:w="534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tcPr>
          <w:p>
            <w:pPr>
              <w:spacing w:after="0"/>
              <w:rPr>
                <w:sz w:val="6"/>
                <w:szCs w:val="6"/>
                <w:color w:val="auto"/>
              </w:rPr>
            </w:pPr>
          </w:p>
        </w:tc>
        <w:tc>
          <w:tcPr>
            <w:tcW w:w="5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Indenture, dated as of November 20, 2007, by and among Fiserv, Inc., the guarantors named therein and U.S. Bank National</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10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Association (5)</w:t>
              </w:r>
            </w:hyperlink>
          </w:p>
        </w:tc>
        <w:tc>
          <w:tcPr>
            <w:tcW w:w="80" w:type="dxa"/>
            <w:vAlign w:val="bottom"/>
            <w:tcBorders>
              <w:top w:val="single" w:sz="8" w:color="0000FF"/>
              <w:bottom w:val="single" w:sz="8" w:color="0000FF"/>
            </w:tcBorders>
            <w:vMerge w:val="restart"/>
          </w:tcPr>
          <w:p>
            <w:pPr>
              <w:spacing w:after="0"/>
              <w:rPr>
                <w:sz w:val="17"/>
                <w:szCs w:val="17"/>
                <w:color w:val="auto"/>
              </w:rPr>
            </w:pPr>
          </w:p>
        </w:tc>
        <w:tc>
          <w:tcPr>
            <w:tcW w:w="520" w:type="dxa"/>
            <w:vAlign w:val="bottom"/>
            <w:tcBorders>
              <w:top w:val="single" w:sz="8" w:color="0000FF"/>
              <w:bottom w:val="single" w:sz="8" w:color="0000FF"/>
            </w:tcBorders>
            <w:gridSpan w:val="2"/>
            <w:vMerge w:val="restart"/>
          </w:tcPr>
          <w:p>
            <w:pPr>
              <w:spacing w:after="0"/>
              <w:rPr>
                <w:sz w:val="17"/>
                <w:szCs w:val="17"/>
                <w:color w:val="auto"/>
              </w:rPr>
            </w:pPr>
          </w:p>
        </w:tc>
        <w:tc>
          <w:tcPr>
            <w:tcW w:w="14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6760" w:type="dxa"/>
            <w:vAlign w:val="bottom"/>
            <w:tcBorders>
              <w:top w:val="single" w:sz="8" w:color="0000FF"/>
              <w:bottom w:val="single" w:sz="8" w:color="0000FF"/>
            </w:tcBorders>
            <w:gridSpan w:val="4"/>
            <w:vMerge w:val="restart"/>
          </w:tcPr>
          <w:p>
            <w:pPr>
              <w:spacing w:after="0"/>
              <w:rPr>
                <w:sz w:val="17"/>
                <w:szCs w:val="17"/>
                <w:color w:val="auto"/>
              </w:rPr>
            </w:pPr>
          </w:p>
        </w:tc>
        <w:tc>
          <w:tcPr>
            <w:tcW w:w="10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gridSpan w:val="2"/>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760" w:type="dxa"/>
            <w:vAlign w:val="bottom"/>
            <w:tcBorders>
              <w:bottom w:val="single" w:sz="8" w:color="auto"/>
            </w:tcBorders>
            <w:gridSpan w:val="4"/>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8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Thirteenth Supplemental Indenture, dated as of May 22, 2015, between Fiserv, Inc. and U.S. Bank National Association (6)</w:t>
              </w:r>
            </w:hyperlink>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Fifteenth Supplemental Indenture, dated as of September 25, 2018, between Fiserv, Inc. and U.S. Bank National Association (7)</w:t>
              </w:r>
            </w:hyperlink>
          </w:p>
        </w:tc>
        <w:tc>
          <w:tcPr>
            <w:tcW w:w="40" w:type="dxa"/>
            <w:vAlign w:val="bottom"/>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0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 xml:space="preserve">Seventeenth Supplemental Indenture, dated as of June 24, 2019, between Fiserv, Inc. and U.S. Bank National Association </w:t>
              </w:r>
            </w:hyperlink>
            <w:r>
              <w:rPr>
                <w:rFonts w:ascii="Times New Roman" w:cs="Times New Roman" w:eastAsia="Times New Roman" w:hAnsi="Times New Roman"/>
                <w:sz w:val="18"/>
                <w:szCs w:val="18"/>
                <w:color w:val="0000FF"/>
                <w:w w:val="99"/>
              </w:rPr>
              <w:t>(8)</w:t>
            </w: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Eighteenth Supplemental Indenture, dated as of June 24, 2019, between Fiserv, Inc. and U.S. Bank National Association (</w:t>
              </w:r>
            </w:hyperlink>
          </w:p>
        </w:tc>
        <w:tc>
          <w:tcPr>
            <w:tcW w:w="1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3"/>
              </w:rPr>
              <w:t>8)</w:t>
            </w: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8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gridSpan w:val="2"/>
            <w:vMerge w:val="restart"/>
          </w:tcPr>
          <w:p>
            <w:pPr>
              <w:spacing w:after="0"/>
              <w:rPr>
                <w:sz w:val="21"/>
                <w:szCs w:val="21"/>
                <w:color w:val="auto"/>
              </w:rPr>
            </w:pPr>
          </w:p>
        </w:tc>
        <w:tc>
          <w:tcPr>
            <w:tcW w:w="60" w:type="dxa"/>
            <w:vAlign w:val="bottom"/>
            <w:tcBorders>
              <w:right w:val="single" w:sz="8" w:color="auto"/>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7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gridSpan w:val="2"/>
            <w:vMerge w:val="continue"/>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gridSpan w:val="2"/>
            <w:vMerge w:val="continue"/>
          </w:tcPr>
          <w:p>
            <w:pPr>
              <w:spacing w:after="0"/>
              <w:rPr>
                <w:sz w:val="4"/>
                <w:szCs w:val="4"/>
                <w:color w:val="auto"/>
              </w:rPr>
            </w:pPr>
          </w:p>
        </w:tc>
        <w:tc>
          <w:tcPr>
            <w:tcW w:w="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Nineteenth Supplemental Indenture, dated as of June 24, 2019, between Fiserv, Inc. and U.S. Bank National Association (</w:t>
              </w:r>
            </w:hyperlink>
          </w:p>
        </w:tc>
        <w:tc>
          <w:tcPr>
            <w:tcW w:w="160" w:type="dxa"/>
            <w:vAlign w:val="bottom"/>
            <w:tcBorders>
              <w:bottom w:val="single" w:sz="8" w:color="0000FF"/>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0000FF"/>
                <w:w w:val="79"/>
              </w:rPr>
              <w:t>8)</w:t>
            </w: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8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gridSpan w:val="2"/>
            <w:vMerge w:val="restart"/>
          </w:tcPr>
          <w:p>
            <w:pPr>
              <w:spacing w:after="0"/>
              <w:rPr>
                <w:sz w:val="21"/>
                <w:szCs w:val="21"/>
                <w:color w:val="auto"/>
              </w:rPr>
            </w:pPr>
          </w:p>
        </w:tc>
        <w:tc>
          <w:tcPr>
            <w:tcW w:w="60" w:type="dxa"/>
            <w:vAlign w:val="bottom"/>
            <w:tcBorders>
              <w:right w:val="single" w:sz="8" w:color="auto"/>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7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gridSpan w:val="2"/>
            <w:vMerge w:val="continue"/>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gridSpan w:val="2"/>
            <w:vMerge w:val="continue"/>
          </w:tcPr>
          <w:p>
            <w:pPr>
              <w:spacing w:after="0"/>
              <w:rPr>
                <w:sz w:val="4"/>
                <w:szCs w:val="4"/>
                <w:color w:val="auto"/>
              </w:rPr>
            </w:pPr>
          </w:p>
        </w:tc>
        <w:tc>
          <w:tcPr>
            <w:tcW w:w="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Twenty-First Supplemental Indenture, dated as of July 1, 2019, between Fiserv, Inc. and U.S. Bank National Association (</w:t>
              </w:r>
            </w:hyperlink>
          </w:p>
        </w:tc>
        <w:tc>
          <w:tcPr>
            <w:tcW w:w="160" w:type="dxa"/>
            <w:vAlign w:val="bottom"/>
            <w:tcBorders>
              <w:bottom w:val="single" w:sz="8" w:color="0000FF"/>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0000FF"/>
                <w:w w:val="79"/>
              </w:rPr>
              <w:t>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7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Twenty-Second Supplemental Indenture, dated as of July 1, 2019, between Fiserv, Inc. and U.S. Bank National Association (</w:t>
              </w:r>
            </w:hyperlink>
          </w:p>
        </w:tc>
        <w:tc>
          <w:tcPr>
            <w:tcW w:w="14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79"/>
              </w:rPr>
              <w:t>9)</w:t>
            </w:r>
          </w:p>
        </w:tc>
        <w:tc>
          <w:tcPr>
            <w:tcW w:w="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gridSpan w:val="2"/>
            <w:vMerge w:val="restart"/>
          </w:tcPr>
          <w:p>
            <w:pPr>
              <w:spacing w:after="0"/>
              <w:rPr>
                <w:sz w:val="21"/>
                <w:szCs w:val="21"/>
                <w:color w:val="auto"/>
              </w:rPr>
            </w:pPr>
          </w:p>
        </w:tc>
        <w:tc>
          <w:tcPr>
            <w:tcW w:w="60" w:type="dxa"/>
            <w:vAlign w:val="bottom"/>
            <w:tcBorders>
              <w:right w:val="single" w:sz="8" w:color="auto"/>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7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5"/>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gridSpan w:val="2"/>
            <w:vMerge w:val="continue"/>
          </w:tcPr>
          <w:p>
            <w:pPr>
              <w:spacing w:after="0"/>
              <w:rPr>
                <w:sz w:val="4"/>
                <w:szCs w:val="4"/>
                <w:color w:val="auto"/>
              </w:rPr>
            </w:pPr>
          </w:p>
        </w:tc>
        <w:tc>
          <w:tcPr>
            <w:tcW w:w="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8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Twenty-Third Supplemental Indenture, dated as of July 1, 2019, between Fiserv, Inc. and U.S. Bank National Association (</w:t>
              </w:r>
            </w:hyperlink>
          </w:p>
        </w:tc>
        <w:tc>
          <w:tcPr>
            <w:tcW w:w="16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18"/>
                <w:szCs w:val="18"/>
                <w:color w:val="0000FF"/>
                <w:w w:val="93"/>
              </w:rPr>
              <w:t>9)</w:t>
            </w:r>
          </w:p>
        </w:tc>
        <w:tc>
          <w:tcPr>
            <w:tcW w:w="80" w:type="dxa"/>
            <w:vAlign w:val="bottom"/>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7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5"/>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4.11</w:t>
            </w:r>
          </w:p>
        </w:tc>
        <w:tc>
          <w:tcPr>
            <w:tcW w:w="6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Twenty-Fourth Supplemental Indenture, dated as of July 1, 2019, between Fiserv, Inc. and U.S. Bank National Association (</w:t>
              </w:r>
            </w:hyperlink>
          </w:p>
        </w:tc>
        <w:tc>
          <w:tcPr>
            <w:tcW w:w="1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70"/>
              </w:rPr>
              <w:t>9)</w:t>
            </w:r>
          </w:p>
        </w:tc>
        <w:tc>
          <w:tcPr>
            <w:tcW w:w="80" w:type="dxa"/>
            <w:vAlign w:val="bottom"/>
            <w:gridSpan w:val="2"/>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gridSpan w:val="2"/>
            <w:vMerge w:val="restart"/>
          </w:tcPr>
          <w:p>
            <w:pPr>
              <w:spacing w:after="0"/>
              <w:rPr>
                <w:sz w:val="21"/>
                <w:szCs w:val="21"/>
                <w:color w:val="auto"/>
              </w:rPr>
            </w:pPr>
          </w:p>
        </w:tc>
        <w:tc>
          <w:tcPr>
            <w:tcW w:w="60" w:type="dxa"/>
            <w:vAlign w:val="bottom"/>
            <w:tcBorders>
              <w:right w:val="single" w:sz="8" w:color="auto"/>
            </w:tcBorders>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7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4"/>
          </w:tcPr>
          <w:p>
            <w:pPr>
              <w:spacing w:after="0"/>
              <w:rPr>
                <w:sz w:val="4"/>
                <w:szCs w:val="4"/>
                <w:color w:val="auto"/>
              </w:rPr>
            </w:pPr>
          </w:p>
        </w:tc>
        <w:tc>
          <w:tcPr>
            <w:tcW w:w="140" w:type="dxa"/>
            <w:vAlign w:val="bottom"/>
            <w:tcBorders>
              <w:bottom w:val="single" w:sz="8" w:color="auto"/>
            </w:tcBorders>
            <w:gridSpan w:val="6"/>
          </w:tcPr>
          <w:p>
            <w:pPr>
              <w:spacing w:after="0"/>
              <w:rPr>
                <w:sz w:val="4"/>
                <w:szCs w:val="4"/>
                <w:color w:val="auto"/>
              </w:rPr>
            </w:pPr>
          </w:p>
        </w:tc>
        <w:tc>
          <w:tcPr>
            <w:tcW w:w="12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gridSpan w:val="2"/>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gridSpan w:val="2"/>
            <w:vMerge w:val="continue"/>
          </w:tcPr>
          <w:p>
            <w:pPr>
              <w:spacing w:after="0"/>
              <w:rPr>
                <w:sz w:val="4"/>
                <w:szCs w:val="4"/>
                <w:color w:val="auto"/>
              </w:rPr>
            </w:pPr>
          </w:p>
        </w:tc>
        <w:tc>
          <w:tcPr>
            <w:tcW w:w="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4.12</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 xml:space="preserve">Twenty-Fifth Supplemental Indenture, dated as of May 13, 2020, between Fiserv, Inc. and U.S. Bank National Association </w:t>
              </w:r>
            </w:hyperlink>
            <w:r>
              <w:rPr>
                <w:rFonts w:ascii="Times New Roman" w:cs="Times New Roman" w:eastAsia="Times New Roman" w:hAnsi="Times New Roman"/>
                <w:sz w:val="18"/>
                <w:szCs w:val="18"/>
                <w:color w:val="0000FF"/>
                <w:w w:val="99"/>
              </w:rPr>
              <w:t>(10)</w:t>
            </w: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4"/>
          </w:tcPr>
          <w:p>
            <w:pPr>
              <w:spacing w:after="0"/>
              <w:rPr>
                <w:sz w:val="6"/>
                <w:szCs w:val="6"/>
                <w:color w:val="auto"/>
              </w:rPr>
            </w:pPr>
          </w:p>
        </w:tc>
        <w:tc>
          <w:tcPr>
            <w:tcW w:w="340" w:type="dxa"/>
            <w:vAlign w:val="bottom"/>
            <w:tcBorders>
              <w:bottom w:val="single" w:sz="8" w:color="auto"/>
            </w:tcBorders>
            <w:gridSpan w:val="12"/>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4.13</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9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 xml:space="preserve">Twenty-Sixth Supplemental Indenture, dated as of May 13, 2020, between Fiserv, Inc. and U.S. Bank National Association </w:t>
              </w:r>
            </w:hyperlink>
            <w:r>
              <w:rPr>
                <w:rFonts w:ascii="Times New Roman" w:cs="Times New Roman" w:eastAsia="Times New Roman" w:hAnsi="Times New Roman"/>
                <w:sz w:val="18"/>
                <w:szCs w:val="18"/>
                <w:color w:val="0000FF"/>
                <w:w w:val="99"/>
              </w:rPr>
              <w:t>(10)</w:t>
            </w:r>
          </w:p>
        </w:tc>
        <w:tc>
          <w:tcPr>
            <w:tcW w:w="2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760" w:type="dxa"/>
            <w:vAlign w:val="bottom"/>
            <w:tcBorders>
              <w:bottom w:val="single" w:sz="8" w:color="auto"/>
            </w:tcBorders>
            <w:gridSpan w:val="4"/>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4"/>
          </w:tcPr>
          <w:p>
            <w:pPr>
              <w:spacing w:after="0"/>
              <w:rPr>
                <w:sz w:val="6"/>
                <w:szCs w:val="6"/>
                <w:color w:val="auto"/>
              </w:rPr>
            </w:pPr>
          </w:p>
        </w:tc>
        <w:tc>
          <w:tcPr>
            <w:tcW w:w="360" w:type="dxa"/>
            <w:vAlign w:val="bottom"/>
            <w:tcBorders>
              <w:bottom w:val="single" w:sz="8" w:color="auto"/>
            </w:tcBorders>
            <w:gridSpan w:val="13"/>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34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Twenty-Seventh Supplemental Indenture, dated as of March 2, 2023, between Fiserv, Inc. and U.S. Bank Trust Company,</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4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National Association (11)</w:t>
              </w:r>
            </w:hyperlink>
          </w:p>
        </w:tc>
        <w:tc>
          <w:tcPr>
            <w:tcW w:w="20" w:type="dxa"/>
            <w:vAlign w:val="bottom"/>
            <w:tcBorders>
              <w:top w:val="single" w:sz="8" w:color="0000FF"/>
              <w:bottom w:val="single" w:sz="8" w:color="0000FF"/>
            </w:tcBorders>
          </w:tcPr>
          <w:p>
            <w:pPr>
              <w:spacing w:after="0"/>
              <w:rPr>
                <w:sz w:val="17"/>
                <w:szCs w:val="17"/>
                <w:color w:val="auto"/>
              </w:rPr>
            </w:pPr>
          </w:p>
        </w:tc>
        <w:tc>
          <w:tcPr>
            <w:tcW w:w="6760" w:type="dxa"/>
            <w:vAlign w:val="bottom"/>
            <w:tcBorders>
              <w:top w:val="single" w:sz="8" w:color="0000FF"/>
              <w:bottom w:val="single" w:sz="8" w:color="0000FF"/>
            </w:tcBorders>
            <w:gridSpan w:val="4"/>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380" w:type="dxa"/>
            <w:vAlign w:val="bottom"/>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340" w:type="dxa"/>
            <w:vAlign w:val="bottom"/>
            <w:tcBorders>
              <w:right w:val="single" w:sz="8" w:color="auto"/>
            </w:tcBorders>
            <w:gridSpan w:val="3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Twenty-Eighth Supplemental Indenture, dated as of March 2, 2023, between Fiserv, Inc. and U.S. Bank Trust Company,</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620" w:type="dxa"/>
            <w:vAlign w:val="bottom"/>
            <w:tcBorders>
              <w:right w:val="single" w:sz="8" w:color="auto"/>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National Association (1</w:t>
              </w:r>
            </w:hyperlink>
          </w:p>
        </w:tc>
        <w:tc>
          <w:tcPr>
            <w:tcW w:w="140" w:type="dxa"/>
            <w:vAlign w:val="bottom"/>
            <w:tcBorders>
              <w:top w:val="single" w:sz="8" w:color="0000FF"/>
              <w:bottom w:val="single" w:sz="8" w:color="0000FF"/>
            </w:tcBorders>
          </w:tcPr>
          <w:p>
            <w:pPr>
              <w:jc w:val="right"/>
              <w:spacing w:after="0" w:line="182" w:lineRule="exact"/>
              <w:rPr>
                <w:rFonts w:ascii="Times New Roman" w:cs="Times New Roman" w:eastAsia="Times New Roman" w:hAnsi="Times New Roman"/>
                <w:sz w:val="18"/>
                <w:szCs w:val="18"/>
                <w:color w:val="0000FF"/>
                <w:w w:val="79"/>
              </w:rPr>
            </w:pPr>
            <w:hyperlink r:id="rId139">
              <w:r>
                <w:rPr>
                  <w:rFonts w:ascii="Times New Roman" w:cs="Times New Roman" w:eastAsia="Times New Roman" w:hAnsi="Times New Roman"/>
                  <w:sz w:val="18"/>
                  <w:szCs w:val="18"/>
                  <w:color w:val="0000FF"/>
                  <w:w w:val="79"/>
                </w:rPr>
                <w:t>1)</w:t>
              </w:r>
            </w:hyperlink>
          </w:p>
        </w:tc>
        <w:tc>
          <w:tcPr>
            <w:tcW w:w="20" w:type="dxa"/>
            <w:vAlign w:val="bottom"/>
            <w:tcBorders>
              <w:top w:val="single" w:sz="8" w:color="0000FF"/>
              <w:bottom w:val="single" w:sz="8" w:color="0000FF"/>
            </w:tcBorders>
          </w:tcPr>
          <w:p>
            <w:pPr>
              <w:spacing w:after="0"/>
              <w:rPr>
                <w:sz w:val="17"/>
                <w:szCs w:val="17"/>
                <w:color w:val="auto"/>
              </w:rPr>
            </w:pPr>
          </w:p>
        </w:tc>
        <w:tc>
          <w:tcPr>
            <w:tcW w:w="6760" w:type="dxa"/>
            <w:vAlign w:val="bottom"/>
            <w:tcBorders>
              <w:top w:val="single" w:sz="8" w:color="0000FF"/>
            </w:tcBorders>
            <w:gridSpan w:val="4"/>
          </w:tcPr>
          <w:p>
            <w:pPr>
              <w:spacing w:after="0"/>
              <w:rPr>
                <w:sz w:val="17"/>
                <w:szCs w:val="17"/>
                <w:color w:val="auto"/>
              </w:rPr>
            </w:pPr>
          </w:p>
        </w:tc>
        <w:tc>
          <w:tcPr>
            <w:tcW w:w="200" w:type="dxa"/>
            <w:vAlign w:val="bottom"/>
            <w:gridSpan w:val="5"/>
          </w:tcPr>
          <w:p>
            <w:pPr>
              <w:spacing w:after="0"/>
              <w:rPr>
                <w:sz w:val="17"/>
                <w:szCs w:val="17"/>
                <w:color w:val="auto"/>
              </w:rPr>
            </w:pPr>
          </w:p>
        </w:tc>
        <w:tc>
          <w:tcPr>
            <w:tcW w:w="380" w:type="dxa"/>
            <w:vAlign w:val="bottom"/>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8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Twenty-Ninth Supplemental Indenture, dated as of May 24, 2023, between Fiserv, Inc. and U.S. Bank and Trust Company,</w:t>
              </w:r>
            </w:hyperlink>
          </w:p>
        </w:tc>
        <w:tc>
          <w:tcPr>
            <w:tcW w:w="500" w:type="dxa"/>
            <w:vAlign w:val="bottom"/>
            <w:tcBorders>
              <w:right w:val="single" w:sz="8" w:color="auto"/>
            </w:tcBorders>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7"/>
          </w:tcPr>
          <w:p>
            <w:pPr>
              <w:spacing w:after="0" w:line="182"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National Association (12)</w:t>
              </w:r>
            </w:hyperlink>
          </w:p>
        </w:tc>
        <w:tc>
          <w:tcPr>
            <w:tcW w:w="7340" w:type="dxa"/>
            <w:vAlign w:val="bottom"/>
            <w:gridSpan w:val="23"/>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340" w:type="dxa"/>
            <w:vAlign w:val="bottom"/>
            <w:tcBorders>
              <w:bottom w:val="single" w:sz="8" w:color="0000FF"/>
              <w:right w:val="single" w:sz="8" w:color="auto"/>
            </w:tcBorders>
            <w:gridSpan w:val="34"/>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Thirtieth Supplemental Indenture, dated as of August 21, 2023, between Fiserv, Inc. and U.S. Bank and Trust Company, National</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Association (13)</w:t>
              </w:r>
            </w:hyperlink>
          </w:p>
        </w:tc>
        <w:tc>
          <w:tcPr>
            <w:tcW w:w="8020" w:type="dxa"/>
            <w:vAlign w:val="bottom"/>
            <w:gridSpan w:val="27"/>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Thirty-First Supplemental Indenture, dated as of August 21, 2023, between Fiserv, Inc. and U.S. Bank Trust Company, National</w:t>
              </w:r>
            </w:hyperlink>
          </w:p>
        </w:tc>
        <w:tc>
          <w:tcPr>
            <w:tcW w:w="120" w:type="dxa"/>
            <w:vAlign w:val="bottom"/>
            <w:tcBorders>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Association (13)</w:t>
              </w:r>
            </w:hyperlink>
          </w:p>
        </w:tc>
        <w:tc>
          <w:tcPr>
            <w:tcW w:w="8080" w:type="dxa"/>
            <w:vAlign w:val="bottom"/>
            <w:gridSpan w:val="29"/>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92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Thirty-Second Supplemental Indenture, dated as of March 4, 2024, between Fiserv, Inc. and U.S. Bank Trust Company, National</w:t>
              </w:r>
            </w:hyperlink>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Association (1</w:t>
              </w:r>
            </w:hyperlink>
          </w:p>
        </w:tc>
        <w:tc>
          <w:tcPr>
            <w:tcW w:w="140" w:type="dxa"/>
            <w:vAlign w:val="bottom"/>
            <w:tcBorders>
              <w:bottom w:val="single" w:sz="8" w:color="0000FF"/>
            </w:tcBorders>
            <w:gridSpan w:val="2"/>
          </w:tcPr>
          <w:p>
            <w:pPr>
              <w:jc w:val="right"/>
              <w:spacing w:after="0" w:line="182" w:lineRule="exact"/>
              <w:rPr>
                <w:rFonts w:ascii="Times New Roman" w:cs="Times New Roman" w:eastAsia="Times New Roman" w:hAnsi="Times New Roman"/>
                <w:sz w:val="18"/>
                <w:szCs w:val="18"/>
                <w:color w:val="0000FF"/>
                <w:w w:val="79"/>
              </w:rPr>
            </w:pPr>
            <w:hyperlink r:id="rId143">
              <w:r>
                <w:rPr>
                  <w:rFonts w:ascii="Times New Roman" w:cs="Times New Roman" w:eastAsia="Times New Roman" w:hAnsi="Times New Roman"/>
                  <w:sz w:val="18"/>
                  <w:szCs w:val="18"/>
                  <w:color w:val="0000FF"/>
                  <w:w w:val="79"/>
                </w:rPr>
                <w:t>4)</w:t>
              </w:r>
            </w:hyperlink>
          </w:p>
        </w:tc>
        <w:tc>
          <w:tcPr>
            <w:tcW w:w="8140" w:type="dxa"/>
            <w:vAlign w:val="bottom"/>
            <w:tcBorders>
              <w:right w:val="single" w:sz="8" w:color="auto"/>
            </w:tcBorders>
            <w:gridSpan w:val="30"/>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00" w:type="dxa"/>
            <w:vAlign w:val="bottom"/>
            <w:tcBorders>
              <w:top w:val="single" w:sz="8" w:color="auto"/>
              <w:left w:val="single" w:sz="8" w:color="auto"/>
              <w:right w:val="single" w:sz="8" w:color="auto"/>
            </w:tcBorders>
          </w:tcPr>
          <w:p>
            <w:pPr>
              <w:spacing w:after="0"/>
              <w:rPr>
                <w:sz w:val="18"/>
                <w:szCs w:val="18"/>
                <w:color w:val="auto"/>
              </w:rPr>
            </w:pPr>
          </w:p>
        </w:tc>
        <w:tc>
          <w:tcPr>
            <w:tcW w:w="9340" w:type="dxa"/>
            <w:vAlign w:val="bottom"/>
            <w:tcBorders>
              <w:top w:val="single" w:sz="8" w:color="auto"/>
              <w:right w:val="single" w:sz="8" w:color="auto"/>
            </w:tcBorders>
            <w:gridSpan w:val="4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Thirty-Third Supplemental Indenture, dated as of March 4, 2024, between Fiserv, Inc. and U.S. Bank Trust Company, National</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20" w:type="dxa"/>
            <w:vAlign w:val="bottom"/>
            <w:tcBorders>
              <w:top w:val="single" w:sz="8" w:color="0000FF"/>
              <w:bottom w:val="single" w:sz="8" w:color="0000FF"/>
            </w:tcBorders>
          </w:tcPr>
          <w:p>
            <w:pPr>
              <w:spacing w:after="0"/>
              <w:rPr>
                <w:sz w:val="17"/>
                <w:szCs w:val="17"/>
                <w:color w:val="auto"/>
              </w:rPr>
            </w:pPr>
          </w:p>
        </w:tc>
        <w:tc>
          <w:tcPr>
            <w:tcW w:w="11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Association (14)</w:t>
              </w:r>
            </w:hyperlink>
          </w:p>
        </w:tc>
        <w:tc>
          <w:tcPr>
            <w:tcW w:w="1000" w:type="dxa"/>
            <w:vAlign w:val="bottom"/>
            <w:tcBorders>
              <w:top w:val="single" w:sz="8" w:color="0000FF"/>
              <w:bottom w:val="single" w:sz="8" w:color="0000FF"/>
            </w:tcBorders>
          </w:tcPr>
          <w:p>
            <w:pPr>
              <w:spacing w:after="0"/>
              <w:rPr>
                <w:sz w:val="17"/>
                <w:szCs w:val="17"/>
                <w:color w:val="auto"/>
              </w:rPr>
            </w:pPr>
          </w:p>
        </w:tc>
        <w:tc>
          <w:tcPr>
            <w:tcW w:w="1280" w:type="dxa"/>
            <w:vAlign w:val="bottom"/>
            <w:tcBorders>
              <w:top w:val="single" w:sz="8" w:color="0000FF"/>
              <w:bottom w:val="single" w:sz="8" w:color="0000FF"/>
            </w:tcBorders>
          </w:tcPr>
          <w:p>
            <w:pPr>
              <w:spacing w:after="0"/>
              <w:rPr>
                <w:sz w:val="17"/>
                <w:szCs w:val="17"/>
                <w:color w:val="auto"/>
              </w:rPr>
            </w:pPr>
          </w:p>
        </w:tc>
        <w:tc>
          <w:tcPr>
            <w:tcW w:w="60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3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4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6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17"/>
                <w:szCs w:val="17"/>
                <w:color w:val="auto"/>
              </w:rPr>
            </w:pPr>
          </w:p>
        </w:tc>
        <w:tc>
          <w:tcPr>
            <w:tcW w:w="780" w:type="dxa"/>
            <w:vAlign w:val="bottom"/>
            <w:tcBorders>
              <w:top w:val="single" w:sz="8" w:color="0000FF"/>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9340" w:type="dxa"/>
            <w:vAlign w:val="bottom"/>
            <w:tcBorders>
              <w:right w:val="single" w:sz="8" w:color="auto"/>
            </w:tcBorders>
            <w:gridSpan w:val="42"/>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Thirty-Fourth Supplemental Indenture, dated as of March 4, 2024, between Fiserv, Inc. and U.S. Bank Trust Company, National</w:t>
              </w:r>
            </w:hyperlink>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0" w:type="dxa"/>
            <w:vAlign w:val="bottom"/>
            <w:tcBorders>
              <w:top w:val="single" w:sz="8" w:color="0000FF"/>
              <w:bottom w:val="single" w:sz="8" w:color="0000FF"/>
            </w:tcBorders>
          </w:tcPr>
          <w:p>
            <w:pPr>
              <w:spacing w:after="0"/>
              <w:rPr>
                <w:sz w:val="18"/>
                <w:szCs w:val="18"/>
                <w:color w:val="auto"/>
              </w:rPr>
            </w:pPr>
          </w:p>
        </w:tc>
        <w:tc>
          <w:tcPr>
            <w:tcW w:w="10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Association (1</w:t>
              </w:r>
            </w:hyperlink>
          </w:p>
        </w:tc>
        <w:tc>
          <w:tcPr>
            <w:tcW w:w="140" w:type="dxa"/>
            <w:vAlign w:val="bottom"/>
            <w:tcBorders>
              <w:top w:val="single" w:sz="8" w:color="0000FF"/>
              <w:bottom w:val="single" w:sz="8" w:color="0000FF"/>
            </w:tcBorders>
          </w:tcPr>
          <w:p>
            <w:pPr>
              <w:jc w:val="right"/>
              <w:spacing w:after="0" w:line="182" w:lineRule="exact"/>
              <w:rPr>
                <w:rFonts w:ascii="Times New Roman" w:cs="Times New Roman" w:eastAsia="Times New Roman" w:hAnsi="Times New Roman"/>
                <w:sz w:val="18"/>
                <w:szCs w:val="18"/>
                <w:color w:val="0000FF"/>
                <w:w w:val="79"/>
              </w:rPr>
            </w:pPr>
            <w:hyperlink r:id="rId146">
              <w:r>
                <w:rPr>
                  <w:rFonts w:ascii="Times New Roman" w:cs="Times New Roman" w:eastAsia="Times New Roman" w:hAnsi="Times New Roman"/>
                  <w:sz w:val="18"/>
                  <w:szCs w:val="18"/>
                  <w:color w:val="0000FF"/>
                  <w:w w:val="79"/>
                </w:rPr>
                <w:t>4)</w:t>
              </w:r>
            </w:hyperlink>
          </w:p>
        </w:tc>
        <w:tc>
          <w:tcPr>
            <w:tcW w:w="1000" w:type="dxa"/>
            <w:vAlign w:val="bottom"/>
            <w:tcBorders>
              <w:top w:val="single" w:sz="8" w:color="0000FF"/>
              <w:bottom w:val="single" w:sz="8" w:color="0000FF"/>
            </w:tcBorders>
          </w:tcPr>
          <w:p>
            <w:pPr>
              <w:spacing w:after="0"/>
              <w:rPr>
                <w:sz w:val="18"/>
                <w:szCs w:val="18"/>
                <w:color w:val="auto"/>
              </w:rPr>
            </w:pPr>
          </w:p>
        </w:tc>
        <w:tc>
          <w:tcPr>
            <w:tcW w:w="1280" w:type="dxa"/>
            <w:vAlign w:val="bottom"/>
            <w:tcBorders>
              <w:top w:val="single" w:sz="8" w:color="0000FF"/>
              <w:bottom w:val="single" w:sz="8" w:color="0000FF"/>
            </w:tcBorders>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18"/>
                <w:szCs w:val="18"/>
                <w:color w:val="auto"/>
              </w:rPr>
            </w:pPr>
          </w:p>
        </w:tc>
        <w:tc>
          <w:tcPr>
            <w:tcW w:w="2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20" w:type="dxa"/>
            <w:vAlign w:val="bottom"/>
            <w:tcBorders>
              <w:top w:val="single" w:sz="8" w:color="0000FF"/>
              <w:bottom w:val="single" w:sz="8" w:color="0000FF"/>
            </w:tcBorders>
          </w:tcPr>
          <w:p>
            <w:pPr>
              <w:spacing w:after="0"/>
              <w:rPr>
                <w:sz w:val="18"/>
                <w:szCs w:val="18"/>
                <w:color w:val="auto"/>
              </w:rPr>
            </w:pPr>
          </w:p>
        </w:tc>
        <w:tc>
          <w:tcPr>
            <w:tcW w:w="20" w:type="dxa"/>
            <w:vAlign w:val="bottom"/>
            <w:tcBorders>
              <w:top w:val="single" w:sz="8" w:color="0000FF"/>
              <w:bottom w:val="single" w:sz="8" w:color="0000FF"/>
            </w:tcBorders>
          </w:tcPr>
          <w:p>
            <w:pPr>
              <w:spacing w:after="0"/>
              <w:rPr>
                <w:sz w:val="18"/>
                <w:szCs w:val="18"/>
                <w:color w:val="auto"/>
              </w:rPr>
            </w:pPr>
          </w:p>
        </w:tc>
        <w:tc>
          <w:tcPr>
            <w:tcW w:w="40" w:type="dxa"/>
            <w:vAlign w:val="bottom"/>
            <w:tcBorders>
              <w:top w:val="single" w:sz="8" w:color="0000FF"/>
              <w:bottom w:val="single" w:sz="8" w:color="0000FF"/>
            </w:tcBorders>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20" w:type="dxa"/>
            <w:vAlign w:val="bottom"/>
            <w:tcBorders>
              <w:top w:val="single" w:sz="8" w:color="0000FF"/>
              <w:bottom w:val="single" w:sz="8" w:color="0000FF"/>
            </w:tcBorders>
          </w:tcPr>
          <w:p>
            <w:pPr>
              <w:spacing w:after="0"/>
              <w:rPr>
                <w:sz w:val="18"/>
                <w:szCs w:val="18"/>
                <w:color w:val="auto"/>
              </w:rPr>
            </w:pPr>
          </w:p>
        </w:tc>
        <w:tc>
          <w:tcPr>
            <w:tcW w:w="180" w:type="dxa"/>
            <w:vAlign w:val="bottom"/>
            <w:tcBorders>
              <w:top w:val="single" w:sz="8" w:color="0000FF"/>
              <w:bottom w:val="single" w:sz="8" w:color="0000FF"/>
            </w:tcBorders>
          </w:tcPr>
          <w:p>
            <w:pPr>
              <w:spacing w:after="0"/>
              <w:rPr>
                <w:sz w:val="18"/>
                <w:szCs w:val="18"/>
                <w:color w:val="auto"/>
              </w:rPr>
            </w:pPr>
          </w:p>
        </w:tc>
        <w:tc>
          <w:tcPr>
            <w:tcW w:w="60" w:type="dxa"/>
            <w:vAlign w:val="bottom"/>
            <w:tcBorders>
              <w:top w:val="single" w:sz="8" w:color="0000FF"/>
              <w:bottom w:val="single" w:sz="8" w:color="0000FF"/>
            </w:tcBorders>
          </w:tcPr>
          <w:p>
            <w:pPr>
              <w:spacing w:after="0"/>
              <w:rPr>
                <w:sz w:val="18"/>
                <w:szCs w:val="18"/>
                <w:color w:val="auto"/>
              </w:rPr>
            </w:pPr>
          </w:p>
        </w:tc>
        <w:tc>
          <w:tcPr>
            <w:tcW w:w="140" w:type="dxa"/>
            <w:vAlign w:val="bottom"/>
            <w:tcBorders>
              <w:top w:val="single" w:sz="8" w:color="0000FF"/>
              <w:bottom w:val="single" w:sz="8" w:color="0000FF"/>
            </w:tcBorders>
          </w:tcPr>
          <w:p>
            <w:pPr>
              <w:spacing w:after="0"/>
              <w:rPr>
                <w:sz w:val="18"/>
                <w:szCs w:val="18"/>
                <w:color w:val="auto"/>
              </w:rPr>
            </w:pPr>
          </w:p>
        </w:tc>
        <w:tc>
          <w:tcPr>
            <w:tcW w:w="120" w:type="dxa"/>
            <w:vAlign w:val="bottom"/>
            <w:tcBorders>
              <w:top w:val="single" w:sz="8" w:color="0000FF"/>
              <w:bottom w:val="single" w:sz="8" w:color="0000FF"/>
            </w:tcBorders>
          </w:tcPr>
          <w:p>
            <w:pPr>
              <w:spacing w:after="0"/>
              <w:rPr>
                <w:sz w:val="18"/>
                <w:szCs w:val="18"/>
                <w:color w:val="auto"/>
              </w:rPr>
            </w:pPr>
          </w:p>
        </w:tc>
        <w:tc>
          <w:tcPr>
            <w:tcW w:w="180" w:type="dxa"/>
            <w:vAlign w:val="bottom"/>
            <w:tcBorders>
              <w:top w:val="single" w:sz="8" w:color="0000FF"/>
              <w:bottom w:val="single" w:sz="8" w:color="0000FF"/>
            </w:tcBorders>
          </w:tcPr>
          <w:p>
            <w:pPr>
              <w:spacing w:after="0"/>
              <w:rPr>
                <w:sz w:val="18"/>
                <w:szCs w:val="18"/>
                <w:color w:val="auto"/>
              </w:rPr>
            </w:pPr>
          </w:p>
        </w:tc>
        <w:tc>
          <w:tcPr>
            <w:tcW w:w="20" w:type="dxa"/>
            <w:vAlign w:val="bottom"/>
            <w:tcBorders>
              <w:top w:val="single" w:sz="8" w:color="0000FF"/>
              <w:bottom w:val="single" w:sz="8" w:color="0000FF"/>
            </w:tcBorders>
          </w:tcPr>
          <w:p>
            <w:pPr>
              <w:spacing w:after="0"/>
              <w:rPr>
                <w:sz w:val="18"/>
                <w:szCs w:val="18"/>
                <w:color w:val="auto"/>
              </w:rPr>
            </w:pPr>
          </w:p>
        </w:tc>
        <w:tc>
          <w:tcPr>
            <w:tcW w:w="40" w:type="dxa"/>
            <w:vAlign w:val="bottom"/>
            <w:tcBorders>
              <w:top w:val="single" w:sz="8" w:color="0000FF"/>
              <w:bottom w:val="single" w:sz="8" w:color="0000FF"/>
            </w:tcBorders>
          </w:tcPr>
          <w:p>
            <w:pPr>
              <w:spacing w:after="0"/>
              <w:rPr>
                <w:sz w:val="18"/>
                <w:szCs w:val="18"/>
                <w:color w:val="auto"/>
              </w:rPr>
            </w:pPr>
          </w:p>
        </w:tc>
        <w:tc>
          <w:tcPr>
            <w:tcW w:w="32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60" w:type="dxa"/>
            <w:vAlign w:val="bottom"/>
            <w:tcBorders>
              <w:top w:val="single" w:sz="8" w:color="0000FF"/>
              <w:bottom w:val="single" w:sz="8" w:color="0000FF"/>
            </w:tcBorders>
          </w:tcPr>
          <w:p>
            <w:pPr>
              <w:spacing w:after="0"/>
              <w:rPr>
                <w:sz w:val="18"/>
                <w:szCs w:val="18"/>
                <w:color w:val="auto"/>
              </w:rPr>
            </w:pPr>
          </w:p>
        </w:tc>
        <w:tc>
          <w:tcPr>
            <w:tcW w:w="44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120" w:type="dxa"/>
            <w:vAlign w:val="bottom"/>
            <w:tcBorders>
              <w:top w:val="single" w:sz="8" w:color="0000FF"/>
              <w:bottom w:val="single" w:sz="8" w:color="0000FF"/>
            </w:tcBorders>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18"/>
                <w:szCs w:val="18"/>
                <w:color w:val="auto"/>
              </w:rPr>
            </w:pPr>
          </w:p>
        </w:tc>
        <w:tc>
          <w:tcPr>
            <w:tcW w:w="480" w:type="dxa"/>
            <w:vAlign w:val="bottom"/>
            <w:tcBorders>
              <w:top w:val="single" w:sz="8" w:color="0000FF"/>
              <w:bottom w:val="single" w:sz="8" w:color="0000FF"/>
            </w:tcBorders>
          </w:tcPr>
          <w:p>
            <w:pPr>
              <w:spacing w:after="0"/>
              <w:rPr>
                <w:sz w:val="18"/>
                <w:szCs w:val="18"/>
                <w:color w:val="auto"/>
              </w:rPr>
            </w:pPr>
          </w:p>
        </w:tc>
        <w:tc>
          <w:tcPr>
            <w:tcW w:w="60" w:type="dxa"/>
            <w:vAlign w:val="bottom"/>
            <w:tcBorders>
              <w:top w:val="single" w:sz="8" w:color="0000FF"/>
              <w:bottom w:val="single" w:sz="8" w:color="0000FF"/>
            </w:tcBorders>
          </w:tcPr>
          <w:p>
            <w:pPr>
              <w:spacing w:after="0"/>
              <w:rPr>
                <w:sz w:val="18"/>
                <w:szCs w:val="18"/>
                <w:color w:val="auto"/>
              </w:rPr>
            </w:pPr>
          </w:p>
        </w:tc>
        <w:tc>
          <w:tcPr>
            <w:tcW w:w="460" w:type="dxa"/>
            <w:vAlign w:val="bottom"/>
            <w:tcBorders>
              <w:top w:val="single" w:sz="8" w:color="0000FF"/>
              <w:bottom w:val="single" w:sz="8" w:color="0000FF"/>
            </w:tcBorders>
          </w:tcPr>
          <w:p>
            <w:pPr>
              <w:spacing w:after="0"/>
              <w:rPr>
                <w:sz w:val="18"/>
                <w:szCs w:val="18"/>
                <w:color w:val="auto"/>
              </w:rPr>
            </w:pPr>
          </w:p>
        </w:tc>
        <w:tc>
          <w:tcPr>
            <w:tcW w:w="260" w:type="dxa"/>
            <w:vAlign w:val="bottom"/>
            <w:tcBorders>
              <w:top w:val="single" w:sz="8" w:color="0000FF"/>
              <w:bottom w:val="single" w:sz="8" w:color="0000FF"/>
            </w:tcBorders>
          </w:tcPr>
          <w:p>
            <w:pPr>
              <w:spacing w:after="0"/>
              <w:rPr>
                <w:sz w:val="18"/>
                <w:szCs w:val="18"/>
                <w:color w:val="auto"/>
              </w:rPr>
            </w:pPr>
          </w:p>
        </w:tc>
        <w:tc>
          <w:tcPr>
            <w:tcW w:w="220" w:type="dxa"/>
            <w:vAlign w:val="bottom"/>
            <w:tcBorders>
              <w:top w:val="single" w:sz="8" w:color="0000FF"/>
              <w:bottom w:val="single" w:sz="8" w:color="0000FF"/>
            </w:tcBorders>
          </w:tcPr>
          <w:p>
            <w:pPr>
              <w:spacing w:after="0"/>
              <w:rPr>
                <w:sz w:val="18"/>
                <w:szCs w:val="18"/>
                <w:color w:val="auto"/>
              </w:rPr>
            </w:pPr>
          </w:p>
        </w:tc>
        <w:tc>
          <w:tcPr>
            <w:tcW w:w="480" w:type="dxa"/>
            <w:vAlign w:val="bottom"/>
            <w:tcBorders>
              <w:top w:val="single" w:sz="8" w:color="0000FF"/>
              <w:bottom w:val="single" w:sz="8" w:color="0000FF"/>
            </w:tcBorders>
          </w:tcPr>
          <w:p>
            <w:pPr>
              <w:spacing w:after="0"/>
              <w:rPr>
                <w:sz w:val="18"/>
                <w:szCs w:val="18"/>
                <w:color w:val="auto"/>
              </w:rPr>
            </w:pPr>
          </w:p>
        </w:tc>
        <w:tc>
          <w:tcPr>
            <w:tcW w:w="820" w:type="dxa"/>
            <w:vAlign w:val="bottom"/>
            <w:tcBorders>
              <w:top w:val="single" w:sz="8" w:color="0000FF"/>
              <w:bottom w:val="single" w:sz="8" w:color="0000FF"/>
            </w:tcBorders>
            <w:gridSpan w:val="2"/>
          </w:tcPr>
          <w:p>
            <w:pPr>
              <w:spacing w:after="0"/>
              <w:rPr>
                <w:sz w:val="18"/>
                <w:szCs w:val="18"/>
                <w:color w:val="auto"/>
              </w:rPr>
            </w:pPr>
          </w:p>
        </w:tc>
        <w:tc>
          <w:tcPr>
            <w:tcW w:w="40" w:type="dxa"/>
            <w:vAlign w:val="bottom"/>
            <w:tcBorders>
              <w:top w:val="single" w:sz="8" w:color="0000FF"/>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9340" w:type="dxa"/>
            <w:vAlign w:val="bottom"/>
            <w:tcBorders>
              <w:right w:val="single" w:sz="8" w:color="auto"/>
            </w:tcBorders>
            <w:gridSpan w:val="42"/>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Thirty-Fifth Supplemental Indenture, dated as of August 12, 2024, between Fiserv, Inc. and U.S. Bank Trust Company, National</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20" w:type="dxa"/>
            <w:vAlign w:val="bottom"/>
            <w:tcBorders>
              <w:top w:val="single" w:sz="8" w:color="0000FF"/>
              <w:bottom w:val="single" w:sz="8" w:color="0000FF"/>
            </w:tcBorders>
          </w:tcPr>
          <w:p>
            <w:pPr>
              <w:spacing w:after="0"/>
              <w:rPr>
                <w:sz w:val="17"/>
                <w:szCs w:val="17"/>
                <w:color w:val="auto"/>
              </w:rPr>
            </w:pPr>
          </w:p>
        </w:tc>
        <w:tc>
          <w:tcPr>
            <w:tcW w:w="11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Association (15)</w:t>
              </w:r>
            </w:hyperlink>
          </w:p>
        </w:tc>
        <w:tc>
          <w:tcPr>
            <w:tcW w:w="1000" w:type="dxa"/>
            <w:vAlign w:val="bottom"/>
            <w:tcBorders>
              <w:top w:val="single" w:sz="8" w:color="0000FF"/>
              <w:bottom w:val="single" w:sz="8" w:color="0000FF"/>
            </w:tcBorders>
          </w:tcPr>
          <w:p>
            <w:pPr>
              <w:spacing w:after="0"/>
              <w:rPr>
                <w:sz w:val="17"/>
                <w:szCs w:val="17"/>
                <w:color w:val="auto"/>
              </w:rPr>
            </w:pPr>
          </w:p>
        </w:tc>
        <w:tc>
          <w:tcPr>
            <w:tcW w:w="1280" w:type="dxa"/>
            <w:vAlign w:val="bottom"/>
            <w:tcBorders>
              <w:top w:val="single" w:sz="8" w:color="0000FF"/>
              <w:bottom w:val="single" w:sz="8" w:color="0000FF"/>
            </w:tcBorders>
          </w:tcPr>
          <w:p>
            <w:pPr>
              <w:spacing w:after="0"/>
              <w:rPr>
                <w:sz w:val="17"/>
                <w:szCs w:val="17"/>
                <w:color w:val="auto"/>
              </w:rPr>
            </w:pPr>
          </w:p>
        </w:tc>
        <w:tc>
          <w:tcPr>
            <w:tcW w:w="60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3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4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6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17"/>
                <w:szCs w:val="17"/>
                <w:color w:val="auto"/>
              </w:rPr>
            </w:pPr>
          </w:p>
        </w:tc>
        <w:tc>
          <w:tcPr>
            <w:tcW w:w="820" w:type="dxa"/>
            <w:vAlign w:val="bottom"/>
            <w:tcBorders>
              <w:top w:val="single" w:sz="8" w:color="0000FF"/>
              <w:bottom w:val="single" w:sz="8" w:color="0000FF"/>
            </w:tcBorders>
            <w:gridSpan w:val="2"/>
          </w:tcPr>
          <w:p>
            <w:pPr>
              <w:spacing w:after="0"/>
              <w:rPr>
                <w:sz w:val="17"/>
                <w:szCs w:val="17"/>
                <w:color w:val="auto"/>
              </w:rPr>
            </w:pPr>
          </w:p>
        </w:tc>
        <w:tc>
          <w:tcPr>
            <w:tcW w:w="60" w:type="dxa"/>
            <w:vAlign w:val="bottom"/>
            <w:tcBorders>
              <w:top w:val="single" w:sz="8" w:color="0000FF"/>
              <w:bottom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928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Thirty-Sixth Supplemental Indenture, dated as of August 12, 2024, between Fiserv, Inc. and U.S. Bank Trust Company, National</w:t>
              </w:r>
            </w:hyperlink>
          </w:p>
        </w:tc>
        <w:tc>
          <w:tcPr>
            <w:tcW w:w="6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17"/>
                <w:szCs w:val="17"/>
                <w:color w:val="auto"/>
              </w:rPr>
            </w:pPr>
          </w:p>
        </w:tc>
        <w:tc>
          <w:tcPr>
            <w:tcW w:w="1180" w:type="dxa"/>
            <w:vAlign w:val="bottom"/>
            <w:tcBorders>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Association (15)</w:t>
              </w:r>
            </w:hyperlink>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20" w:type="dxa"/>
            <w:vAlign w:val="bottom"/>
            <w:gridSpan w:val="4"/>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gridSpan w:val="4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Agency Agreement, dated as of July 1, 2019, by and among Fiserv, Inc., Elavon Financial Services DAC, UK Branch, and U.S.</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1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Bank National Association (9)</w:t>
              </w:r>
            </w:hyperlink>
          </w:p>
        </w:tc>
        <w:tc>
          <w:tcPr>
            <w:tcW w:w="1280" w:type="dxa"/>
            <w:vAlign w:val="bottom"/>
            <w:tcBorders>
              <w:top w:val="single" w:sz="8" w:color="0000FF"/>
              <w:bottom w:val="single" w:sz="8" w:color="0000FF"/>
            </w:tcBorders>
            <w:vMerge w:val="restart"/>
          </w:tcPr>
          <w:p>
            <w:pPr>
              <w:spacing w:after="0"/>
              <w:rPr>
                <w:sz w:val="17"/>
                <w:szCs w:val="17"/>
                <w:color w:val="auto"/>
              </w:rPr>
            </w:pPr>
          </w:p>
        </w:tc>
        <w:tc>
          <w:tcPr>
            <w:tcW w:w="60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10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8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140" w:type="dxa"/>
            <w:vAlign w:val="bottom"/>
            <w:tcBorders>
              <w:top w:val="single" w:sz="8" w:color="0000FF"/>
              <w:bottom w:val="single" w:sz="8" w:color="0000FF"/>
            </w:tcBorders>
            <w:vMerge w:val="restart"/>
          </w:tcPr>
          <w:p>
            <w:pPr>
              <w:spacing w:after="0"/>
              <w:rPr>
                <w:sz w:val="17"/>
                <w:szCs w:val="17"/>
                <w:color w:val="auto"/>
              </w:rPr>
            </w:pPr>
          </w:p>
        </w:tc>
        <w:tc>
          <w:tcPr>
            <w:tcW w:w="120" w:type="dxa"/>
            <w:vAlign w:val="bottom"/>
            <w:tcBorders>
              <w:top w:val="single" w:sz="8" w:color="0000FF"/>
              <w:bottom w:val="single" w:sz="8" w:color="0000FF"/>
            </w:tcBorders>
            <w:vMerge w:val="restart"/>
          </w:tcPr>
          <w:p>
            <w:pPr>
              <w:spacing w:after="0"/>
              <w:rPr>
                <w:sz w:val="17"/>
                <w:szCs w:val="17"/>
                <w:color w:val="auto"/>
              </w:rPr>
            </w:pPr>
          </w:p>
        </w:tc>
        <w:tc>
          <w:tcPr>
            <w:tcW w:w="18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40" w:type="dxa"/>
            <w:vAlign w:val="bottom"/>
            <w:tcBorders>
              <w:top w:val="single" w:sz="8" w:color="0000FF"/>
              <w:bottom w:val="single" w:sz="8" w:color="0000FF"/>
            </w:tcBorders>
            <w:vMerge w:val="restart"/>
          </w:tcPr>
          <w:p>
            <w:pPr>
              <w:spacing w:after="0"/>
              <w:rPr>
                <w:sz w:val="17"/>
                <w:szCs w:val="17"/>
                <w:color w:val="auto"/>
              </w:rPr>
            </w:pPr>
          </w:p>
        </w:tc>
        <w:tc>
          <w:tcPr>
            <w:tcW w:w="32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440" w:type="dxa"/>
            <w:vAlign w:val="bottom"/>
            <w:tcBorders>
              <w:top w:val="single" w:sz="8" w:color="0000FF"/>
              <w:bottom w:val="single" w:sz="8" w:color="0000FF"/>
            </w:tcBorders>
            <w:vMerge w:val="restart"/>
          </w:tcPr>
          <w:p>
            <w:pPr>
              <w:spacing w:after="0"/>
              <w:rPr>
                <w:sz w:val="17"/>
                <w:szCs w:val="17"/>
                <w:color w:val="auto"/>
              </w:rPr>
            </w:pPr>
          </w:p>
        </w:tc>
        <w:tc>
          <w:tcPr>
            <w:tcW w:w="80" w:type="dxa"/>
            <w:vAlign w:val="bottom"/>
            <w:tcBorders>
              <w:top w:val="single" w:sz="8" w:color="0000FF"/>
              <w:bottom w:val="single" w:sz="8" w:color="0000FF"/>
            </w:tcBorders>
            <w:vMerge w:val="restart"/>
          </w:tcPr>
          <w:p>
            <w:pPr>
              <w:spacing w:after="0"/>
              <w:rPr>
                <w:sz w:val="17"/>
                <w:szCs w:val="17"/>
                <w:color w:val="auto"/>
              </w:rPr>
            </w:pPr>
          </w:p>
        </w:tc>
        <w:tc>
          <w:tcPr>
            <w:tcW w:w="120" w:type="dxa"/>
            <w:vAlign w:val="bottom"/>
            <w:tcBorders>
              <w:top w:val="single" w:sz="8" w:color="0000FF"/>
              <w:bottom w:val="single" w:sz="8" w:color="0000FF"/>
            </w:tcBorders>
            <w:vMerge w:val="restart"/>
          </w:tcPr>
          <w:p>
            <w:pPr>
              <w:spacing w:after="0"/>
              <w:rPr>
                <w:sz w:val="17"/>
                <w:szCs w:val="17"/>
                <w:color w:val="auto"/>
              </w:rPr>
            </w:pPr>
          </w:p>
        </w:tc>
        <w:tc>
          <w:tcPr>
            <w:tcW w:w="100" w:type="dxa"/>
            <w:vAlign w:val="bottom"/>
            <w:tcBorders>
              <w:top w:val="single" w:sz="8" w:color="0000FF"/>
              <w:bottom w:val="single" w:sz="8" w:color="0000FF"/>
            </w:tcBorders>
            <w:vMerge w:val="restart"/>
          </w:tcPr>
          <w:p>
            <w:pPr>
              <w:spacing w:after="0"/>
              <w:rPr>
                <w:sz w:val="17"/>
                <w:szCs w:val="17"/>
                <w:color w:val="auto"/>
              </w:rPr>
            </w:pPr>
          </w:p>
        </w:tc>
        <w:tc>
          <w:tcPr>
            <w:tcW w:w="480" w:type="dxa"/>
            <w:vAlign w:val="bottom"/>
            <w:tcBorders>
              <w:top w:val="single" w:sz="8" w:color="0000FF"/>
              <w:bottom w:val="single" w:sz="8" w:color="0000FF"/>
            </w:tcBorders>
            <w:vMerge w:val="restart"/>
          </w:tcPr>
          <w:p>
            <w:pPr>
              <w:spacing w:after="0"/>
              <w:rPr>
                <w:sz w:val="17"/>
                <w:szCs w:val="17"/>
                <w:color w:val="auto"/>
              </w:rPr>
            </w:pPr>
          </w:p>
        </w:tc>
        <w:tc>
          <w:tcPr>
            <w:tcW w:w="60" w:type="dxa"/>
            <w:vAlign w:val="bottom"/>
            <w:tcBorders>
              <w:top w:val="single" w:sz="8" w:color="0000FF"/>
              <w:bottom w:val="single" w:sz="8" w:color="0000FF"/>
            </w:tcBorders>
            <w:vMerge w:val="restart"/>
          </w:tcPr>
          <w:p>
            <w:pPr>
              <w:spacing w:after="0"/>
              <w:rPr>
                <w:sz w:val="17"/>
                <w:szCs w:val="17"/>
                <w:color w:val="auto"/>
              </w:rPr>
            </w:pPr>
          </w:p>
        </w:tc>
        <w:tc>
          <w:tcPr>
            <w:tcW w:w="460" w:type="dxa"/>
            <w:vAlign w:val="bottom"/>
            <w:tcBorders>
              <w:top w:val="single" w:sz="8" w:color="0000FF"/>
              <w:bottom w:val="single" w:sz="8" w:color="0000FF"/>
            </w:tcBorders>
            <w:vMerge w:val="restart"/>
          </w:tcPr>
          <w:p>
            <w:pPr>
              <w:spacing w:after="0"/>
              <w:rPr>
                <w:sz w:val="17"/>
                <w:szCs w:val="17"/>
                <w:color w:val="auto"/>
              </w:rPr>
            </w:pPr>
          </w:p>
        </w:tc>
        <w:tc>
          <w:tcPr>
            <w:tcW w:w="260" w:type="dxa"/>
            <w:vAlign w:val="bottom"/>
            <w:tcBorders>
              <w:top w:val="single" w:sz="8" w:color="0000FF"/>
              <w:bottom w:val="single" w:sz="8" w:color="0000FF"/>
            </w:tcBorders>
            <w:vMerge w:val="restart"/>
          </w:tcPr>
          <w:p>
            <w:pPr>
              <w:spacing w:after="0"/>
              <w:rPr>
                <w:sz w:val="17"/>
                <w:szCs w:val="17"/>
                <w:color w:val="auto"/>
              </w:rPr>
            </w:pPr>
          </w:p>
        </w:tc>
        <w:tc>
          <w:tcPr>
            <w:tcW w:w="220" w:type="dxa"/>
            <w:vAlign w:val="bottom"/>
            <w:tcBorders>
              <w:top w:val="single" w:sz="8" w:color="0000FF"/>
              <w:bottom w:val="single" w:sz="8" w:color="0000FF"/>
            </w:tcBorders>
            <w:vMerge w:val="restart"/>
          </w:tcPr>
          <w:p>
            <w:pPr>
              <w:spacing w:after="0"/>
              <w:rPr>
                <w:sz w:val="17"/>
                <w:szCs w:val="17"/>
                <w:color w:val="auto"/>
              </w:rPr>
            </w:pPr>
          </w:p>
        </w:tc>
        <w:tc>
          <w:tcPr>
            <w:tcW w:w="480" w:type="dxa"/>
            <w:vAlign w:val="bottom"/>
            <w:tcBorders>
              <w:top w:val="single" w:sz="8" w:color="0000FF"/>
              <w:bottom w:val="single" w:sz="8" w:color="0000FF"/>
            </w:tcBorders>
            <w:vMerge w:val="restart"/>
          </w:tcPr>
          <w:p>
            <w:pPr>
              <w:spacing w:after="0"/>
              <w:rPr>
                <w:sz w:val="17"/>
                <w:szCs w:val="17"/>
                <w:color w:val="auto"/>
              </w:rPr>
            </w:pPr>
          </w:p>
        </w:tc>
        <w:tc>
          <w:tcPr>
            <w:tcW w:w="820" w:type="dxa"/>
            <w:vAlign w:val="bottom"/>
            <w:tcBorders>
              <w:top w:val="single" w:sz="8" w:color="0000FF"/>
              <w:bottom w:val="single" w:sz="8" w:color="0000FF"/>
            </w:tcBorders>
            <w:gridSpan w:val="2"/>
            <w:vMerge w:val="restart"/>
          </w:tcPr>
          <w:p>
            <w:pPr>
              <w:spacing w:after="0"/>
              <w:rPr>
                <w:sz w:val="17"/>
                <w:szCs w:val="17"/>
                <w:color w:val="auto"/>
              </w:rPr>
            </w:pPr>
          </w:p>
        </w:tc>
        <w:tc>
          <w:tcPr>
            <w:tcW w:w="120" w:type="dxa"/>
            <w:vAlign w:val="bottom"/>
            <w:gridSpan w:val="4"/>
            <w:vMerge w:val="restart"/>
          </w:tcPr>
          <w:p>
            <w:pPr>
              <w:spacing w:after="0"/>
              <w:rPr>
                <w:sz w:val="17"/>
                <w:szCs w:val="17"/>
                <w:color w:val="auto"/>
              </w:rPr>
            </w:pPr>
          </w:p>
        </w:tc>
        <w:tc>
          <w:tcPr>
            <w:tcW w:w="4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gridSpan w:val="3"/>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gridSpan w:val="4"/>
            <w:vMerge w:val="continue"/>
          </w:tcPr>
          <w:p>
            <w:pPr>
              <w:spacing w:after="0"/>
              <w:rPr>
                <w:sz w:val="6"/>
                <w:szCs w:val="6"/>
                <w:color w:val="auto"/>
              </w:rPr>
            </w:pPr>
          </w:p>
        </w:tc>
        <w:tc>
          <w:tcPr>
            <w:tcW w:w="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9340" w:type="dxa"/>
            <w:vAlign w:val="bottom"/>
            <w:tcBorders>
              <w:right w:val="single" w:sz="8" w:color="auto"/>
            </w:tcBorders>
            <w:gridSpan w:val="42"/>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Agency Agreement, dated as of May 24, 2023, by and among Fiserv, Inc., Elavon Financial Services DAC, UK Branch, and U.S.</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20" w:type="dxa"/>
            <w:vAlign w:val="bottom"/>
            <w:tcBorders>
              <w:top w:val="single" w:sz="8" w:color="0000FF"/>
              <w:bottom w:val="single" w:sz="8" w:color="0000FF"/>
            </w:tcBorders>
          </w:tcPr>
          <w:p>
            <w:pPr>
              <w:spacing w:after="0"/>
              <w:rPr>
                <w:sz w:val="17"/>
                <w:szCs w:val="17"/>
                <w:color w:val="auto"/>
              </w:rPr>
            </w:pPr>
          </w:p>
        </w:tc>
        <w:tc>
          <w:tcPr>
            <w:tcW w:w="34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Bank Trust Company, National Association (12)</w:t>
              </w:r>
            </w:hyperlink>
          </w:p>
        </w:tc>
        <w:tc>
          <w:tcPr>
            <w:tcW w:w="60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3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4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6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17"/>
                <w:szCs w:val="17"/>
                <w:color w:val="auto"/>
              </w:rPr>
            </w:pPr>
          </w:p>
        </w:tc>
        <w:tc>
          <w:tcPr>
            <w:tcW w:w="940" w:type="dxa"/>
            <w:vAlign w:val="bottom"/>
            <w:tcBorders>
              <w:top w:val="single" w:sz="8" w:color="0000FF"/>
              <w:bottom w:val="single" w:sz="8" w:color="0000FF"/>
            </w:tcBorders>
            <w:gridSpan w:val="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right w:val="single" w:sz="8" w:color="auto"/>
            </w:tcBorders>
            <w:gridSpan w:val="41"/>
          </w:tcPr>
          <w:p>
            <w:pPr>
              <w:spacing w:after="0" w:line="169" w:lineRule="exact"/>
              <w:rPr>
                <w:sz w:val="20"/>
                <w:szCs w:val="20"/>
                <w:color w:val="auto"/>
              </w:rPr>
            </w:pPr>
            <w:r>
              <w:rPr>
                <w:rFonts w:ascii="Times New Roman" w:cs="Times New Roman" w:eastAsia="Times New Roman" w:hAnsi="Times New Roman"/>
                <w:sz w:val="18"/>
                <w:szCs w:val="18"/>
                <w:color w:val="auto"/>
              </w:rPr>
              <w:t>Pursuant to Item 601(b)(4)(iii) of Regulation S-K, the Company agrees to furnish to the Securities and Exchange Commission,</w:t>
            </w:r>
          </w:p>
        </w:tc>
        <w:tc>
          <w:tcPr>
            <w:tcW w:w="0" w:type="dxa"/>
            <w:vAlign w:val="bottom"/>
          </w:tcPr>
          <w:p>
            <w:pPr>
              <w:spacing w:after="0"/>
              <w:rPr>
                <w:sz w:val="1"/>
                <w:szCs w:val="1"/>
                <w:color w:val="auto"/>
              </w:rPr>
            </w:pPr>
          </w:p>
        </w:tc>
      </w:tr>
      <w:tr>
        <w:trPr>
          <w:trHeight w:val="239"/>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upon request, any instrument defining the rights of holders of long-term debt that is not filed as an exhibit to this Form 10-K.</w:t>
            </w: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restart"/>
          </w:tcPr>
          <w:p>
            <w:pPr>
              <w:spacing w:after="0"/>
              <w:rPr>
                <w:sz w:val="19"/>
                <w:szCs w:val="19"/>
                <w:color w:val="auto"/>
              </w:rPr>
            </w:pPr>
          </w:p>
        </w:tc>
        <w:tc>
          <w:tcPr>
            <w:tcW w:w="51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 xml:space="preserve">Amended and Restated Fiserv, Inc. 2007 Omnibus Incentive Plan </w:t>
              </w:r>
            </w:hyperlink>
            <w:r>
              <w:rPr>
                <w:rFonts w:ascii="Times New Roman" w:cs="Times New Roman" w:eastAsia="Times New Roman" w:hAnsi="Times New Roman"/>
                <w:sz w:val="18"/>
                <w:szCs w:val="18"/>
                <w:color w:val="0000FF"/>
                <w:w w:val="98"/>
              </w:rPr>
              <w:t>(16)*</w:t>
            </w: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3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Amended and Restated Fiserv, Inc. 2007 Omnibus Incentive Plan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4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 xml:space="preserve">- Form of Restricted Stock Unit Agreement (Non-Employee Director) </w:t>
              </w:r>
            </w:hyperlink>
            <w:r>
              <w:rPr>
                <w:rFonts w:ascii="Times New Roman" w:cs="Times New Roman" w:eastAsia="Times New Roman" w:hAnsi="Times New Roman"/>
                <w:sz w:val="18"/>
                <w:szCs w:val="18"/>
                <w:color w:val="0000FF"/>
                <w:w w:val="99"/>
              </w:rPr>
              <w:t>(17)*</w:t>
            </w: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 Form of Restricted Stock Unit Agreement (Employee-SO)*</w:t>
            </w:r>
          </w:p>
        </w:tc>
        <w:tc>
          <w:tcPr>
            <w:tcW w:w="1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 Form of Restricted Stock Unit Agreement (Employee-ST)*</w:t>
            </w:r>
          </w:p>
        </w:tc>
        <w:tc>
          <w:tcPr>
            <w:tcW w:w="2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6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 xml:space="preserve">- Form of Restricted Stock Unit Agreement (Employee-N) </w:t>
              </w:r>
            </w:hyperlink>
            <w:r>
              <w:rPr>
                <w:rFonts w:ascii="Times New Roman" w:cs="Times New Roman" w:eastAsia="Times New Roman" w:hAnsi="Times New Roman"/>
                <w:sz w:val="18"/>
                <w:szCs w:val="18"/>
                <w:color w:val="0000FF"/>
                <w:w w:val="99"/>
              </w:rPr>
              <w:t>(18)*</w:t>
            </w:r>
          </w:p>
        </w:tc>
        <w:tc>
          <w:tcPr>
            <w:tcW w:w="14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980" w:type="dxa"/>
            <w:vAlign w:val="bottom"/>
            <w:tcBorders>
              <w:right w:val="single" w:sz="8" w:color="auto"/>
            </w:tcBorders>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gridSpan w:val="5"/>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gridSpan w:val="2"/>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right w:val="single" w:sz="8" w:color="auto"/>
            </w:tcBorders>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2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 xml:space="preserve">- Form of Non-Qualified Stock Option Agreement (Non-Employee Director-LE) </w:t>
              </w:r>
            </w:hyperlink>
            <w:r>
              <w:rPr>
                <w:rFonts w:ascii="Times New Roman" w:cs="Times New Roman" w:eastAsia="Times New Roman" w:hAnsi="Times New Roman"/>
                <w:sz w:val="18"/>
                <w:szCs w:val="18"/>
                <w:color w:val="0000FF"/>
                <w:w w:val="99"/>
              </w:rPr>
              <w:t>(17)*</w:t>
            </w: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8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 xml:space="preserve">- Form of First Amendment to Non-Qualified Stock Option Agreement (Non-Employee Director - LE) </w:t>
              </w:r>
            </w:hyperlink>
            <w:r>
              <w:rPr>
                <w:rFonts w:ascii="Times New Roman" w:cs="Times New Roman" w:eastAsia="Times New Roman" w:hAnsi="Times New Roman"/>
                <w:sz w:val="18"/>
                <w:szCs w:val="18"/>
                <w:color w:val="0000FF"/>
                <w:w w:val="99"/>
              </w:rPr>
              <w:t>(19)*</w:t>
            </w:r>
          </w:p>
        </w:tc>
        <w:tc>
          <w:tcPr>
            <w:tcW w:w="480" w:type="dxa"/>
            <w:vAlign w:val="bottom"/>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3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 xml:space="preserve">- Form of Non-Qualified Stock Option Agreement (Non-Employee Director - EE) </w:t>
              </w:r>
            </w:hyperlink>
            <w:r>
              <w:rPr>
                <w:rFonts w:ascii="Times New Roman" w:cs="Times New Roman" w:eastAsia="Times New Roman" w:hAnsi="Times New Roman"/>
                <w:sz w:val="18"/>
                <w:szCs w:val="18"/>
                <w:color w:val="0000FF"/>
                <w:w w:val="99"/>
              </w:rPr>
              <w:t>(19)*</w:t>
            </w: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700" w:type="dxa"/>
            <w:vAlign w:val="bottom"/>
            <w:gridSpan w:val="2"/>
            <w:vMerge w:val="restart"/>
          </w:tcPr>
          <w:p>
            <w:pPr>
              <w:spacing w:after="0"/>
              <w:rPr>
                <w:sz w:val="19"/>
                <w:szCs w:val="19"/>
                <w:color w:val="auto"/>
              </w:rPr>
            </w:pP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83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 xml:space="preserve">- Form of Second Amendment to Non-Qualified Stock Option Agreement (Non-Employee Director - LE/EE) </w:t>
              </w:r>
            </w:hyperlink>
            <w:r>
              <w:rPr>
                <w:rFonts w:ascii="Times New Roman" w:cs="Times New Roman" w:eastAsia="Times New Roman" w:hAnsi="Times New Roman"/>
                <w:sz w:val="18"/>
                <w:szCs w:val="18"/>
                <w:color w:val="0000FF"/>
                <w:w w:val="99"/>
              </w:rPr>
              <w:t>(20)*</w:t>
            </w:r>
          </w:p>
        </w:tc>
        <w:tc>
          <w:tcPr>
            <w:tcW w:w="98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98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 xml:space="preserve">- Form of Stock Option Agreement (Employee-F) </w:t>
              </w:r>
            </w:hyperlink>
            <w:r>
              <w:rPr>
                <w:rFonts w:ascii="Times New Roman" w:cs="Times New Roman" w:eastAsia="Times New Roman" w:hAnsi="Times New Roman"/>
                <w:sz w:val="18"/>
                <w:szCs w:val="18"/>
                <w:color w:val="0000FF"/>
                <w:w w:val="99"/>
              </w:rPr>
              <w:t>(21)*</w:t>
            </w: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 xml:space="preserve">- Form of Amendment to Stock Option Agreement (Employee-F) </w:t>
              </w:r>
            </w:hyperlink>
            <w:r>
              <w:rPr>
                <w:rFonts w:ascii="Times New Roman" w:cs="Times New Roman" w:eastAsia="Times New Roman" w:hAnsi="Times New Roman"/>
                <w:sz w:val="18"/>
                <w:szCs w:val="18"/>
                <w:color w:val="0000FF"/>
                <w:w w:val="99"/>
              </w:rPr>
              <w:t>(22)*</w:t>
            </w: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gridSpan w:val="6"/>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 Form of Stock Option Agreement (Employee-E) (21)*</w:t>
              </w:r>
            </w:hyperlink>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gridSpan w:val="6"/>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 xml:space="preserve">- Form of Stock Option Agreement (Employee-SO) </w:t>
              </w:r>
            </w:hyperlink>
            <w:r>
              <w:rPr>
                <w:rFonts w:ascii="Times New Roman" w:cs="Times New Roman" w:eastAsia="Times New Roman" w:hAnsi="Times New Roman"/>
                <w:sz w:val="18"/>
                <w:szCs w:val="18"/>
                <w:color w:val="0000FF"/>
                <w:w w:val="99"/>
              </w:rPr>
              <w:t>(18)*</w:t>
            </w:r>
          </w:p>
        </w:tc>
        <w:tc>
          <w:tcPr>
            <w:tcW w:w="4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1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 xml:space="preserve">- Form of Stock Option Agreement (Employee-ST) </w:t>
              </w:r>
            </w:hyperlink>
            <w:r>
              <w:rPr>
                <w:rFonts w:ascii="Times New Roman" w:cs="Times New Roman" w:eastAsia="Times New Roman" w:hAnsi="Times New Roman"/>
                <w:sz w:val="18"/>
                <w:szCs w:val="18"/>
                <w:color w:val="0000FF"/>
                <w:w w:val="99"/>
              </w:rPr>
              <w:t>(18)*</w:t>
            </w:r>
          </w:p>
        </w:tc>
        <w:tc>
          <w:tcPr>
            <w:tcW w:w="60" w:type="dxa"/>
            <w:vAlign w:val="bottom"/>
            <w:gridSpan w:val="2"/>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80" w:type="dxa"/>
            <w:vAlign w:val="bottom"/>
            <w:gridSpan w:val="3"/>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 Form of Performance Share Unit Agreement (Employee-SO)*</w:t>
            </w:r>
          </w:p>
        </w:tc>
        <w:tc>
          <w:tcPr>
            <w:tcW w:w="20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 xml:space="preserve">- Form of Performance Share Unit Agreement (Employee-ST) </w:t>
              </w:r>
            </w:hyperlink>
            <w:r>
              <w:rPr>
                <w:rFonts w:ascii="Times New Roman" w:cs="Times New Roman" w:eastAsia="Times New Roman" w:hAnsi="Times New Roman"/>
                <w:sz w:val="18"/>
                <w:szCs w:val="18"/>
                <w:color w:val="0000FF"/>
                <w:w w:val="99"/>
              </w:rPr>
              <w:t>(18)*</w:t>
            </w:r>
          </w:p>
        </w:tc>
        <w:tc>
          <w:tcPr>
            <w:tcW w:w="2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vMerge w:val="restart"/>
          </w:tcPr>
          <w:p>
            <w:pPr>
              <w:spacing w:after="0"/>
              <w:rPr>
                <w:sz w:val="19"/>
                <w:szCs w:val="19"/>
                <w:color w:val="auto"/>
              </w:rPr>
            </w:pPr>
          </w:p>
        </w:tc>
        <w:tc>
          <w:tcPr>
            <w:tcW w:w="68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2007 Stock Incentive Plan for Key Employees of First Data Corporation and its Affiliates (23)*</w:t>
              </w:r>
            </w:hyperlink>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160" w:type="dxa"/>
            <w:vAlign w:val="bottom"/>
            <w:tcBorders>
              <w:bottom w:val="single" w:sz="8" w:color="auto"/>
            </w:tcBorders>
            <w:gridSpan w:val="8"/>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2007 Stock Incentive Plan for Key Employees of First Data Corporation and its Affiliates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5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 xml:space="preserve">- Form of Stock Option Agreement for Executive Committee Members </w:t>
              </w:r>
            </w:hyperlink>
            <w:r>
              <w:rPr>
                <w:rFonts w:ascii="Times New Roman" w:cs="Times New Roman" w:eastAsia="Times New Roman" w:hAnsi="Times New Roman"/>
                <w:sz w:val="18"/>
                <w:szCs w:val="18"/>
                <w:color w:val="0000FF"/>
                <w:w w:val="99"/>
              </w:rPr>
              <w:t>(24)*</w:t>
            </w: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6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6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 xml:space="preserve">- Form of Stock Option Agreement for U.S. Employees effective for grants in or after January 2014 </w:t>
              </w:r>
            </w:hyperlink>
            <w:r>
              <w:rPr>
                <w:rFonts w:ascii="Times New Roman" w:cs="Times New Roman" w:eastAsia="Times New Roman" w:hAnsi="Times New Roman"/>
                <w:sz w:val="18"/>
                <w:szCs w:val="18"/>
                <w:color w:val="0000FF"/>
                <w:w w:val="99"/>
              </w:rPr>
              <w:t>(24)*</w:t>
            </w:r>
          </w:p>
        </w:tc>
        <w:tc>
          <w:tcPr>
            <w:tcW w:w="1680" w:type="dxa"/>
            <w:vAlign w:val="bottom"/>
            <w:tcBorders>
              <w:right w:val="single" w:sz="8" w:color="auto"/>
            </w:tcBorders>
            <w:gridSpan w:val="9"/>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4"/>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80" w:type="dxa"/>
            <w:vAlign w:val="bottom"/>
            <w:tcBorders>
              <w:bottom w:val="single" w:sz="8" w:color="auto"/>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vMerge w:val="restart"/>
          </w:tcPr>
          <w:p>
            <w:pPr>
              <w:spacing w:after="0"/>
              <w:rPr>
                <w:sz w:val="19"/>
                <w:szCs w:val="19"/>
                <w:color w:val="auto"/>
              </w:rPr>
            </w:pPr>
          </w:p>
        </w:tc>
        <w:tc>
          <w:tcPr>
            <w:tcW w:w="42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 xml:space="preserve">First Data Corporation 2015 Omnibus Incentive Plan </w:t>
              </w:r>
            </w:hyperlink>
            <w:r>
              <w:rPr>
                <w:rFonts w:ascii="Times New Roman" w:cs="Times New Roman" w:eastAsia="Times New Roman" w:hAnsi="Times New Roman"/>
                <w:sz w:val="18"/>
                <w:szCs w:val="18"/>
                <w:color w:val="0000FF"/>
                <w:w w:val="99"/>
              </w:rPr>
              <w:t>(23)*</w:t>
            </w:r>
          </w:p>
        </w:tc>
        <w:tc>
          <w:tcPr>
            <w:tcW w:w="100" w:type="dxa"/>
            <w:vAlign w:val="bottom"/>
            <w:vMerge w:val="restart"/>
          </w:tcPr>
          <w:p>
            <w:pPr>
              <w:spacing w:after="0"/>
              <w:rPr>
                <w:sz w:val="19"/>
                <w:szCs w:val="19"/>
                <w:color w:val="auto"/>
              </w:rPr>
            </w:pPr>
          </w:p>
        </w:tc>
        <w:tc>
          <w:tcPr>
            <w:tcW w:w="480" w:type="dxa"/>
            <w:vAlign w:val="bottom"/>
            <w:gridSpan w:val="5"/>
            <w:vMerge w:val="restart"/>
          </w:tcPr>
          <w:p>
            <w:pPr>
              <w:spacing w:after="0"/>
              <w:rPr>
                <w:sz w:val="19"/>
                <w:szCs w:val="19"/>
                <w:color w:val="auto"/>
              </w:rPr>
            </w:pPr>
          </w:p>
        </w:tc>
        <w:tc>
          <w:tcPr>
            <w:tcW w:w="320" w:type="dxa"/>
            <w:vAlign w:val="bottom"/>
            <w:gridSpan w:val="3"/>
            <w:vMerge w:val="restart"/>
          </w:tcPr>
          <w:p>
            <w:pPr>
              <w:spacing w:after="0"/>
              <w:rPr>
                <w:sz w:val="19"/>
                <w:szCs w:val="19"/>
                <w:color w:val="auto"/>
              </w:rPr>
            </w:pPr>
          </w:p>
        </w:tc>
        <w:tc>
          <w:tcPr>
            <w:tcW w:w="500" w:type="dxa"/>
            <w:vAlign w:val="bottom"/>
            <w:gridSpan w:val="4"/>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6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940" w:type="dxa"/>
            <w:vAlign w:val="bottom"/>
            <w:tcBorders>
              <w:right w:val="single" w:sz="8" w:color="auto"/>
            </w:tcBorders>
            <w:gridSpan w:val="10"/>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160" w:type="dxa"/>
            <w:vAlign w:val="bottom"/>
            <w:tcBorders>
              <w:bottom w:val="single" w:sz="8" w:color="auto"/>
            </w:tcBorders>
            <w:gridSpan w:val="8"/>
          </w:tcPr>
          <w:p>
            <w:pPr>
              <w:spacing w:after="0"/>
              <w:rPr>
                <w:sz w:val="6"/>
                <w:szCs w:val="6"/>
                <w:color w:val="auto"/>
              </w:rPr>
            </w:pPr>
          </w:p>
        </w:tc>
        <w:tc>
          <w:tcPr>
            <w:tcW w:w="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gridSpan w:val="5"/>
            <w:vMerge w:val="continue"/>
          </w:tcPr>
          <w:p>
            <w:pPr>
              <w:spacing w:after="0"/>
              <w:rPr>
                <w:sz w:val="6"/>
                <w:szCs w:val="6"/>
                <w:color w:val="auto"/>
              </w:rPr>
            </w:pPr>
          </w:p>
        </w:tc>
        <w:tc>
          <w:tcPr>
            <w:tcW w:w="320" w:type="dxa"/>
            <w:vAlign w:val="bottom"/>
            <w:tcBorders>
              <w:bottom w:val="single" w:sz="8" w:color="auto"/>
            </w:tcBorders>
            <w:gridSpan w:val="3"/>
            <w:vMerge w:val="continue"/>
          </w:tcPr>
          <w:p>
            <w:pPr>
              <w:spacing w:after="0"/>
              <w:rPr>
                <w:sz w:val="6"/>
                <w:szCs w:val="6"/>
                <w:color w:val="auto"/>
              </w:rPr>
            </w:pPr>
          </w:p>
        </w:tc>
        <w:tc>
          <w:tcPr>
            <w:tcW w:w="500" w:type="dxa"/>
            <w:vAlign w:val="bottom"/>
            <w:tcBorders>
              <w:bottom w:val="single" w:sz="8" w:color="auto"/>
            </w:tcBorders>
            <w:gridSpan w:val="4"/>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First Data Corporation 2015 Omnibus Incentive Plan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 xml:space="preserve">- Form of Option Agreement for Management Committee and Directors </w:t>
              </w:r>
            </w:hyperlink>
            <w:r>
              <w:rPr>
                <w:rFonts w:ascii="Times New Roman" w:cs="Times New Roman" w:eastAsia="Times New Roman" w:hAnsi="Times New Roman"/>
                <w:sz w:val="18"/>
                <w:szCs w:val="18"/>
                <w:color w:val="0000FF"/>
                <w:w w:val="99"/>
              </w:rPr>
              <w:t>(24)*</w:t>
            </w:r>
          </w:p>
        </w:tc>
        <w:tc>
          <w:tcPr>
            <w:tcW w:w="4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6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940" w:type="dxa"/>
            <w:vAlign w:val="bottom"/>
            <w:tcBorders>
              <w:right w:val="single" w:sz="8" w:color="auto"/>
            </w:tcBorders>
            <w:gridSpan w:val="10"/>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180" w:type="dxa"/>
            <w:vAlign w:val="bottom"/>
            <w:tcBorders>
              <w:bottom w:val="single" w:sz="8" w:color="auto"/>
            </w:tcBorders>
            <w:gridSpan w:val="4"/>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 xml:space="preserve">- Form of Option Grant Notice and Option Grant Agreement </w:t>
              </w:r>
            </w:hyperlink>
            <w:r>
              <w:rPr>
                <w:rFonts w:ascii="Times New Roman" w:cs="Times New Roman" w:eastAsia="Times New Roman" w:hAnsi="Times New Roman"/>
                <w:sz w:val="18"/>
                <w:szCs w:val="18"/>
                <w:color w:val="0000FF"/>
                <w:w w:val="99"/>
              </w:rPr>
              <w:t>(24)*</w:t>
            </w:r>
          </w:p>
        </w:tc>
        <w:tc>
          <w:tcPr>
            <w:tcW w:w="320" w:type="dxa"/>
            <w:vAlign w:val="bottom"/>
            <w:gridSpan w:val="3"/>
            <w:vMerge w:val="restart"/>
          </w:tcPr>
          <w:p>
            <w:pPr>
              <w:spacing w:after="0"/>
              <w:rPr>
                <w:sz w:val="19"/>
                <w:szCs w:val="19"/>
                <w:color w:val="auto"/>
              </w:rPr>
            </w:pPr>
          </w:p>
        </w:tc>
        <w:tc>
          <w:tcPr>
            <w:tcW w:w="940" w:type="dxa"/>
            <w:vAlign w:val="bottom"/>
            <w:gridSpan w:val="5"/>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76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940" w:type="dxa"/>
            <w:vAlign w:val="bottom"/>
            <w:tcBorders>
              <w:right w:val="single" w:sz="8" w:color="auto"/>
            </w:tcBorders>
            <w:gridSpan w:val="10"/>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gridSpan w:val="7"/>
          </w:tcPr>
          <w:p>
            <w:pPr>
              <w:spacing w:after="0"/>
              <w:rPr>
                <w:sz w:val="6"/>
                <w:szCs w:val="6"/>
                <w:color w:val="auto"/>
              </w:rPr>
            </w:pPr>
          </w:p>
        </w:tc>
        <w:tc>
          <w:tcPr>
            <w:tcW w:w="180" w:type="dxa"/>
            <w:vAlign w:val="bottom"/>
            <w:tcBorders>
              <w:bottom w:val="single" w:sz="8" w:color="auto"/>
            </w:tcBorders>
            <w:gridSpan w:val="4"/>
          </w:tcPr>
          <w:p>
            <w:pPr>
              <w:spacing w:after="0"/>
              <w:rPr>
                <w:sz w:val="6"/>
                <w:szCs w:val="6"/>
                <w:color w:val="auto"/>
              </w:rPr>
            </w:pPr>
          </w:p>
        </w:tc>
        <w:tc>
          <w:tcPr>
            <w:tcW w:w="480" w:type="dxa"/>
            <w:vAlign w:val="bottom"/>
            <w:tcBorders>
              <w:bottom w:val="single" w:sz="8" w:color="auto"/>
            </w:tcBorders>
            <w:gridSpan w:val="5"/>
          </w:tcPr>
          <w:p>
            <w:pPr>
              <w:spacing w:after="0"/>
              <w:rPr>
                <w:sz w:val="6"/>
                <w:szCs w:val="6"/>
                <w:color w:val="auto"/>
              </w:rPr>
            </w:pPr>
          </w:p>
        </w:tc>
        <w:tc>
          <w:tcPr>
            <w:tcW w:w="320" w:type="dxa"/>
            <w:vAlign w:val="bottom"/>
            <w:tcBorders>
              <w:bottom w:val="single" w:sz="8" w:color="auto"/>
            </w:tcBorders>
            <w:gridSpan w:val="3"/>
            <w:vMerge w:val="continue"/>
          </w:tcPr>
          <w:p>
            <w:pPr>
              <w:spacing w:after="0"/>
              <w:rPr>
                <w:sz w:val="6"/>
                <w:szCs w:val="6"/>
                <w:color w:val="auto"/>
              </w:rPr>
            </w:pPr>
          </w:p>
        </w:tc>
        <w:tc>
          <w:tcPr>
            <w:tcW w:w="940" w:type="dxa"/>
            <w:vAlign w:val="bottom"/>
            <w:tcBorders>
              <w:bottom w:val="single" w:sz="8" w:color="auto"/>
            </w:tcBorders>
            <w:gridSpan w:val="5"/>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vMerge w:val="restart"/>
          </w:tcPr>
          <w:p>
            <w:pPr>
              <w:spacing w:after="0"/>
              <w:rPr>
                <w:sz w:val="19"/>
                <w:szCs w:val="19"/>
                <w:color w:val="auto"/>
              </w:rPr>
            </w:pPr>
          </w:p>
        </w:tc>
        <w:tc>
          <w:tcPr>
            <w:tcW w:w="69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 xml:space="preserve">Fiserv, Inc. Executive Severance and Change of Control Policy, effective August 10, 2021 </w:t>
              </w:r>
            </w:hyperlink>
            <w:r>
              <w:rPr>
                <w:rFonts w:ascii="Times New Roman" w:cs="Times New Roman" w:eastAsia="Times New Roman" w:hAnsi="Times New Roman"/>
                <w:sz w:val="18"/>
                <w:szCs w:val="18"/>
                <w:color w:val="0000FF"/>
                <w:w w:val="99"/>
              </w:rPr>
              <w:t>(25)*</w:t>
            </w:r>
          </w:p>
        </w:tc>
        <w:tc>
          <w:tcPr>
            <w:tcW w:w="460" w:type="dxa"/>
            <w:vAlign w:val="bottom"/>
            <w:vMerge w:val="restart"/>
          </w:tcPr>
          <w:p>
            <w:pPr>
              <w:spacing w:after="0"/>
              <w:rPr>
                <w:sz w:val="19"/>
                <w:szCs w:val="19"/>
                <w:color w:val="auto"/>
              </w:rPr>
            </w:pPr>
          </w:p>
        </w:tc>
        <w:tc>
          <w:tcPr>
            <w:tcW w:w="1940" w:type="dxa"/>
            <w:vAlign w:val="bottom"/>
            <w:tcBorders>
              <w:right w:val="single" w:sz="8" w:color="auto"/>
            </w:tcBorders>
            <w:gridSpan w:val="10"/>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160" w:type="dxa"/>
            <w:vAlign w:val="bottom"/>
            <w:tcBorders>
              <w:bottom w:val="single" w:sz="8" w:color="auto"/>
            </w:tcBorders>
            <w:gridSpan w:val="8"/>
          </w:tcPr>
          <w:p>
            <w:pPr>
              <w:spacing w:after="0"/>
              <w:rPr>
                <w:sz w:val="6"/>
                <w:szCs w:val="6"/>
                <w:color w:val="auto"/>
              </w:rPr>
            </w:pPr>
          </w:p>
        </w:tc>
        <w:tc>
          <w:tcPr>
            <w:tcW w:w="180" w:type="dxa"/>
            <w:vAlign w:val="bottom"/>
            <w:tcBorders>
              <w:bottom w:val="single" w:sz="8" w:color="auto"/>
            </w:tcBorders>
            <w:gridSpan w:val="4"/>
          </w:tcPr>
          <w:p>
            <w:pPr>
              <w:spacing w:after="0"/>
              <w:rPr>
                <w:sz w:val="6"/>
                <w:szCs w:val="6"/>
                <w:color w:val="auto"/>
              </w:rPr>
            </w:pPr>
          </w:p>
        </w:tc>
        <w:tc>
          <w:tcPr>
            <w:tcW w:w="800" w:type="dxa"/>
            <w:vAlign w:val="bottom"/>
            <w:tcBorders>
              <w:bottom w:val="single" w:sz="8" w:color="auto"/>
            </w:tcBorders>
            <w:gridSpan w:val="8"/>
          </w:tcPr>
          <w:p>
            <w:pPr>
              <w:spacing w:after="0"/>
              <w:rPr>
                <w:sz w:val="6"/>
                <w:szCs w:val="6"/>
                <w:color w:val="auto"/>
              </w:rPr>
            </w:pPr>
          </w:p>
        </w:tc>
        <w:tc>
          <w:tcPr>
            <w:tcW w:w="94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4"/>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vMerge w:val="restart"/>
          </w:tcPr>
          <w:p>
            <w:pPr>
              <w:spacing w:after="0"/>
              <w:rPr>
                <w:sz w:val="18"/>
                <w:szCs w:val="18"/>
                <w:color w:val="auto"/>
              </w:rPr>
            </w:pPr>
          </w:p>
        </w:tc>
        <w:tc>
          <w:tcPr>
            <w:tcW w:w="41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Fiserv, Inc. Executive Officer Cash Severance Policy (2)*</w:t>
              </w:r>
            </w:hyperlink>
          </w:p>
        </w:tc>
        <w:tc>
          <w:tcPr>
            <w:tcW w:w="180" w:type="dxa"/>
            <w:vAlign w:val="bottom"/>
            <w:gridSpan w:val="4"/>
            <w:vMerge w:val="restart"/>
          </w:tcPr>
          <w:p>
            <w:pPr>
              <w:spacing w:after="0"/>
              <w:rPr>
                <w:sz w:val="18"/>
                <w:szCs w:val="18"/>
                <w:color w:val="auto"/>
              </w:rPr>
            </w:pPr>
          </w:p>
        </w:tc>
        <w:tc>
          <w:tcPr>
            <w:tcW w:w="800" w:type="dxa"/>
            <w:vAlign w:val="bottom"/>
            <w:gridSpan w:val="8"/>
            <w:vMerge w:val="restart"/>
          </w:tcPr>
          <w:p>
            <w:pPr>
              <w:spacing w:after="0"/>
              <w:rPr>
                <w:sz w:val="18"/>
                <w:szCs w:val="18"/>
                <w:color w:val="auto"/>
              </w:rPr>
            </w:pPr>
          </w:p>
        </w:tc>
        <w:tc>
          <w:tcPr>
            <w:tcW w:w="940" w:type="dxa"/>
            <w:vAlign w:val="bottom"/>
            <w:gridSpan w:val="5"/>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220" w:type="dxa"/>
            <w:vAlign w:val="bottom"/>
            <w:gridSpan w:val="5"/>
            <w:vMerge w:val="restart"/>
          </w:tcPr>
          <w:p>
            <w:pPr>
              <w:spacing w:after="0"/>
              <w:rPr>
                <w:sz w:val="18"/>
                <w:szCs w:val="18"/>
                <w:color w:val="auto"/>
              </w:rPr>
            </w:pPr>
          </w:p>
        </w:tc>
        <w:tc>
          <w:tcPr>
            <w:tcW w:w="1940" w:type="dxa"/>
            <w:vAlign w:val="bottom"/>
            <w:tcBorders>
              <w:right w:val="single" w:sz="8" w:color="auto"/>
            </w:tcBorders>
            <w:gridSpan w:val="10"/>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4160" w:type="dxa"/>
            <w:vAlign w:val="bottom"/>
            <w:tcBorders>
              <w:bottom w:val="single" w:sz="8" w:color="auto"/>
            </w:tcBorders>
            <w:gridSpan w:val="8"/>
          </w:tcPr>
          <w:p>
            <w:pPr>
              <w:spacing w:after="0"/>
              <w:rPr>
                <w:sz w:val="5"/>
                <w:szCs w:val="5"/>
                <w:color w:val="auto"/>
              </w:rPr>
            </w:pPr>
          </w:p>
        </w:tc>
        <w:tc>
          <w:tcPr>
            <w:tcW w:w="180" w:type="dxa"/>
            <w:vAlign w:val="bottom"/>
            <w:tcBorders>
              <w:bottom w:val="single" w:sz="8" w:color="auto"/>
            </w:tcBorders>
            <w:gridSpan w:val="4"/>
            <w:vMerge w:val="continue"/>
          </w:tcPr>
          <w:p>
            <w:pPr>
              <w:spacing w:after="0"/>
              <w:rPr>
                <w:sz w:val="5"/>
                <w:szCs w:val="5"/>
                <w:color w:val="auto"/>
              </w:rPr>
            </w:pPr>
          </w:p>
        </w:tc>
        <w:tc>
          <w:tcPr>
            <w:tcW w:w="800" w:type="dxa"/>
            <w:vAlign w:val="bottom"/>
            <w:tcBorders>
              <w:bottom w:val="single" w:sz="8" w:color="auto"/>
            </w:tcBorders>
            <w:gridSpan w:val="8"/>
            <w:vMerge w:val="continue"/>
          </w:tcPr>
          <w:p>
            <w:pPr>
              <w:spacing w:after="0"/>
              <w:rPr>
                <w:sz w:val="5"/>
                <w:szCs w:val="5"/>
                <w:color w:val="auto"/>
              </w:rPr>
            </w:pPr>
          </w:p>
        </w:tc>
        <w:tc>
          <w:tcPr>
            <w:tcW w:w="940" w:type="dxa"/>
            <w:vAlign w:val="bottom"/>
            <w:tcBorders>
              <w:bottom w:val="single" w:sz="8" w:color="auto"/>
            </w:tcBorders>
            <w:gridSpan w:val="5"/>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gridSpan w:val="5"/>
            <w:vMerge w:val="continue"/>
          </w:tcPr>
          <w:p>
            <w:pPr>
              <w:spacing w:after="0"/>
              <w:rPr>
                <w:sz w:val="5"/>
                <w:szCs w:val="5"/>
                <w:color w:val="auto"/>
              </w:rPr>
            </w:pPr>
          </w:p>
        </w:tc>
        <w:tc>
          <w:tcPr>
            <w:tcW w:w="1940" w:type="dxa"/>
            <w:vAlign w:val="bottom"/>
            <w:tcBorders>
              <w:bottom w:val="single" w:sz="8" w:color="auto"/>
              <w:right w:val="single" w:sz="8" w:color="auto"/>
            </w:tcBorders>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vMerge w:val="restart"/>
          </w:tcPr>
          <w:p>
            <w:pPr>
              <w:spacing w:after="0"/>
              <w:rPr>
                <w:sz w:val="19"/>
                <w:szCs w:val="19"/>
                <w:color w:val="auto"/>
              </w:rPr>
            </w:pPr>
          </w:p>
        </w:tc>
        <w:tc>
          <w:tcPr>
            <w:tcW w:w="73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 xml:space="preserve">Employment Agreement, dated December 21, 2022, between Fiserv, Inc. and Frank J. Bisignano </w:t>
              </w:r>
            </w:hyperlink>
            <w:r>
              <w:rPr>
                <w:rFonts w:ascii="Times New Roman" w:cs="Times New Roman" w:eastAsia="Times New Roman" w:hAnsi="Times New Roman"/>
                <w:sz w:val="18"/>
                <w:szCs w:val="18"/>
                <w:color w:val="0000FF"/>
                <w:w w:val="99"/>
              </w:rPr>
              <w:t>(26)*</w:t>
            </w:r>
          </w:p>
        </w:tc>
        <w:tc>
          <w:tcPr>
            <w:tcW w:w="1940" w:type="dxa"/>
            <w:vAlign w:val="bottom"/>
            <w:tcBorders>
              <w:right w:val="single" w:sz="8" w:color="auto"/>
            </w:tcBorders>
            <w:gridSpan w:val="10"/>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340" w:type="dxa"/>
            <w:vAlign w:val="bottom"/>
            <w:tcBorders>
              <w:bottom w:val="single" w:sz="8" w:color="auto"/>
            </w:tcBorders>
            <w:gridSpan w:val="12"/>
          </w:tcPr>
          <w:p>
            <w:pPr>
              <w:spacing w:after="0"/>
              <w:rPr>
                <w:sz w:val="6"/>
                <w:szCs w:val="6"/>
                <w:color w:val="auto"/>
              </w:rPr>
            </w:pPr>
          </w:p>
        </w:tc>
        <w:tc>
          <w:tcPr>
            <w:tcW w:w="800" w:type="dxa"/>
            <w:vAlign w:val="bottom"/>
            <w:tcBorders>
              <w:bottom w:val="single" w:sz="8" w:color="auto"/>
            </w:tcBorders>
            <w:gridSpan w:val="8"/>
          </w:tcPr>
          <w:p>
            <w:pPr>
              <w:spacing w:after="0"/>
              <w:rPr>
                <w:sz w:val="6"/>
                <w:szCs w:val="6"/>
                <w:color w:val="auto"/>
              </w:rPr>
            </w:pPr>
          </w:p>
        </w:tc>
        <w:tc>
          <w:tcPr>
            <w:tcW w:w="940" w:type="dxa"/>
            <w:vAlign w:val="bottom"/>
            <w:tcBorders>
              <w:bottom w:val="single" w:sz="8" w:color="auto"/>
            </w:tcBorders>
            <w:gridSpan w:val="5"/>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5"/>
          </w:tcPr>
          <w:p>
            <w:pPr>
              <w:spacing w:after="0"/>
              <w:rPr>
                <w:sz w:val="6"/>
                <w:szCs w:val="6"/>
                <w:color w:val="auto"/>
              </w:rPr>
            </w:pPr>
          </w:p>
        </w:tc>
        <w:tc>
          <w:tcPr>
            <w:tcW w:w="1940" w:type="dxa"/>
            <w:vAlign w:val="bottom"/>
            <w:tcBorders>
              <w:bottom w:val="single" w:sz="8" w:color="auto"/>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right w:val="single" w:sz="8" w:color="auto"/>
            </w:tcBorders>
          </w:tcPr>
          <w:p>
            <w:pPr>
              <w:ind w:left="560"/>
              <w:spacing w:after="0" w:line="182" w:lineRule="exact"/>
              <w:rPr>
                <w:sz w:val="20"/>
                <w:szCs w:val="20"/>
                <w:color w:val="auto"/>
              </w:rPr>
            </w:pPr>
            <w:r>
              <w:rPr>
                <w:rFonts w:ascii="Times New Roman" w:cs="Times New Roman" w:eastAsia="Times New Roman" w:hAnsi="Times New Roman"/>
                <w:sz w:val="18"/>
                <w:szCs w:val="18"/>
                <w:color w:val="auto"/>
              </w:rPr>
              <w:t>10.26</w:t>
            </w:r>
          </w:p>
        </w:tc>
        <w:tc>
          <w:tcPr>
            <w:tcW w:w="9340" w:type="dxa"/>
            <w:vAlign w:val="bottom"/>
            <w:tcBorders>
              <w:right w:val="single" w:sz="8" w:color="auto"/>
            </w:tcBorders>
            <w:gridSpan w:val="42"/>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Offer Letter, dated January 22, 2025, between Fiserv, Inc. and Michael P. Lyons (27)*</w:t>
              </w:r>
            </w:hyperlink>
          </w:p>
        </w:tc>
        <w:tc>
          <w:tcPr>
            <w:tcW w:w="0" w:type="dxa"/>
            <w:vAlign w:val="bottom"/>
          </w:tcPr>
          <w:p>
            <w:pPr>
              <w:spacing w:after="0"/>
              <w:rPr>
                <w:sz w:val="1"/>
                <w:szCs w:val="1"/>
                <w:color w:val="auto"/>
              </w:rPr>
            </w:pPr>
          </w:p>
        </w:tc>
      </w:tr>
      <w:tr>
        <w:trPr>
          <w:trHeight w:val="20"/>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vMerge w:val="restart"/>
          </w:tcPr>
          <w:p>
            <w:pPr>
              <w:spacing w:after="0"/>
              <w:rPr>
                <w:sz w:val="19"/>
                <w:szCs w:val="19"/>
                <w:color w:val="auto"/>
              </w:rPr>
            </w:pPr>
          </w:p>
        </w:tc>
        <w:tc>
          <w:tcPr>
            <w:tcW w:w="60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 xml:space="preserve">Fiserv, Inc. Amended and Restated Non-Qualified Deferred Compensation Plan </w:t>
              </w:r>
            </w:hyperlink>
            <w:r>
              <w:rPr>
                <w:rFonts w:ascii="Times New Roman" w:cs="Times New Roman" w:eastAsia="Times New Roman" w:hAnsi="Times New Roman"/>
                <w:sz w:val="18"/>
                <w:szCs w:val="18"/>
                <w:color w:val="0000FF"/>
                <w:w w:val="99"/>
              </w:rPr>
              <w:t>(4)*</w:t>
            </w:r>
          </w:p>
        </w:tc>
        <w:tc>
          <w:tcPr>
            <w:tcW w:w="3240" w:type="dxa"/>
            <w:vAlign w:val="bottom"/>
            <w:tcBorders>
              <w:right w:val="single" w:sz="8" w:color="auto"/>
            </w:tcBorders>
            <w:gridSpan w:val="16"/>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340" w:type="dxa"/>
            <w:vAlign w:val="bottom"/>
            <w:tcBorders>
              <w:bottom w:val="single" w:sz="8" w:color="auto"/>
            </w:tcBorders>
            <w:gridSpan w:val="12"/>
          </w:tcPr>
          <w:p>
            <w:pPr>
              <w:spacing w:after="0"/>
              <w:rPr>
                <w:sz w:val="6"/>
                <w:szCs w:val="6"/>
                <w:color w:val="auto"/>
              </w:rPr>
            </w:pPr>
          </w:p>
        </w:tc>
        <w:tc>
          <w:tcPr>
            <w:tcW w:w="800" w:type="dxa"/>
            <w:vAlign w:val="bottom"/>
            <w:tcBorders>
              <w:bottom w:val="single" w:sz="8" w:color="auto"/>
            </w:tcBorders>
            <w:gridSpan w:val="8"/>
          </w:tcPr>
          <w:p>
            <w:pPr>
              <w:spacing w:after="0"/>
              <w:rPr>
                <w:sz w:val="6"/>
                <w:szCs w:val="6"/>
                <w:color w:val="auto"/>
              </w:rPr>
            </w:pPr>
          </w:p>
        </w:tc>
        <w:tc>
          <w:tcPr>
            <w:tcW w:w="940" w:type="dxa"/>
            <w:vAlign w:val="bottom"/>
            <w:tcBorders>
              <w:bottom w:val="single" w:sz="8" w:color="auto"/>
            </w:tcBorders>
            <w:gridSpan w:val="5"/>
          </w:tcPr>
          <w:p>
            <w:pPr>
              <w:spacing w:after="0"/>
              <w:rPr>
                <w:sz w:val="6"/>
                <w:szCs w:val="6"/>
                <w:color w:val="auto"/>
              </w:rPr>
            </w:pPr>
          </w:p>
        </w:tc>
        <w:tc>
          <w:tcPr>
            <w:tcW w:w="3240" w:type="dxa"/>
            <w:vAlign w:val="bottom"/>
            <w:tcBorders>
              <w:bottom w:val="single" w:sz="8" w:color="auto"/>
              <w:right w:val="single" w:sz="8" w:color="auto"/>
            </w:tcBorders>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vMerge w:val="restart"/>
          </w:tcPr>
          <w:p>
            <w:pPr>
              <w:spacing w:after="0"/>
              <w:rPr>
                <w:sz w:val="19"/>
                <w:szCs w:val="19"/>
                <w:color w:val="auto"/>
              </w:rPr>
            </w:pPr>
          </w:p>
        </w:tc>
        <w:tc>
          <w:tcPr>
            <w:tcW w:w="4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Form of Non-Employee Director Indemnity Agreement (28)</w:t>
              </w:r>
            </w:hyperlink>
          </w:p>
        </w:tc>
        <w:tc>
          <w:tcPr>
            <w:tcW w:w="800" w:type="dxa"/>
            <w:vAlign w:val="bottom"/>
            <w:gridSpan w:val="8"/>
            <w:vMerge w:val="restart"/>
          </w:tcPr>
          <w:p>
            <w:pPr>
              <w:spacing w:after="0"/>
              <w:rPr>
                <w:sz w:val="19"/>
                <w:szCs w:val="19"/>
                <w:color w:val="auto"/>
              </w:rPr>
            </w:pPr>
          </w:p>
        </w:tc>
        <w:tc>
          <w:tcPr>
            <w:tcW w:w="4180" w:type="dxa"/>
            <w:vAlign w:val="bottom"/>
            <w:tcBorders>
              <w:right w:val="single" w:sz="8" w:color="auto"/>
            </w:tcBorders>
            <w:gridSpan w:val="21"/>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340" w:type="dxa"/>
            <w:vAlign w:val="bottom"/>
            <w:tcBorders>
              <w:bottom w:val="single" w:sz="8" w:color="auto"/>
            </w:tcBorders>
            <w:gridSpan w:val="12"/>
          </w:tcPr>
          <w:p>
            <w:pPr>
              <w:spacing w:after="0"/>
              <w:rPr>
                <w:sz w:val="6"/>
                <w:szCs w:val="6"/>
                <w:color w:val="auto"/>
              </w:rPr>
            </w:pPr>
          </w:p>
        </w:tc>
        <w:tc>
          <w:tcPr>
            <w:tcW w:w="800" w:type="dxa"/>
            <w:vAlign w:val="bottom"/>
            <w:tcBorders>
              <w:bottom w:val="single" w:sz="8" w:color="auto"/>
            </w:tcBorders>
            <w:gridSpan w:val="8"/>
            <w:vMerge w:val="continue"/>
          </w:tcPr>
          <w:p>
            <w:pPr>
              <w:spacing w:after="0"/>
              <w:rPr>
                <w:sz w:val="6"/>
                <w:szCs w:val="6"/>
                <w:color w:val="auto"/>
              </w:rPr>
            </w:pPr>
          </w:p>
        </w:tc>
        <w:tc>
          <w:tcPr>
            <w:tcW w:w="4180" w:type="dxa"/>
            <w:vAlign w:val="bottom"/>
            <w:tcBorders>
              <w:bottom w:val="single" w:sz="8" w:color="auto"/>
              <w:right w:val="single" w:sz="8" w:color="auto"/>
            </w:tcBorders>
            <w:gridSpan w:val="2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vMerge w:val="restart"/>
          </w:tcPr>
          <w:p>
            <w:pPr>
              <w:spacing w:after="0"/>
              <w:rPr>
                <w:sz w:val="19"/>
                <w:szCs w:val="19"/>
                <w:color w:val="auto"/>
              </w:rPr>
            </w:pPr>
          </w:p>
        </w:tc>
        <w:tc>
          <w:tcPr>
            <w:tcW w:w="5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Fiserv, Inc. Non-Employee Director Deferred Compensation Plan (20)*</w:t>
              </w:r>
            </w:hyperlink>
          </w:p>
        </w:tc>
        <w:tc>
          <w:tcPr>
            <w:tcW w:w="4180" w:type="dxa"/>
            <w:vAlign w:val="bottom"/>
            <w:tcBorders>
              <w:right w:val="single" w:sz="8" w:color="auto"/>
            </w:tcBorders>
            <w:gridSpan w:val="21"/>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140" w:type="dxa"/>
            <w:vAlign w:val="bottom"/>
            <w:tcBorders>
              <w:bottom w:val="single" w:sz="8" w:color="auto"/>
            </w:tcBorders>
            <w:gridSpan w:val="20"/>
          </w:tcPr>
          <w:p>
            <w:pPr>
              <w:spacing w:after="0"/>
              <w:rPr>
                <w:sz w:val="6"/>
                <w:szCs w:val="6"/>
                <w:color w:val="auto"/>
              </w:rPr>
            </w:pPr>
          </w:p>
        </w:tc>
        <w:tc>
          <w:tcPr>
            <w:tcW w:w="4180" w:type="dxa"/>
            <w:vAlign w:val="bottom"/>
            <w:tcBorders>
              <w:bottom w:val="single" w:sz="8" w:color="auto"/>
              <w:right w:val="single" w:sz="8" w:color="auto"/>
            </w:tcBorders>
            <w:gridSpan w:val="21"/>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66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63"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00" w:type="dxa"/>
            <w:vAlign w:val="bottom"/>
            <w:tcBorders>
              <w:top w:val="single" w:sz="8" w:color="auto"/>
              <w:left w:val="single" w:sz="8" w:color="auto"/>
              <w:bottom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Borders>
              <w:top w:val="single" w:sz="8" w:color="auto"/>
              <w:bottom w:val="single" w:sz="8" w:color="auto"/>
            </w:tcBorders>
            <w:vMerge w:val="restart"/>
          </w:tcPr>
          <w:p>
            <w:pPr>
              <w:spacing w:after="0"/>
              <w:rPr>
                <w:sz w:val="19"/>
                <w:szCs w:val="19"/>
                <w:color w:val="auto"/>
              </w:rPr>
            </w:pPr>
          </w:p>
        </w:tc>
        <w:tc>
          <w:tcPr>
            <w:tcW w:w="3960" w:type="dxa"/>
            <w:vAlign w:val="bottom"/>
            <w:tcBorders>
              <w:top w:val="single" w:sz="8" w:color="auto"/>
              <w:bottom w:val="single" w:sz="8" w:color="0000FF"/>
            </w:tcBorders>
            <w:gridSpan w:val="6"/>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Non-Employee Director Compensation Schedule (29)*</w:t>
              </w:r>
            </w:hyperlink>
          </w:p>
        </w:tc>
        <w:tc>
          <w:tcPr>
            <w:tcW w:w="340" w:type="dxa"/>
            <w:vAlign w:val="bottom"/>
            <w:tcBorders>
              <w:top w:val="single" w:sz="8" w:color="auto"/>
              <w:bottom w:val="single" w:sz="8" w:color="auto"/>
            </w:tcBorders>
            <w:vMerge w:val="restart"/>
          </w:tcPr>
          <w:p>
            <w:pPr>
              <w:spacing w:after="0"/>
              <w:rPr>
                <w:sz w:val="19"/>
                <w:szCs w:val="19"/>
                <w:color w:val="auto"/>
              </w:rPr>
            </w:pPr>
          </w:p>
        </w:tc>
        <w:tc>
          <w:tcPr>
            <w:tcW w:w="3080" w:type="dxa"/>
            <w:vAlign w:val="bottom"/>
            <w:tcBorders>
              <w:top w:val="single" w:sz="8" w:color="auto"/>
              <w:bottom w:val="single" w:sz="8" w:color="auto"/>
            </w:tcBorders>
            <w:vMerge w:val="restart"/>
          </w:tcPr>
          <w:p>
            <w:pPr>
              <w:spacing w:after="0"/>
              <w:rPr>
                <w:sz w:val="19"/>
                <w:szCs w:val="19"/>
                <w:color w:val="auto"/>
              </w:rPr>
            </w:pPr>
          </w:p>
        </w:tc>
        <w:tc>
          <w:tcPr>
            <w:tcW w:w="60" w:type="dxa"/>
            <w:vAlign w:val="bottom"/>
            <w:tcBorders>
              <w:top w:val="single" w:sz="8" w:color="auto"/>
              <w:bottom w:val="single" w:sz="8" w:color="auto"/>
            </w:tcBorders>
            <w:vMerge w:val="restart"/>
          </w:tcPr>
          <w:p>
            <w:pPr>
              <w:spacing w:after="0"/>
              <w:rPr>
                <w:sz w:val="19"/>
                <w:szCs w:val="19"/>
                <w:color w:val="auto"/>
              </w:rPr>
            </w:pPr>
          </w:p>
        </w:tc>
        <w:tc>
          <w:tcPr>
            <w:tcW w:w="1680" w:type="dxa"/>
            <w:vAlign w:val="bottom"/>
            <w:tcBorders>
              <w:top w:val="single" w:sz="8" w:color="auto"/>
              <w:bottom w:val="single" w:sz="8" w:color="auto"/>
            </w:tcBorders>
            <w:vMerge w:val="restart"/>
          </w:tcPr>
          <w:p>
            <w:pPr>
              <w:spacing w:after="0"/>
              <w:rPr>
                <w:sz w:val="19"/>
                <w:szCs w:val="19"/>
                <w:color w:val="auto"/>
              </w:rPr>
            </w:pPr>
          </w:p>
        </w:tc>
        <w:tc>
          <w:tcPr>
            <w:tcW w:w="40" w:type="dxa"/>
            <w:vAlign w:val="bottom"/>
            <w:tcBorders>
              <w:top w:val="single" w:sz="8" w:color="auto"/>
              <w:bottom w:val="single" w:sz="8" w:color="auto"/>
            </w:tcBorders>
            <w:vMerge w:val="restart"/>
          </w:tcPr>
          <w:p>
            <w:pPr>
              <w:spacing w:after="0"/>
              <w:rPr>
                <w:sz w:val="19"/>
                <w:szCs w:val="19"/>
                <w:color w:val="auto"/>
              </w:rPr>
            </w:pPr>
          </w:p>
        </w:tc>
        <w:tc>
          <w:tcPr>
            <w:tcW w:w="160" w:type="dxa"/>
            <w:vAlign w:val="bottom"/>
            <w:tcBorders>
              <w:top w:val="single" w:sz="8" w:color="auto"/>
              <w:bottom w:val="single" w:sz="8" w:color="auto"/>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0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10.31</w:t>
            </w:r>
          </w:p>
        </w:tc>
        <w:tc>
          <w:tcPr>
            <w:tcW w:w="9340" w:type="dxa"/>
            <w:vAlign w:val="bottom"/>
            <w:tcBorders>
              <w:right w:val="single" w:sz="8" w:color="auto"/>
            </w:tcBorders>
            <w:gridSpan w:val="13"/>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Credit Agreement, dated as of June 16, 2022, among Fiserv, Inc., JPMorgan Chase Bank, N.A., as administrative agent, and the</w:t>
              </w:r>
            </w:hyperlink>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vMerge w:val="continue"/>
          </w:tcPr>
          <w:p>
            <w:pPr>
              <w:spacing w:after="0"/>
              <w:rPr>
                <w:sz w:val="13"/>
                <w:szCs w:val="13"/>
                <w:color w:val="auto"/>
              </w:rPr>
            </w:pPr>
          </w:p>
        </w:tc>
        <w:tc>
          <w:tcPr>
            <w:tcW w:w="918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financial institutions party thereto (30)*</w:t>
              </w:r>
            </w:hyperlink>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00" w:type="dxa"/>
            <w:vAlign w:val="bottom"/>
            <w:tcBorders>
              <w:left w:val="single" w:sz="8" w:color="auto"/>
              <w:right w:val="single" w:sz="8" w:color="auto"/>
            </w:tcBorders>
          </w:tcPr>
          <w:p>
            <w:pPr>
              <w:ind w:left="560"/>
              <w:spacing w:after="0" w:line="182" w:lineRule="exact"/>
              <w:rPr>
                <w:sz w:val="20"/>
                <w:szCs w:val="20"/>
                <w:color w:val="auto"/>
              </w:rPr>
            </w:pPr>
            <w:r>
              <w:rPr>
                <w:rFonts w:ascii="Times New Roman" w:cs="Times New Roman" w:eastAsia="Times New Roman" w:hAnsi="Times New Roman"/>
                <w:sz w:val="18"/>
                <w:szCs w:val="18"/>
                <w:color w:val="auto"/>
              </w:rPr>
              <w:t>19.1</w:t>
            </w:r>
          </w:p>
        </w:tc>
        <w:tc>
          <w:tcPr>
            <w:tcW w:w="9340" w:type="dxa"/>
            <w:vAlign w:val="bottom"/>
            <w:tcBorders>
              <w:right w:val="single" w:sz="8" w:color="auto"/>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Fiserv, Inc. Securities Trading Policy</w:t>
            </w:r>
          </w:p>
        </w:tc>
        <w:tc>
          <w:tcPr>
            <w:tcW w:w="0" w:type="dxa"/>
            <w:vAlign w:val="bottom"/>
          </w:tcPr>
          <w:p>
            <w:pPr>
              <w:spacing w:after="0"/>
              <w:rPr>
                <w:sz w:val="1"/>
                <w:szCs w:val="1"/>
                <w:color w:val="auto"/>
              </w:rPr>
            </w:pPr>
          </w:p>
        </w:tc>
      </w:tr>
      <w:tr>
        <w:trPr>
          <w:trHeight w:val="21"/>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vMerge w:val="restart"/>
          </w:tcPr>
          <w:p>
            <w:pPr>
              <w:spacing w:after="0"/>
              <w:rPr>
                <w:sz w:val="19"/>
                <w:szCs w:val="19"/>
                <w:color w:val="auto"/>
              </w:rPr>
            </w:pPr>
          </w:p>
        </w:tc>
        <w:tc>
          <w:tcPr>
            <w:tcW w:w="2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Significant Subsidiaries of Fiserv, Inc.</w:t>
            </w:r>
          </w:p>
        </w:tc>
        <w:tc>
          <w:tcPr>
            <w:tcW w:w="840" w:type="dxa"/>
            <w:vAlign w:val="bottom"/>
            <w:gridSpan w:val="2"/>
            <w:vMerge w:val="restart"/>
          </w:tcPr>
          <w:p>
            <w:pPr>
              <w:spacing w:after="0"/>
              <w:rPr>
                <w:sz w:val="19"/>
                <w:szCs w:val="19"/>
                <w:color w:val="auto"/>
              </w:rPr>
            </w:pPr>
          </w:p>
        </w:tc>
        <w:tc>
          <w:tcPr>
            <w:tcW w:w="720" w:type="dxa"/>
            <w:vAlign w:val="bottom"/>
            <w:gridSpan w:val="2"/>
            <w:vMerge w:val="restart"/>
          </w:tcPr>
          <w:p>
            <w:pPr>
              <w:spacing w:after="0"/>
              <w:rPr>
                <w:sz w:val="19"/>
                <w:szCs w:val="19"/>
                <w:color w:val="auto"/>
              </w:rPr>
            </w:pPr>
          </w:p>
        </w:tc>
        <w:tc>
          <w:tcPr>
            <w:tcW w:w="30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80" w:type="dxa"/>
            <w:vAlign w:val="bottom"/>
            <w:vMerge w:val="restart"/>
          </w:tcPr>
          <w:p>
            <w:pPr>
              <w:spacing w:after="0"/>
              <w:rPr>
                <w:sz w:val="19"/>
                <w:szCs w:val="19"/>
                <w:color w:val="auto"/>
              </w:rPr>
            </w:pPr>
          </w:p>
        </w:tc>
        <w:tc>
          <w:tcPr>
            <w:tcW w:w="20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gridSpan w:val="2"/>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gridSpan w:val="2"/>
            <w:vMerge w:val="continue"/>
          </w:tcPr>
          <w:p>
            <w:pPr>
              <w:spacing w:after="0"/>
              <w:rPr>
                <w:sz w:val="6"/>
                <w:szCs w:val="6"/>
                <w:color w:val="auto"/>
              </w:rPr>
            </w:pPr>
          </w:p>
        </w:tc>
        <w:tc>
          <w:tcPr>
            <w:tcW w:w="30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vMerge w:val="restart"/>
          </w:tcPr>
          <w:p>
            <w:pPr>
              <w:spacing w:after="0"/>
              <w:rPr>
                <w:sz w:val="19"/>
                <w:szCs w:val="19"/>
                <w:color w:val="auto"/>
              </w:rPr>
            </w:pPr>
          </w:p>
        </w:tc>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30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80" w:type="dxa"/>
            <w:vAlign w:val="bottom"/>
            <w:vMerge w:val="restart"/>
          </w:tcPr>
          <w:p>
            <w:pPr>
              <w:spacing w:after="0"/>
              <w:rPr>
                <w:sz w:val="19"/>
                <w:szCs w:val="19"/>
                <w:color w:val="auto"/>
              </w:rPr>
            </w:pPr>
          </w:p>
        </w:tc>
        <w:tc>
          <w:tcPr>
            <w:tcW w:w="20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gridSpan w:val="4"/>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30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vMerge w:val="restart"/>
          </w:tcPr>
          <w:p>
            <w:pPr>
              <w:spacing w:after="0"/>
              <w:rPr>
                <w:sz w:val="19"/>
                <w:szCs w:val="19"/>
                <w:color w:val="auto"/>
              </w:rPr>
            </w:pPr>
          </w:p>
        </w:tc>
        <w:tc>
          <w:tcPr>
            <w:tcW w:w="7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 of 2002</w:t>
            </w:r>
          </w:p>
        </w:tc>
        <w:tc>
          <w:tcPr>
            <w:tcW w:w="1680" w:type="dxa"/>
            <w:vAlign w:val="bottom"/>
            <w:vMerge w:val="restart"/>
          </w:tcPr>
          <w:p>
            <w:pPr>
              <w:spacing w:after="0"/>
              <w:rPr>
                <w:sz w:val="19"/>
                <w:szCs w:val="19"/>
                <w:color w:val="auto"/>
              </w:rPr>
            </w:pPr>
          </w:p>
        </w:tc>
        <w:tc>
          <w:tcPr>
            <w:tcW w:w="20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gridSpan w:val="4"/>
          </w:tcPr>
          <w:p>
            <w:pPr>
              <w:spacing w:after="0"/>
              <w:rPr>
                <w:sz w:val="6"/>
                <w:szCs w:val="6"/>
                <w:color w:val="auto"/>
              </w:rPr>
            </w:pPr>
          </w:p>
        </w:tc>
        <w:tc>
          <w:tcPr>
            <w:tcW w:w="380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vMerge w:val="restart"/>
          </w:tcPr>
          <w:p>
            <w:pPr>
              <w:spacing w:after="0"/>
              <w:rPr>
                <w:sz w:val="19"/>
                <w:szCs w:val="19"/>
                <w:color w:val="auto"/>
              </w:rPr>
            </w:pPr>
          </w:p>
        </w:tc>
        <w:tc>
          <w:tcPr>
            <w:tcW w:w="7380" w:type="dxa"/>
            <w:vAlign w:val="bottom"/>
            <w:tcBorders>
              <w:bottom w:val="single" w:sz="8" w:color="0000FF"/>
            </w:tcBorders>
            <w:gridSpan w:val="8"/>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740" w:type="dxa"/>
            <w:vAlign w:val="bottom"/>
            <w:gridSpan w:val="2"/>
            <w:vMerge w:val="restart"/>
          </w:tcPr>
          <w:p>
            <w:pPr>
              <w:spacing w:after="0"/>
              <w:rPr>
                <w:sz w:val="19"/>
                <w:szCs w:val="19"/>
                <w:color w:val="auto"/>
              </w:rPr>
            </w:pPr>
          </w:p>
        </w:tc>
        <w:tc>
          <w:tcPr>
            <w:tcW w:w="20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gridSpan w:val="4"/>
          </w:tcPr>
          <w:p>
            <w:pPr>
              <w:spacing w:after="0"/>
              <w:rPr>
                <w:sz w:val="6"/>
                <w:szCs w:val="6"/>
                <w:color w:val="auto"/>
              </w:rPr>
            </w:pPr>
          </w:p>
        </w:tc>
        <w:tc>
          <w:tcPr>
            <w:tcW w:w="3800" w:type="dxa"/>
            <w:vAlign w:val="bottom"/>
            <w:tcBorders>
              <w:bottom w:val="single" w:sz="8" w:color="auto"/>
            </w:tcBorders>
            <w:gridSpan w:val="3"/>
          </w:tcPr>
          <w:p>
            <w:pPr>
              <w:spacing w:after="0"/>
              <w:rPr>
                <w:sz w:val="6"/>
                <w:szCs w:val="6"/>
                <w:color w:val="auto"/>
              </w:rPr>
            </w:pPr>
          </w:p>
        </w:tc>
        <w:tc>
          <w:tcPr>
            <w:tcW w:w="17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 Financial Officer pursuant to Section 906 of the Sarbanes-Oxley Act</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5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3"/>
              </w:rPr>
              <w:t>of 2002</w:t>
            </w:r>
          </w:p>
        </w:tc>
        <w:tc>
          <w:tcPr>
            <w:tcW w:w="3040" w:type="dxa"/>
            <w:vAlign w:val="bottom"/>
            <w:tcBorders>
              <w:top w:val="single" w:sz="8" w:color="0000FF"/>
              <w:bottom w:val="single" w:sz="8" w:color="0000FF"/>
            </w:tcBorders>
            <w:gridSpan w:val="4"/>
            <w:vMerge w:val="restart"/>
          </w:tcPr>
          <w:p>
            <w:pPr>
              <w:spacing w:after="0"/>
              <w:rPr>
                <w:sz w:val="17"/>
                <w:szCs w:val="17"/>
                <w:color w:val="auto"/>
              </w:rPr>
            </w:pPr>
          </w:p>
        </w:tc>
        <w:tc>
          <w:tcPr>
            <w:tcW w:w="5540" w:type="dxa"/>
            <w:vAlign w:val="bottom"/>
            <w:tcBorders>
              <w:top w:val="single" w:sz="8" w:color="0000FF"/>
              <w:bottom w:val="single" w:sz="8" w:color="0000FF"/>
            </w:tcBorders>
            <w:gridSpan w:val="5"/>
            <w:vMerge w:val="restart"/>
          </w:tcPr>
          <w:p>
            <w:pPr>
              <w:spacing w:after="0"/>
              <w:rPr>
                <w:sz w:val="17"/>
                <w:szCs w:val="17"/>
                <w:color w:val="auto"/>
              </w:rPr>
            </w:pPr>
          </w:p>
        </w:tc>
        <w:tc>
          <w:tcPr>
            <w:tcW w:w="200" w:type="dxa"/>
            <w:vAlign w:val="bottom"/>
            <w:tcBorders>
              <w:right w:val="single" w:sz="8" w:color="auto"/>
            </w:tcBorders>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gridSpan w:val="4"/>
            <w:vMerge w:val="continue"/>
          </w:tcPr>
          <w:p>
            <w:pPr>
              <w:spacing w:after="0"/>
              <w:rPr>
                <w:sz w:val="6"/>
                <w:szCs w:val="6"/>
                <w:color w:val="auto"/>
              </w:rPr>
            </w:pPr>
          </w:p>
        </w:tc>
        <w:tc>
          <w:tcPr>
            <w:tcW w:w="5540" w:type="dxa"/>
            <w:vAlign w:val="bottom"/>
            <w:tcBorders>
              <w:bottom w:val="single" w:sz="8" w:color="auto"/>
            </w:tcBorders>
            <w:gridSpan w:val="5"/>
            <w:vMerge w:val="continue"/>
          </w:tcPr>
          <w:p>
            <w:pPr>
              <w:spacing w:after="0"/>
              <w:rPr>
                <w:sz w:val="6"/>
                <w:szCs w:val="6"/>
                <w:color w:val="auto"/>
              </w:rPr>
            </w:pPr>
          </w:p>
        </w:tc>
        <w:tc>
          <w:tcPr>
            <w:tcW w:w="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7"/>
                <w:szCs w:val="17"/>
                <w:color w:val="auto"/>
              </w:rPr>
            </w:pPr>
          </w:p>
        </w:tc>
        <w:tc>
          <w:tcPr>
            <w:tcW w:w="3580" w:type="dxa"/>
            <w:vAlign w:val="bottom"/>
            <w:tcBorders>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Fiserv, Inc. Compensation Recoupment Policy (3)</w:t>
              </w:r>
            </w:hyperlink>
          </w:p>
        </w:tc>
        <w:tc>
          <w:tcPr>
            <w:tcW w:w="5740" w:type="dxa"/>
            <w:vAlign w:val="bottom"/>
            <w:tcBorders>
              <w:right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bottom w:val="single" w:sz="8" w:color="auto"/>
            </w:tcBorders>
          </w:tcPr>
          <w:p>
            <w:pPr>
              <w:spacing w:after="0"/>
              <w:rPr>
                <w:sz w:val="21"/>
                <w:szCs w:val="21"/>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w:t>
      </w:r>
    </w:p>
    <w:p>
      <w:pPr>
        <w:spacing w:after="0" w:line="13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This exhibit is a management contract or compensatory plan or arrangement.</w:t>
      </w:r>
    </w:p>
    <w:p>
      <w:pPr>
        <w:spacing w:after="0" w:line="171" w:lineRule="exact"/>
        <w:rPr>
          <w:sz w:val="20"/>
          <w:szCs w:val="20"/>
          <w:color w:val="auto"/>
        </w:rPr>
      </w:pPr>
    </w:p>
    <w:p>
      <w:pPr>
        <w:ind w:left="500" w:right="100" w:hanging="492"/>
        <w:spacing w:after="0" w:line="256" w:lineRule="auto"/>
        <w:tabs>
          <w:tab w:leader="none" w:pos="3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10-K are the following documents formatted in iXBRL (Inline Extensible Business Reporting Language): (i) the Consolidated Statements of Income for the years ended December 31, 2024, 2023 and 2022, (ii) the Consolidated Statements of Comprehensive Income for the years ended December 31, 2024, 2023 and 2022, (iii) the Consolidated Balance Sheets at December 31, 2024 and 2023, (iv) the Consolidated Statements of Equity for the years ended December 31, 2024, 2023 and 2022, (v) the Consolidated Statements of Cash Flows for the years ended December 31, 2024, 2023 and 2022, (vi) Notes to Consolidated Financial Statements, and (vii) the information included in Part I, Item 1C and Part II, Item 9B(b).</w:t>
      </w:r>
    </w:p>
    <w:p>
      <w:pPr>
        <w:spacing w:after="0" w:line="133"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27, 2018,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November 21, 2022,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22, 2024,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27, 2020, and incorporated herein by reference.</w:t>
      </w:r>
    </w:p>
    <w:p>
      <w:pPr>
        <w:spacing w:after="0" w:line="130" w:lineRule="exact"/>
        <w:rPr>
          <w:rFonts w:ascii="Times New Roman" w:cs="Times New Roman" w:eastAsia="Times New Roman" w:hAnsi="Times New Roman"/>
          <w:sz w:val="18"/>
          <w:szCs w:val="18"/>
          <w:color w:val="auto"/>
        </w:rPr>
      </w:pPr>
    </w:p>
    <w:p>
      <w:pPr>
        <w:ind w:left="500" w:right="580" w:hanging="492"/>
        <w:spacing w:after="0" w:line="245" w:lineRule="exact"/>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S-3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147309) filed on November 13, 2007,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22, 2015,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September 25, 2018,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June 24,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July 1, 2019,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13, 2020,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March 2,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24,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August 21,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March 4, 2024,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August 12, 2024,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May 2, 2018,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24, 2012,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23, 2023,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August 2, 2017,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1, 2017,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23, 2017,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20, 2015, and incorporated herein by reference.</w:t>
      </w:r>
    </w:p>
    <w:p>
      <w:pPr>
        <w:spacing w:after="0" w:line="171" w:lineRule="exact"/>
        <w:rPr>
          <w:rFonts w:ascii="Times New Roman" w:cs="Times New Roman" w:eastAsia="Times New Roman" w:hAnsi="Times New Roman"/>
          <w:sz w:val="18"/>
          <w:szCs w:val="18"/>
          <w:color w:val="auto"/>
        </w:rPr>
      </w:pPr>
    </w:p>
    <w:p>
      <w:pPr>
        <w:ind w:left="500" w:hanging="492"/>
        <w:spacing w:after="0" w:line="282" w:lineRule="auto"/>
        <w:tabs>
          <w:tab w:leader="none" w:pos="4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Post-Effective Amendment No. 1 on Form S-8 to the Form S-4 Registration Statement of Fiserv, Inc. filed July 29, 2019, and incorporated herein by reference.</w:t>
      </w:r>
    </w:p>
    <w:p>
      <w:pPr>
        <w:spacing w:after="0" w:line="10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November 7, 2019,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August 12, 2021,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22, 2022,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January 23, 2025,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28, 2008,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July 25, 2024, and incorporated herein by reference.</w:t>
      </w:r>
    </w:p>
    <w:p>
      <w:pPr>
        <w:spacing w:after="0" w:line="17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June 21, 2022,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20, 2025.</w:t>
      </w:r>
    </w:p>
    <w:p>
      <w:pPr>
        <w:spacing w:after="0" w:line="8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FISERV, INC.</w:t>
      </w:r>
    </w:p>
    <w:p>
      <w:pPr>
        <w:spacing w:after="0" w:line="7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20, 2025.</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Capacity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Frank J. Bisignano</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Chairman of the Board and Chief Executive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4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W. Hau</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W. Hau</w:t>
            </w:r>
          </w:p>
        </w:tc>
        <w:tc>
          <w:tcPr>
            <w:tcW w:w="4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Kenneth F. Best</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Kenneth F. Best</w:t>
            </w:r>
          </w:p>
        </w:tc>
        <w:tc>
          <w:tcPr>
            <w:tcW w:w="4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0"/>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Henrique De Castro</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Henrique De Castro</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Harry F. DiSimone</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F. DiSimone</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Lance M. Fritz</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M. Fritz</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Ajei Gopal</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Ajei Gopal</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Wafaa Mamilli</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Wafaa Mamilli</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Heidi G. Miller</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G. Miller</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Doyle R. Simons</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Doyle R. Simons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M. Warren</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Warren</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Charlotte Yarkoni</w:t>
            </w:r>
          </w:p>
        </w:tc>
        <w:tc>
          <w:tcPr>
            <w:tcW w:w="4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Charlotte Yarkoni</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80"/>
          </w:cols>
          <w:pgMar w:left="320" w:top="121" w:right="3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2140" w:type="dxa"/>
            <w:vAlign w:val="bottom"/>
          </w:tcPr>
          <w:p>
            <w:pPr>
              <w:spacing w:after="0"/>
              <w:rPr>
                <w:sz w:val="21"/>
                <w:szCs w:val="21"/>
                <w:color w:val="auto"/>
              </w:rPr>
            </w:pPr>
          </w:p>
        </w:tc>
        <w:tc>
          <w:tcPr>
            <w:tcW w:w="6440" w:type="dxa"/>
            <w:vAlign w:val="bottom"/>
            <w:gridSpan w:val="7"/>
          </w:tcPr>
          <w:p>
            <w:pPr>
              <w:jc w:val="center"/>
              <w:ind w:left="28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6440" w:type="dxa"/>
            <w:vAlign w:val="bottom"/>
            <w:gridSpan w:val="7"/>
          </w:tcPr>
          <w:p>
            <w:pPr>
              <w:jc w:val="center"/>
              <w:ind w:left="281"/>
              <w:spacing w:after="0"/>
              <w:rPr>
                <w:sz w:val="20"/>
                <w:szCs w:val="20"/>
                <w:color w:val="auto"/>
              </w:rPr>
            </w:pPr>
            <w:r>
              <w:rPr>
                <w:rFonts w:ascii="Arial" w:cs="Arial" w:eastAsia="Arial" w:hAnsi="Arial"/>
                <w:sz w:val="20"/>
                <w:szCs w:val="20"/>
                <w:b w:val="1"/>
                <w:bCs w:val="1"/>
                <w:color w:val="auto"/>
                <w:w w:val="98"/>
              </w:rPr>
              <w:t>RESTRICTED STOCK UNIT AWARD MEMORANDUM</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40" w:type="dxa"/>
            <w:vAlign w:val="bottom"/>
            <w:gridSpan w:val="5"/>
          </w:tcPr>
          <w:p>
            <w:pPr>
              <w:jc w:val="center"/>
              <w:ind w:right="1740"/>
              <w:spacing w:after="0" w:line="212"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48"/>
        </w:trPr>
        <w:tc>
          <w:tcPr>
            <w:tcW w:w="21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20"/>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20"/>
        </w:trPr>
        <w:tc>
          <w:tcPr>
            <w:tcW w:w="38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9"/>
        </w:trPr>
        <w:tc>
          <w:tcPr>
            <w:tcW w:w="21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54"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7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117" w:right="339" w:bottom="1440" w:gutter="0" w:footer="0" w:header="0"/>
          <w:type w:val="continuous"/>
        </w:sectPr>
      </w:pP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73" w:lineRule="exact"/>
        <w:rPr>
          <w:sz w:val="20"/>
          <w:szCs w:val="20"/>
          <w:color w:val="auto"/>
        </w:rPr>
      </w:pPr>
    </w:p>
    <w:p>
      <w:pPr>
        <w:ind w:right="340"/>
        <w:spacing w:after="0" w:line="263"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 through 7, 9(b)(iii)(B), and 9(b)(v) of the Restricted Stock Unit Agreement contains provisions that restrict your activities. These provisions apply to you and, by accepting this Award, you agree to be bound by these restrictions. Accepting this Award, and these provisions, is not a condition of your employment or continued employment by Fiserv.</w:t>
      </w:r>
    </w:p>
    <w:p>
      <w:pPr>
        <w:sectPr>
          <w:pgSz w:w="11900" w:h="16838" w:orient="portrait"/>
          <w:cols w:equalWidth="0" w:num="1">
            <w:col w:w="11240"/>
          </w:cols>
          <w:pgMar w:left="320" w:top="117" w:right="339" w:bottom="1440" w:gutter="0" w:footer="0" w:header="0"/>
          <w:type w:val="continuous"/>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5" w:lineRule="exact"/>
        <w:rPr>
          <w:sz w:val="20"/>
          <w:szCs w:val="20"/>
          <w:color w:val="auto"/>
        </w:rPr>
      </w:pPr>
    </w:p>
    <w:p>
      <w:pPr>
        <w:ind w:right="40" w:firstLine="648"/>
        <w:spacing w:after="0" w:line="284"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56"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38" w:lineRule="exact"/>
        <w:rPr>
          <w:rFonts w:ascii="Arial" w:cs="Arial" w:eastAsia="Arial" w:hAnsi="Arial"/>
          <w:sz w:val="18"/>
          <w:szCs w:val="18"/>
          <w:color w:val="auto"/>
        </w:rPr>
      </w:pPr>
    </w:p>
    <w:p>
      <w:pPr>
        <w:jc w:val="both"/>
        <w:ind w:left="400" w:right="20" w:hanging="392"/>
        <w:spacing w:after="0" w:line="276" w:lineRule="auto"/>
        <w:tabs>
          <w:tab w:leader="none" w:pos="391"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deferral election then in effect, the Shares subject to this Award will be issued as indicated in this Agreement. This Award also may continue to vest following your Retirement (as defined below) as described in Section 9.</w:t>
      </w:r>
    </w:p>
    <w:p>
      <w:pPr>
        <w:spacing w:after="0" w:line="176" w:lineRule="exact"/>
        <w:rPr>
          <w:rFonts w:ascii="Arial" w:cs="Arial" w:eastAsia="Arial" w:hAnsi="Arial"/>
          <w:sz w:val="18"/>
          <w:szCs w:val="18"/>
          <w:color w:val="auto"/>
        </w:rPr>
      </w:pPr>
    </w:p>
    <w:p>
      <w:pPr>
        <w:ind w:left="400" w:right="120" w:hanging="392"/>
        <w:spacing w:after="0" w:line="276" w:lineRule="auto"/>
        <w:tabs>
          <w:tab w:leader="none" w:pos="391"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9 or (b) your failure to accept the terms of this Agreement, the Award Memorandum, and the Plan within the time period and in the manner specified in this Agreement.</w:t>
      </w:r>
    </w:p>
    <w:p>
      <w:pPr>
        <w:spacing w:after="0" w:line="176"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Related to Confidential Information, Non-Competition and Related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820" w:hanging="423"/>
        <w:spacing w:after="0"/>
        <w:tabs>
          <w:tab w:leader="none" w:pos="8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780" w:hanging="383"/>
        <w:spacing w:after="0" w:line="264" w:lineRule="auto"/>
        <w:tabs>
          <w:tab w:leader="none" w:pos="811"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93" w:lineRule="exact"/>
        <w:rPr>
          <w:rFonts w:ascii="Arial" w:cs="Arial" w:eastAsia="Arial" w:hAnsi="Arial"/>
          <w:sz w:val="18"/>
          <w:szCs w:val="18"/>
          <w:color w:val="auto"/>
        </w:rPr>
      </w:pPr>
    </w:p>
    <w:p>
      <w:pPr>
        <w:ind w:left="780" w:right="120" w:hanging="383"/>
        <w:spacing w:after="0" w:line="267" w:lineRule="auto"/>
        <w:tabs>
          <w:tab w:leader="none" w:pos="801"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17" w:right="359" w:bottom="1440" w:gutter="0" w:footer="0" w:header="0"/>
        </w:sectPr>
      </w:pPr>
    </w:p>
    <w:bookmarkStart w:id="110" w:name="page111"/>
    <w:bookmarkEnd w:id="110"/>
    <w:p>
      <w:pPr>
        <w:ind w:left="772" w:right="360" w:hanging="383"/>
        <w:spacing w:after="0" w:line="303" w:lineRule="auto"/>
        <w:tabs>
          <w:tab w:leader="none" w:pos="8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38" w:lineRule="exact"/>
        <w:rPr>
          <w:rFonts w:ascii="Arial" w:cs="Arial" w:eastAsia="Arial" w:hAnsi="Arial"/>
          <w:sz w:val="18"/>
          <w:szCs w:val="18"/>
          <w:color w:val="auto"/>
        </w:rPr>
      </w:pPr>
    </w:p>
    <w:p>
      <w:pPr>
        <w:ind w:left="772" w:right="40" w:hanging="383"/>
        <w:spacing w:after="0" w:line="273" w:lineRule="auto"/>
        <w:tabs>
          <w:tab w:leader="none" w:pos="8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78" w:lineRule="exact"/>
        <w:rPr>
          <w:rFonts w:ascii="Arial" w:cs="Arial" w:eastAsia="Arial" w:hAnsi="Arial"/>
          <w:sz w:val="18"/>
          <w:szCs w:val="18"/>
          <w:color w:val="auto"/>
        </w:rPr>
      </w:pPr>
    </w:p>
    <w:p>
      <w:pPr>
        <w:ind w:left="772" w:right="360" w:hanging="383"/>
        <w:spacing w:after="0" w:line="303" w:lineRule="auto"/>
        <w:tabs>
          <w:tab w:leader="none" w:pos="7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38" w:lineRule="exact"/>
        <w:rPr>
          <w:rFonts w:ascii="Arial" w:cs="Arial" w:eastAsia="Arial" w:hAnsi="Arial"/>
          <w:sz w:val="18"/>
          <w:szCs w:val="18"/>
          <w:color w:val="auto"/>
        </w:rPr>
      </w:pPr>
    </w:p>
    <w:p>
      <w:pPr>
        <w:ind w:left="772" w:right="60" w:hanging="383"/>
        <w:spacing w:after="0" w:line="284" w:lineRule="auto"/>
        <w:tabs>
          <w:tab w:leader="none" w:pos="80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w:t>
      </w:r>
    </w:p>
    <w:p>
      <w:pPr>
        <w:spacing w:after="0" w:line="156" w:lineRule="exact"/>
        <w:rPr>
          <w:rFonts w:ascii="Arial" w:cs="Arial" w:eastAsia="Arial" w:hAnsi="Arial"/>
          <w:sz w:val="18"/>
          <w:szCs w:val="18"/>
          <w:color w:val="auto"/>
        </w:rPr>
      </w:pPr>
    </w:p>
    <w:p>
      <w:pPr>
        <w:ind w:left="772" w:right="160" w:hanging="383"/>
        <w:spacing w:after="0" w:line="271" w:lineRule="auto"/>
        <w:tabs>
          <w:tab w:leader="none" w:pos="803"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spacing w:after="0" w:line="181" w:lineRule="exact"/>
        <w:rPr>
          <w:rFonts w:ascii="Arial" w:cs="Arial" w:eastAsia="Arial" w:hAnsi="Arial"/>
          <w:sz w:val="18"/>
          <w:szCs w:val="18"/>
          <w:color w:val="auto"/>
        </w:rPr>
      </w:pPr>
    </w:p>
    <w:p>
      <w:pPr>
        <w:ind w:left="772" w:right="220" w:hanging="383"/>
        <w:spacing w:after="0" w:line="318" w:lineRule="auto"/>
        <w:tabs>
          <w:tab w:leader="none" w:pos="743"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means the geographic regions for which you had executive, managerial, supervisory, sales, marketing, client servicing, and/or other responsibilities during any part of the 24 months preceding the termination of your employment with Fiserv.</w:t>
      </w:r>
    </w:p>
    <w:p>
      <w:pPr>
        <w:spacing w:after="0" w:line="143" w:lineRule="exact"/>
        <w:rPr>
          <w:rFonts w:ascii="Arial" w:cs="Arial" w:eastAsia="Arial" w:hAnsi="Arial"/>
          <w:sz w:val="17"/>
          <w:szCs w:val="17"/>
          <w:color w:val="auto"/>
        </w:rPr>
      </w:pPr>
    </w:p>
    <w:p>
      <w:pPr>
        <w:ind w:left="772" w:hanging="383"/>
        <w:spacing w:after="0" w:line="273" w:lineRule="auto"/>
        <w:tabs>
          <w:tab w:leader="none" w:pos="7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 (i) for which you directly worked with or for which you supervised others in working with during any part of the 24 months preceding the termination of your employment with Fiserv; or (ii) about which you have Confidential Information as a result of your employment with Fiserv.</w:t>
      </w:r>
    </w:p>
    <w:p>
      <w:pPr>
        <w:spacing w:after="0" w:line="165" w:lineRule="exact"/>
        <w:rPr>
          <w:rFonts w:ascii="Arial" w:cs="Arial" w:eastAsia="Arial" w:hAnsi="Arial"/>
          <w:sz w:val="18"/>
          <w:szCs w:val="18"/>
          <w:color w:val="auto"/>
        </w:rPr>
      </w:pPr>
    </w:p>
    <w:p>
      <w:pPr>
        <w:ind w:left="772" w:right="60" w:hanging="383"/>
        <w:spacing w:after="0" w:line="273" w:lineRule="auto"/>
        <w:tabs>
          <w:tab w:leader="none" w:pos="8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Sections 5 through 7, 9(b)(iii)(B), and 9(b)(v) of this Agreement to the extent specified in the Addendum. The Addendum will be incorporated into, construed jointly with, modify and/or supplement the terms of Sections 5 through 7, 9(b)(iii)(B), and 9(b)(v) of this Agreement.</w:t>
      </w:r>
    </w:p>
    <w:p>
      <w:pPr>
        <w:spacing w:after="0" w:line="178" w:lineRule="exact"/>
        <w:rPr>
          <w:rFonts w:ascii="Arial" w:cs="Arial" w:eastAsia="Arial" w:hAnsi="Arial"/>
          <w:sz w:val="18"/>
          <w:szCs w:val="18"/>
          <w:color w:val="auto"/>
        </w:rPr>
      </w:pPr>
    </w:p>
    <w:p>
      <w:pPr>
        <w:ind w:left="392" w:right="180" w:hanging="392"/>
        <w:spacing w:after="0" w:line="267" w:lineRule="auto"/>
        <w:tabs>
          <w:tab w:leader="none" w:pos="353"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Innovations</w:t>
      </w:r>
      <w:r>
        <w:rPr>
          <w:rFonts w:ascii="Arial" w:cs="Arial" w:eastAsia="Arial" w:hAnsi="Arial"/>
          <w:sz w:val="18"/>
          <w:szCs w:val="18"/>
          <w:color w:val="auto"/>
        </w:rPr>
        <w:t>. During your employment, Fiserv will provide you with Confidential Information relating to Fiserv,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12"/>
          </w:cols>
          <w:pgMar w:left="328" w:top="1417" w:right="359" w:bottom="1440" w:gutter="0" w:footer="0" w:header="0"/>
        </w:sectPr>
      </w:pPr>
    </w:p>
    <w:bookmarkStart w:id="111" w:name="page112"/>
    <w:bookmarkEnd w:id="111"/>
    <w:p>
      <w:pPr>
        <w:ind w:left="383" w:right="120" w:hanging="383"/>
        <w:spacing w:after="0" w:line="273" w:lineRule="auto"/>
        <w:tabs>
          <w:tab w:leader="none" w:pos="3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78" w:lineRule="exact"/>
        <w:rPr>
          <w:rFonts w:ascii="Arial" w:cs="Arial" w:eastAsia="Arial" w:hAnsi="Arial"/>
          <w:sz w:val="18"/>
          <w:szCs w:val="18"/>
          <w:color w:val="auto"/>
        </w:rPr>
      </w:pPr>
    </w:p>
    <w:p>
      <w:pPr>
        <w:ind w:left="383" w:right="60" w:hanging="383"/>
        <w:spacing w:after="0" w:line="267" w:lineRule="auto"/>
        <w:tabs>
          <w:tab w:leader="none" w:pos="3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85" w:lineRule="exact"/>
        <w:rPr>
          <w:rFonts w:ascii="Arial" w:cs="Arial" w:eastAsia="Arial" w:hAnsi="Arial"/>
          <w:sz w:val="18"/>
          <w:szCs w:val="18"/>
          <w:color w:val="auto"/>
        </w:rPr>
      </w:pPr>
    </w:p>
    <w:p>
      <w:pPr>
        <w:ind w:left="383" w:hanging="383"/>
        <w:spacing w:after="0"/>
        <w:tabs>
          <w:tab w:leader="none" w:pos="3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w:t>
      </w:r>
    </w:p>
    <w:p>
      <w:pPr>
        <w:spacing w:after="0" w:line="238" w:lineRule="exact"/>
        <w:rPr>
          <w:rFonts w:ascii="Arial" w:cs="Arial" w:eastAsia="Arial" w:hAnsi="Arial"/>
          <w:sz w:val="18"/>
          <w:szCs w:val="18"/>
          <w:color w:val="auto"/>
        </w:rPr>
      </w:pPr>
    </w:p>
    <w:p>
      <w:pPr>
        <w:ind w:left="743" w:hanging="322"/>
        <w:spacing w:after="0" w:line="267" w:lineRule="auto"/>
        <w:tabs>
          <w:tab w:leader="none" w:pos="741"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Nothing in this Agreement or any other Fiserv policy prohibits or impedes you from communicating, cooperating, or filing a complaint with any U.S., federal, state, or local governmental or law enforcement branch, agency, or entity (collectively,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w:t>
      </w:r>
    </w:p>
    <w:p>
      <w:pPr>
        <w:spacing w:after="0" w:line="184" w:lineRule="exact"/>
        <w:rPr>
          <w:rFonts w:ascii="Arial" w:cs="Arial" w:eastAsia="Arial" w:hAnsi="Arial"/>
          <w:sz w:val="18"/>
          <w:szCs w:val="18"/>
          <w:color w:val="auto"/>
        </w:rPr>
      </w:pPr>
    </w:p>
    <w:p>
      <w:pPr>
        <w:ind w:left="743" w:hanging="322"/>
        <w:spacing w:after="0"/>
        <w:tabs>
          <w:tab w:leader="none" w:pos="7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Pursuant to 18 U.S.C. §1833(b)(1) and §1833(b)(2):</w:t>
      </w:r>
    </w:p>
    <w:p>
      <w:pPr>
        <w:spacing w:after="0" w:line="225" w:lineRule="exact"/>
        <w:rPr>
          <w:rFonts w:ascii="Arial" w:cs="Arial" w:eastAsia="Arial" w:hAnsi="Arial"/>
          <w:sz w:val="18"/>
          <w:szCs w:val="18"/>
          <w:color w:val="auto"/>
        </w:rPr>
      </w:pPr>
    </w:p>
    <w:p>
      <w:pPr>
        <w:ind w:left="1163" w:right="20" w:hanging="386"/>
        <w:spacing w:after="0" w:line="273" w:lineRule="auto"/>
        <w:tabs>
          <w:tab w:leader="none" w:pos="125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78" w:lineRule="exact"/>
        <w:rPr>
          <w:rFonts w:ascii="Arial" w:cs="Arial" w:eastAsia="Arial" w:hAnsi="Arial"/>
          <w:sz w:val="18"/>
          <w:szCs w:val="18"/>
          <w:color w:val="auto"/>
        </w:rPr>
      </w:pPr>
    </w:p>
    <w:p>
      <w:pPr>
        <w:ind w:left="1163" w:right="80" w:hanging="386"/>
        <w:spacing w:after="0" w:line="273" w:lineRule="auto"/>
        <w:tabs>
          <w:tab w:leader="none" w:pos="1254"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65" w:lineRule="exact"/>
        <w:rPr>
          <w:sz w:val="20"/>
          <w:szCs w:val="20"/>
          <w:color w:val="auto"/>
        </w:rPr>
      </w:pPr>
    </w:p>
    <w:p>
      <w:pPr>
        <w:ind w:left="383" w:right="420"/>
        <w:spacing w:after="0" w:line="303"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Fiserv for, among other things, exemplary damages and attorneys’ fees.</w:t>
      </w:r>
    </w:p>
    <w:p>
      <w:pPr>
        <w:spacing w:after="0" w:line="152" w:lineRule="exact"/>
        <w:rPr>
          <w:sz w:val="20"/>
          <w:szCs w:val="20"/>
          <w:color w:val="auto"/>
        </w:rPr>
      </w:pPr>
    </w:p>
    <w:p>
      <w:pPr>
        <w:ind w:left="383" w:right="180" w:hanging="383"/>
        <w:spacing w:after="0" w:line="267" w:lineRule="auto"/>
        <w:tabs>
          <w:tab w:leader="none" w:pos="3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or employees of Fiserv would necessarily require the use of Fiserv’s Confidential Information that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3"/>
          </w:cols>
          <w:pgMar w:left="717" w:top="1417" w:right="339" w:bottom="1440" w:gutter="0" w:footer="0" w:header="0"/>
        </w:sectPr>
      </w:pPr>
    </w:p>
    <w:bookmarkStart w:id="112" w:name="page113"/>
    <w:bookmarkEnd w:id="112"/>
    <w:p>
      <w:pPr>
        <w:ind w:left="772" w:right="120"/>
        <w:spacing w:after="0" w:line="273" w:lineRule="auto"/>
        <w:rPr>
          <w:sz w:val="20"/>
          <w:szCs w:val="20"/>
          <w:color w:val="auto"/>
        </w:rPr>
      </w:pPr>
      <w:r>
        <w:rPr>
          <w:rFonts w:ascii="Arial" w:cs="Arial" w:eastAsia="Arial" w:hAnsi="Arial"/>
          <w:sz w:val="18"/>
          <w:szCs w:val="18"/>
          <w:color w:val="auto"/>
        </w:rPr>
        <w:t>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w:t>
      </w:r>
    </w:p>
    <w:p>
      <w:pPr>
        <w:spacing w:after="0" w:line="179" w:lineRule="exact"/>
        <w:rPr>
          <w:sz w:val="20"/>
          <w:szCs w:val="20"/>
          <w:color w:val="auto"/>
        </w:rPr>
      </w:pPr>
    </w:p>
    <w:p>
      <w:pPr>
        <w:ind w:left="772" w:right="60" w:hanging="383"/>
        <w:spacing w:after="0" w:line="273" w:lineRule="auto"/>
        <w:tabs>
          <w:tab w:leader="none" w:pos="7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spacing w:after="0" w:line="165" w:lineRule="exact"/>
        <w:rPr>
          <w:rFonts w:ascii="Arial" w:cs="Arial" w:eastAsia="Arial" w:hAnsi="Arial"/>
          <w:sz w:val="18"/>
          <w:szCs w:val="18"/>
          <w:color w:val="auto"/>
        </w:rPr>
      </w:pPr>
    </w:p>
    <w:p>
      <w:pPr>
        <w:ind w:left="392" w:right="60" w:hanging="392"/>
        <w:spacing w:after="0" w:line="271" w:lineRule="auto"/>
        <w:tabs>
          <w:tab w:leader="none" w:pos="353"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During Employment</w:t>
      </w:r>
      <w:r>
        <w:rPr>
          <w:rFonts w:ascii="Arial" w:cs="Arial" w:eastAsia="Arial" w:hAnsi="Arial"/>
          <w:sz w:val="18"/>
          <w:szCs w:val="18"/>
          <w:color w:val="auto"/>
        </w:rPr>
        <w:t>. You agree that, without the written consent of the Chief Executive Officer of the Company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spacing w:after="0" w:line="181" w:lineRule="exact"/>
        <w:rPr>
          <w:rFonts w:ascii="Arial" w:cs="Arial" w:eastAsia="Arial" w:hAnsi="Arial"/>
          <w:sz w:val="18"/>
          <w:szCs w:val="18"/>
          <w:color w:val="auto"/>
        </w:rPr>
      </w:pPr>
    </w:p>
    <w:p>
      <w:pPr>
        <w:ind w:left="772" w:right="80" w:hanging="383"/>
        <w:spacing w:after="0" w:line="287" w:lineRule="auto"/>
        <w:tabs>
          <w:tab w:leader="none" w:pos="7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66" w:lineRule="exact"/>
        <w:rPr>
          <w:rFonts w:ascii="Arial" w:cs="Arial" w:eastAsia="Arial" w:hAnsi="Arial"/>
          <w:sz w:val="18"/>
          <w:szCs w:val="18"/>
          <w:color w:val="auto"/>
        </w:rPr>
      </w:pPr>
    </w:p>
    <w:p>
      <w:pPr>
        <w:ind w:left="772" w:right="60" w:hanging="383"/>
        <w:spacing w:after="0" w:line="303" w:lineRule="auto"/>
        <w:tabs>
          <w:tab w:leader="none" w:pos="7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38" w:lineRule="exact"/>
        <w:rPr>
          <w:rFonts w:ascii="Arial" w:cs="Arial" w:eastAsia="Arial" w:hAnsi="Arial"/>
          <w:sz w:val="18"/>
          <w:szCs w:val="18"/>
          <w:color w:val="auto"/>
        </w:rPr>
      </w:pPr>
    </w:p>
    <w:p>
      <w:pPr>
        <w:ind w:left="772" w:right="140" w:hanging="383"/>
        <w:spacing w:after="0" w:line="276" w:lineRule="auto"/>
        <w:tabs>
          <w:tab w:leader="none" w:pos="7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24-month period preceding the termination of your employment with Fiserv).</w:t>
      </w:r>
    </w:p>
    <w:p>
      <w:pPr>
        <w:spacing w:after="0" w:line="176" w:lineRule="exact"/>
        <w:rPr>
          <w:rFonts w:ascii="Arial" w:cs="Arial" w:eastAsia="Arial" w:hAnsi="Arial"/>
          <w:sz w:val="18"/>
          <w:szCs w:val="18"/>
          <w:color w:val="auto"/>
        </w:rPr>
      </w:pPr>
    </w:p>
    <w:p>
      <w:pPr>
        <w:ind w:left="392" w:right="60" w:hanging="392"/>
        <w:spacing w:after="0" w:line="267" w:lineRule="auto"/>
        <w:tabs>
          <w:tab w:leader="none" w:pos="353"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Following Employment</w:t>
      </w:r>
      <w:r>
        <w:rPr>
          <w:rFonts w:ascii="Arial" w:cs="Arial" w:eastAsia="Arial" w:hAnsi="Arial"/>
          <w:sz w:val="18"/>
          <w:szCs w:val="18"/>
          <w:color w:val="auto"/>
        </w:rPr>
        <w:t>. You agree that, without the written consent of the Chief Executive Officer of the Company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spacing w:after="0" w:line="184" w:lineRule="exact"/>
        <w:rPr>
          <w:rFonts w:ascii="Arial" w:cs="Arial" w:eastAsia="Arial" w:hAnsi="Arial"/>
          <w:sz w:val="18"/>
          <w:szCs w:val="18"/>
          <w:color w:val="auto"/>
        </w:rPr>
      </w:pPr>
    </w:p>
    <w:p>
      <w:pPr>
        <w:ind w:left="772" w:right="80" w:hanging="383"/>
        <w:spacing w:after="0" w:line="276" w:lineRule="auto"/>
        <w:tabs>
          <w:tab w:leader="none" w:pos="7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772" w:right="260" w:hanging="383"/>
        <w:spacing w:after="0" w:line="276" w:lineRule="auto"/>
        <w:tabs>
          <w:tab w:leader="none" w:pos="7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772" w:hanging="383"/>
        <w:spacing w:after="0" w:line="303" w:lineRule="auto"/>
        <w:tabs>
          <w:tab w:leader="none" w:pos="7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2"/>
          </w:cols>
          <w:pgMar w:left="328" w:top="1417" w:right="359" w:bottom="1440" w:gutter="0" w:footer="0" w:header="0"/>
        </w:sectPr>
      </w:pPr>
    </w:p>
    <w:bookmarkStart w:id="113" w:name="page114"/>
    <w:bookmarkEnd w:id="113"/>
    <w:p>
      <w:pPr>
        <w:ind w:left="772" w:right="120" w:hanging="383"/>
        <w:spacing w:after="0" w:line="276" w:lineRule="auto"/>
        <w:tabs>
          <w:tab w:leader="none" w:pos="7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7(d) shall apply to any employee of Fiserv with whom you worked during any part of the 24-month period preceding your termination of your employment with Fiserv); or</w:t>
      </w:r>
    </w:p>
    <w:p>
      <w:pPr>
        <w:spacing w:after="0" w:line="176" w:lineRule="exact"/>
        <w:rPr>
          <w:rFonts w:ascii="Arial" w:cs="Arial" w:eastAsia="Arial" w:hAnsi="Arial"/>
          <w:sz w:val="18"/>
          <w:szCs w:val="18"/>
          <w:color w:val="auto"/>
        </w:rPr>
      </w:pPr>
    </w:p>
    <w:p>
      <w:pPr>
        <w:ind w:left="772" w:right="180" w:hanging="383"/>
        <w:spacing w:after="0" w:line="276" w:lineRule="auto"/>
        <w:tabs>
          <w:tab w:leader="none" w:pos="7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76" w:lineRule="exact"/>
        <w:rPr>
          <w:rFonts w:ascii="Arial" w:cs="Arial" w:eastAsia="Arial" w:hAnsi="Arial"/>
          <w:sz w:val="18"/>
          <w:szCs w:val="18"/>
          <w:color w:val="auto"/>
        </w:rPr>
      </w:pPr>
    </w:p>
    <w:p>
      <w:pPr>
        <w:ind w:left="352" w:hanging="352"/>
        <w:spacing w:after="0"/>
        <w:tabs>
          <w:tab w:leader="none" w:pos="352"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 Regarding Restrictive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72" w:right="160" w:hanging="383"/>
        <w:spacing w:after="0" w:line="276" w:lineRule="auto"/>
        <w:tabs>
          <w:tab w:leader="none" w:pos="803"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purposes of Sections 7(a)-(b) of this Agreement, and without limiting any other provision hereof, you acknowledge that Fiserv associates who are classified as having the highest grade in Fiserv will be deemed to have enterprise-wide duties which encompass duties relative to all Fiserv business units and functions.</w:t>
      </w:r>
    </w:p>
    <w:p>
      <w:pPr>
        <w:spacing w:after="0" w:line="176" w:lineRule="exact"/>
        <w:rPr>
          <w:rFonts w:ascii="Arial" w:cs="Arial" w:eastAsia="Arial" w:hAnsi="Arial"/>
          <w:sz w:val="18"/>
          <w:szCs w:val="18"/>
          <w:color w:val="auto"/>
        </w:rPr>
      </w:pPr>
    </w:p>
    <w:p>
      <w:pPr>
        <w:ind w:left="772" w:right="40" w:hanging="383"/>
        <w:spacing w:after="0" w:line="269" w:lineRule="auto"/>
        <w:tabs>
          <w:tab w:leader="none" w:pos="803"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No provision of Sections 5 through 7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Sections 5 through 7 are set forth in the Addendum that will be provided and/or made available to you concurrently with this Agreement.</w:t>
      </w:r>
    </w:p>
    <w:p>
      <w:pPr>
        <w:spacing w:after="0" w:line="174" w:lineRule="exact"/>
        <w:rPr>
          <w:rFonts w:ascii="Arial" w:cs="Arial" w:eastAsia="Arial" w:hAnsi="Arial"/>
          <w:sz w:val="18"/>
          <w:szCs w:val="18"/>
          <w:color w:val="auto"/>
        </w:rPr>
      </w:pPr>
    </w:p>
    <w:p>
      <w:pPr>
        <w:ind w:left="772" w:right="40" w:hanging="383"/>
        <w:spacing w:after="0" w:line="264" w:lineRule="auto"/>
        <w:tabs>
          <w:tab w:leader="none" w:pos="7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 acknowledge and agree that compliance with Sections 5 through 7 and, if applicable, is necessary to protect Fiserv, and that a breach of any of Sections 5 through 7 will result in irreparable and continuing damage to Fiserv for which there will be no adequate remedy at law. In the event of a breach of Sections 5 through 7, or any part thereof, Fiserv, and its successors and assigns,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w:t>
      </w:r>
    </w:p>
    <w:p>
      <w:pPr>
        <w:spacing w:after="0" w:line="188" w:lineRule="exact"/>
        <w:rPr>
          <w:rFonts w:ascii="Arial" w:cs="Arial" w:eastAsia="Arial" w:hAnsi="Arial"/>
          <w:sz w:val="18"/>
          <w:szCs w:val="18"/>
          <w:color w:val="auto"/>
        </w:rPr>
      </w:pPr>
    </w:p>
    <w:p>
      <w:pPr>
        <w:ind w:left="772" w:right="80" w:hanging="383"/>
        <w:spacing w:after="0" w:line="276" w:lineRule="auto"/>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76" w:lineRule="exact"/>
        <w:rPr>
          <w:rFonts w:ascii="Arial" w:cs="Arial" w:eastAsia="Arial" w:hAnsi="Arial"/>
          <w:sz w:val="18"/>
          <w:szCs w:val="18"/>
          <w:color w:val="auto"/>
        </w:rPr>
      </w:pPr>
    </w:p>
    <w:p>
      <w:pPr>
        <w:ind w:left="812" w:hanging="423"/>
        <w:spacing w:after="0"/>
        <w:tabs>
          <w:tab w:leader="none" w:pos="8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Fiserv.</w:t>
      </w:r>
    </w:p>
    <w:p>
      <w:pPr>
        <w:spacing w:after="0" w:line="238" w:lineRule="exact"/>
        <w:rPr>
          <w:rFonts w:ascii="Arial" w:cs="Arial" w:eastAsia="Arial" w:hAnsi="Arial"/>
          <w:sz w:val="18"/>
          <w:szCs w:val="18"/>
          <w:color w:val="auto"/>
        </w:rPr>
      </w:pPr>
    </w:p>
    <w:p>
      <w:pPr>
        <w:ind w:left="772" w:hanging="383"/>
        <w:spacing w:after="0" w:line="273" w:lineRule="auto"/>
        <w:tabs>
          <w:tab w:leader="none" w:pos="7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YOU HAVE READ THIS AGREEMENT, INCLUDING SECTIONS 5 THROUGH 7, AND AGREE THAT THE CONSIDERATION PROVIDED BY THE COMPANY IS FAIR AND REASONABLE AND FURTHER AGREE THAT GIVEN THE IMPORTANCE TO THE COMPANY OF ITS CONFIDENTIAL AND PROPRIETARY INFORMATION, THE RESTRICTIONS ON YOUR ACTIVITIES, INCLUDING THOSE THAT APPLY POST-EMPLOYMENT, ARE LIKEWISE FAIR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12"/>
          </w:cols>
          <w:pgMar w:left="328" w:top="1417" w:right="359" w:bottom="1440" w:gutter="0" w:footer="0" w:header="0"/>
        </w:sectPr>
      </w:pPr>
    </w:p>
    <w:bookmarkStart w:id="114" w:name="page115"/>
    <w:bookmarkEnd w:id="114"/>
    <w:p>
      <w:pPr>
        <w:ind w:left="352" w:hanging="352"/>
        <w:spacing w:after="0"/>
        <w:tabs>
          <w:tab w:leader="none" w:pos="352"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39" w:lineRule="exact"/>
        <w:rPr>
          <w:sz w:val="20"/>
          <w:szCs w:val="20"/>
          <w:color w:val="auto"/>
        </w:rPr>
      </w:pPr>
    </w:p>
    <w:p>
      <w:pPr>
        <w:ind w:left="812" w:hanging="423"/>
        <w:spacing w:after="0"/>
        <w:tabs>
          <w:tab w:leader="none" w:pos="81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If you cease to be an employee of the Company or any Subsidiary of the Company for any reason (a “</w:t>
      </w:r>
      <w:r>
        <w:rPr>
          <w:rFonts w:ascii="Arial" w:cs="Arial" w:eastAsia="Arial" w:hAnsi="Arial"/>
          <w:sz w:val="18"/>
          <w:szCs w:val="18"/>
          <w:u w:val="single" w:color="auto"/>
          <w:color w:val="auto"/>
        </w:rPr>
        <w:t>Termination</w:t>
      </w:r>
    </w:p>
    <w:p>
      <w:pPr>
        <w:spacing w:after="0" w:line="27" w:lineRule="exact"/>
        <w:rPr>
          <w:sz w:val="20"/>
          <w:szCs w:val="20"/>
          <w:color w:val="auto"/>
        </w:rPr>
      </w:pPr>
    </w:p>
    <w:p>
      <w:pPr>
        <w:ind w:left="772"/>
        <w:spacing w:after="0" w:line="282" w:lineRule="auto"/>
        <w:rPr>
          <w:sz w:val="20"/>
          <w:szCs w:val="20"/>
          <w:color w:val="auto"/>
        </w:rPr>
      </w:pP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71" w:lineRule="exact"/>
        <w:rPr>
          <w:sz w:val="20"/>
          <w:szCs w:val="20"/>
          <w:color w:val="auto"/>
        </w:rPr>
      </w:pPr>
    </w:p>
    <w:p>
      <w:pPr>
        <w:ind w:left="1172" w:right="320" w:hanging="394"/>
        <w:spacing w:after="0" w:line="287" w:lineRule="auto"/>
        <w:tabs>
          <w:tab w:leader="none" w:pos="11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66" w:lineRule="exact"/>
        <w:rPr>
          <w:rFonts w:ascii="Arial" w:cs="Arial" w:eastAsia="Arial" w:hAnsi="Arial"/>
          <w:sz w:val="18"/>
          <w:szCs w:val="18"/>
          <w:color w:val="auto"/>
        </w:rPr>
      </w:pPr>
    </w:p>
    <w:p>
      <w:pPr>
        <w:ind w:left="1172" w:hanging="394"/>
        <w:spacing w:after="0"/>
        <w:tabs>
          <w:tab w:leader="none" w:pos="11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39" w:lineRule="exact"/>
        <w:rPr>
          <w:sz w:val="20"/>
          <w:szCs w:val="20"/>
          <w:color w:val="auto"/>
        </w:rPr>
      </w:pPr>
    </w:p>
    <w:p>
      <w:pPr>
        <w:ind w:left="772" w:right="220"/>
        <w:spacing w:after="0" w:line="287"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66" w:lineRule="exact"/>
        <w:rPr>
          <w:sz w:val="20"/>
          <w:szCs w:val="20"/>
          <w:color w:val="auto"/>
        </w:rPr>
      </w:pPr>
    </w:p>
    <w:p>
      <w:pPr>
        <w:ind w:left="812" w:hanging="423"/>
        <w:spacing w:after="0"/>
        <w:tabs>
          <w:tab w:leader="none" w:pos="812"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172" w:right="120" w:hanging="394"/>
        <w:spacing w:after="0" w:line="287" w:lineRule="auto"/>
        <w:tabs>
          <w:tab w:leader="none" w:pos="1159"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this Section 9,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66" w:lineRule="exact"/>
        <w:rPr>
          <w:rFonts w:ascii="Arial" w:cs="Arial" w:eastAsia="Arial" w:hAnsi="Arial"/>
          <w:sz w:val="18"/>
          <w:szCs w:val="18"/>
          <w:color w:val="auto"/>
        </w:rPr>
      </w:pPr>
    </w:p>
    <w:p>
      <w:pPr>
        <w:ind w:left="1552" w:right="40" w:hanging="386"/>
        <w:spacing w:after="0" w:line="303" w:lineRule="auto"/>
        <w:tabs>
          <w:tab w:leader="none" w:pos="1603" w:val="left"/>
        </w:tabs>
        <w:numPr>
          <w:ilvl w:val="2"/>
          <w:numId w:val="69"/>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38" w:lineRule="exact"/>
        <w:rPr>
          <w:rFonts w:ascii="Arial" w:cs="Arial" w:eastAsia="Arial" w:hAnsi="Arial"/>
          <w:sz w:val="18"/>
          <w:szCs w:val="18"/>
          <w:color w:val="auto"/>
        </w:rPr>
      </w:pPr>
    </w:p>
    <w:p>
      <w:pPr>
        <w:ind w:left="1612" w:hanging="446"/>
        <w:spacing w:after="0"/>
        <w:tabs>
          <w:tab w:leader="none" w:pos="1612" w:val="left"/>
        </w:tabs>
        <w:numPr>
          <w:ilvl w:val="2"/>
          <w:numId w:val="69"/>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w:t>
      </w:r>
    </w:p>
    <w:p>
      <w:pPr>
        <w:spacing w:after="0" w:line="238" w:lineRule="exact"/>
        <w:rPr>
          <w:rFonts w:ascii="Arial" w:cs="Arial" w:eastAsia="Arial" w:hAnsi="Arial"/>
          <w:sz w:val="18"/>
          <w:szCs w:val="18"/>
          <w:color w:val="auto"/>
        </w:rPr>
      </w:pPr>
    </w:p>
    <w:p>
      <w:pPr>
        <w:jc w:val="both"/>
        <w:ind w:left="1952" w:right="180" w:hanging="397"/>
        <w:spacing w:after="0" w:line="276" w:lineRule="auto"/>
        <w:tabs>
          <w:tab w:leader="none" w:pos="1945" w:val="left"/>
        </w:tabs>
        <w:numPr>
          <w:ilvl w:val="3"/>
          <w:numId w:val="69"/>
        </w:numPr>
        <w:rPr>
          <w:rFonts w:ascii="Arial" w:cs="Arial" w:eastAsia="Arial" w:hAnsi="Arial"/>
          <w:sz w:val="18"/>
          <w:szCs w:val="18"/>
          <w:color w:val="auto"/>
        </w:rPr>
      </w:pPr>
      <w:r>
        <w:rPr>
          <w:rFonts w:ascii="Arial" w:cs="Arial" w:eastAsia="Arial" w:hAnsi="Arial"/>
          <w:sz w:val="18"/>
          <w:szCs w:val="18"/>
          <w:color w:val="auto"/>
        </w:rPr>
        <w:t>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w:t>
      </w:r>
    </w:p>
    <w:p>
      <w:pPr>
        <w:spacing w:after="0" w:line="176" w:lineRule="exact"/>
        <w:rPr>
          <w:rFonts w:ascii="Arial" w:cs="Arial" w:eastAsia="Arial" w:hAnsi="Arial"/>
          <w:sz w:val="18"/>
          <w:szCs w:val="18"/>
          <w:color w:val="auto"/>
        </w:rPr>
      </w:pPr>
    </w:p>
    <w:p>
      <w:pPr>
        <w:ind w:left="1952" w:right="540" w:hanging="397"/>
        <w:spacing w:after="0" w:line="287" w:lineRule="auto"/>
        <w:tabs>
          <w:tab w:leader="none" w:pos="1945" w:val="left"/>
        </w:tabs>
        <w:numPr>
          <w:ilvl w:val="3"/>
          <w:numId w:val="69"/>
        </w:numPr>
        <w:rPr>
          <w:rFonts w:ascii="Arial" w:cs="Arial" w:eastAsia="Arial" w:hAnsi="Arial"/>
          <w:sz w:val="18"/>
          <w:szCs w:val="18"/>
          <w:color w:val="auto"/>
        </w:rPr>
      </w:pPr>
      <w:r>
        <w:rPr>
          <w:rFonts w:ascii="Arial" w:cs="Arial" w:eastAsia="Arial" w:hAnsi="Arial"/>
          <w:sz w:val="18"/>
          <w:szCs w:val="18"/>
          <w:color w:val="auto"/>
        </w:rPr>
        <w:t>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66" w:lineRule="exact"/>
        <w:rPr>
          <w:sz w:val="20"/>
          <w:szCs w:val="20"/>
          <w:color w:val="auto"/>
        </w:rPr>
      </w:pPr>
    </w:p>
    <w:p>
      <w:pPr>
        <w:ind w:left="1172"/>
        <w:spacing w:after="0" w:line="273"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179" w:lineRule="exact"/>
        <w:rPr>
          <w:sz w:val="20"/>
          <w:szCs w:val="20"/>
          <w:color w:val="auto"/>
        </w:rPr>
      </w:pPr>
    </w:p>
    <w:p>
      <w:pPr>
        <w:ind w:left="1172" w:right="420" w:hanging="394"/>
        <w:spacing w:after="0" w:line="287" w:lineRule="auto"/>
        <w:tabs>
          <w:tab w:leader="none" w:pos="11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subject to Sections 9(b)(iv) and (v) on the normal vesting dates indicated in the Award Memorandum as if you had not ceased to be an employee.</w:t>
      </w:r>
    </w:p>
    <w:p>
      <w:pPr>
        <w:spacing w:after="0" w:line="166" w:lineRule="exact"/>
        <w:rPr>
          <w:rFonts w:ascii="Arial" w:cs="Arial" w:eastAsia="Arial" w:hAnsi="Arial"/>
          <w:sz w:val="18"/>
          <w:szCs w:val="18"/>
          <w:color w:val="auto"/>
        </w:rPr>
      </w:pPr>
    </w:p>
    <w:p>
      <w:pPr>
        <w:ind w:left="1212" w:hanging="434"/>
        <w:spacing w:after="0"/>
        <w:tabs>
          <w:tab w:leader="none" w:pos="12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38" w:lineRule="exact"/>
        <w:rPr>
          <w:rFonts w:ascii="Arial" w:cs="Arial" w:eastAsia="Arial" w:hAnsi="Arial"/>
          <w:sz w:val="18"/>
          <w:szCs w:val="18"/>
          <w:color w:val="auto"/>
        </w:rPr>
      </w:pPr>
    </w:p>
    <w:p>
      <w:pPr>
        <w:ind w:left="1552" w:right="100" w:hanging="386"/>
        <w:spacing w:after="0" w:line="276" w:lineRule="auto"/>
        <w:tabs>
          <w:tab w:leader="none" w:pos="1603"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176" w:lineRule="exact"/>
        <w:rPr>
          <w:rFonts w:ascii="Arial" w:cs="Arial" w:eastAsia="Arial" w:hAnsi="Arial"/>
          <w:sz w:val="18"/>
          <w:szCs w:val="18"/>
          <w:color w:val="auto"/>
        </w:rPr>
      </w:pPr>
    </w:p>
    <w:p>
      <w:pPr>
        <w:ind w:left="1552" w:right="380" w:hanging="386"/>
        <w:spacing w:after="0" w:line="287" w:lineRule="auto"/>
        <w:tabs>
          <w:tab w:leader="none" w:pos="1603"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Sections 5 through 7 for the period set forth therein, while any portion of this Award remains unvested and until the last vesting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1417" w:right="359" w:bottom="1440" w:gutter="0" w:footer="0" w:header="0"/>
        </w:sectPr>
      </w:pPr>
    </w:p>
    <w:bookmarkStart w:id="115" w:name="page116"/>
    <w:bookmarkEnd w:id="115"/>
    <w:p>
      <w:pPr>
        <w:ind w:left="774"/>
        <w:spacing w:after="0"/>
        <w:rPr>
          <w:sz w:val="20"/>
          <w:szCs w:val="20"/>
          <w:color w:val="auto"/>
        </w:rPr>
      </w:pPr>
      <w:r>
        <w:rPr>
          <w:rFonts w:ascii="Arial" w:cs="Arial" w:eastAsia="Arial" w:hAnsi="Arial"/>
          <w:sz w:val="18"/>
          <w:szCs w:val="18"/>
          <w:color w:val="auto"/>
        </w:rPr>
        <w:t>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39" w:lineRule="exact"/>
        <w:rPr>
          <w:sz w:val="20"/>
          <w:szCs w:val="20"/>
          <w:color w:val="auto"/>
        </w:rPr>
      </w:pPr>
    </w:p>
    <w:p>
      <w:pPr>
        <w:ind w:left="1194" w:hanging="417"/>
        <w:spacing w:after="0"/>
        <w:tabs>
          <w:tab w:leader="none" w:pos="1194" w:val="left"/>
        </w:tabs>
        <w:numPr>
          <w:ilvl w:val="2"/>
          <w:numId w:val="71"/>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1194" w:hanging="417"/>
        <w:spacing w:after="0"/>
        <w:tabs>
          <w:tab w:leader="none" w:pos="1194" w:val="left"/>
        </w:tabs>
        <w:numPr>
          <w:ilvl w:val="2"/>
          <w:numId w:val="71"/>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(v) below; or</w:t>
      </w:r>
    </w:p>
    <w:p>
      <w:pPr>
        <w:spacing w:after="0" w:line="238" w:lineRule="exact"/>
        <w:rPr>
          <w:rFonts w:ascii="Arial" w:cs="Arial" w:eastAsia="Arial" w:hAnsi="Arial"/>
          <w:sz w:val="18"/>
          <w:szCs w:val="18"/>
          <w:color w:val="auto"/>
        </w:rPr>
      </w:pPr>
    </w:p>
    <w:p>
      <w:pPr>
        <w:ind w:left="1174" w:right="640" w:hanging="397"/>
        <w:spacing w:after="0" w:line="303" w:lineRule="auto"/>
        <w:tabs>
          <w:tab w:leader="none" w:pos="1206" w:val="left"/>
        </w:tabs>
        <w:numPr>
          <w:ilvl w:val="2"/>
          <w:numId w:val="71"/>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394" w:right="440" w:hanging="394"/>
        <w:spacing w:after="0" w:line="335" w:lineRule="auto"/>
        <w:tabs>
          <w:tab w:leader="none" w:pos="4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Without limiting any other provision of this Agreement, including Sections 5 through 7 as applicable, if a Post-Retirement Violation occurs and if the Post-Retirement Violation was of the nature described in Section 9(b)(iii)(B)(1) or (3) above:</w:t>
      </w:r>
    </w:p>
    <w:p>
      <w:pPr>
        <w:spacing w:after="0" w:line="129" w:lineRule="exact"/>
        <w:rPr>
          <w:rFonts w:ascii="Arial" w:cs="Arial" w:eastAsia="Arial" w:hAnsi="Arial"/>
          <w:sz w:val="17"/>
          <w:szCs w:val="17"/>
          <w:color w:val="auto"/>
        </w:rPr>
      </w:pPr>
    </w:p>
    <w:p>
      <w:pPr>
        <w:ind w:left="834" w:hanging="446"/>
        <w:spacing w:after="0"/>
        <w:tabs>
          <w:tab w:leader="none" w:pos="834" w:val="left"/>
        </w:tabs>
        <w:numPr>
          <w:ilvl w:val="1"/>
          <w:numId w:val="72"/>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25" w:lineRule="exact"/>
        <w:rPr>
          <w:rFonts w:ascii="Arial" w:cs="Arial" w:eastAsia="Arial" w:hAnsi="Arial"/>
          <w:sz w:val="18"/>
          <w:szCs w:val="18"/>
          <w:color w:val="auto"/>
        </w:rPr>
      </w:pPr>
    </w:p>
    <w:p>
      <w:pPr>
        <w:ind w:left="774" w:right="680" w:hanging="386"/>
        <w:spacing w:after="0" w:line="303" w:lineRule="auto"/>
        <w:tabs>
          <w:tab w:leader="none" w:pos="825"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8, including recoupment of Shares, shall apply if the Post-Retirement Violation occurred during the first 12 months following Retirement; and</w:t>
      </w:r>
    </w:p>
    <w:p>
      <w:pPr>
        <w:spacing w:after="0" w:line="152" w:lineRule="exact"/>
        <w:rPr>
          <w:rFonts w:ascii="Arial" w:cs="Arial" w:eastAsia="Arial" w:hAnsi="Arial"/>
          <w:sz w:val="18"/>
          <w:szCs w:val="18"/>
          <w:color w:val="auto"/>
        </w:rPr>
      </w:pPr>
    </w:p>
    <w:p>
      <w:pPr>
        <w:ind w:left="774" w:right="520" w:hanging="386"/>
        <w:spacing w:after="0" w:line="287" w:lineRule="auto"/>
        <w:tabs>
          <w:tab w:leader="none" w:pos="83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Shares received upon vesting after your Retirement are subject to recoupment (either the actual shares or the current value thereof) if the Post-Retirement Violation occurred after the one-year anniversary of your Retirement.</w:t>
      </w:r>
    </w:p>
    <w:p>
      <w:pPr>
        <w:spacing w:after="0" w:line="166" w:lineRule="exact"/>
        <w:rPr>
          <w:rFonts w:ascii="Arial" w:cs="Arial" w:eastAsia="Arial" w:hAnsi="Arial"/>
          <w:sz w:val="18"/>
          <w:szCs w:val="18"/>
          <w:color w:val="auto"/>
        </w:rPr>
      </w:pPr>
    </w:p>
    <w:p>
      <w:pPr>
        <w:ind w:left="394" w:right="80" w:hanging="394"/>
        <w:spacing w:after="0" w:line="271" w:lineRule="auto"/>
        <w:tabs>
          <w:tab w:leader="none" w:pos="4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the those which you had while employed by Fiserv then vesting of any unvested portion of the Award shall immediately cease.</w:t>
      </w:r>
    </w:p>
    <w:p>
      <w:pPr>
        <w:spacing w:after="0" w:line="167" w:lineRule="exact"/>
        <w:rPr>
          <w:rFonts w:ascii="Arial" w:cs="Arial" w:eastAsia="Arial" w:hAnsi="Arial"/>
          <w:sz w:val="18"/>
          <w:szCs w:val="18"/>
          <w:color w:val="auto"/>
        </w:rPr>
      </w:pPr>
    </w:p>
    <w:p>
      <w:pPr>
        <w:ind w:left="394" w:right="120" w:hanging="394"/>
        <w:spacing w:after="0" w:line="276" w:lineRule="auto"/>
        <w:tabs>
          <w:tab w:leader="none" w:pos="4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76" w:lineRule="exact"/>
        <w:rPr>
          <w:rFonts w:ascii="Arial" w:cs="Arial" w:eastAsia="Arial" w:hAnsi="Arial"/>
          <w:sz w:val="18"/>
          <w:szCs w:val="18"/>
          <w:color w:val="auto"/>
        </w:rPr>
      </w:pPr>
    </w:p>
    <w:p>
      <w:pPr>
        <w:ind w:left="394" w:right="140" w:hanging="394"/>
        <w:spacing w:after="0" w:line="303" w:lineRule="auto"/>
        <w:tabs>
          <w:tab w:leader="none" w:pos="4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38" w:lineRule="exact"/>
        <w:rPr>
          <w:rFonts w:ascii="Arial" w:cs="Arial" w:eastAsia="Arial" w:hAnsi="Arial"/>
          <w:sz w:val="18"/>
          <w:szCs w:val="18"/>
          <w:color w:val="auto"/>
        </w:rPr>
      </w:pPr>
    </w:p>
    <w:p>
      <w:pPr>
        <w:ind w:left="394" w:hanging="394"/>
        <w:spacing w:after="0" w:line="303" w:lineRule="auto"/>
        <w:tabs>
          <w:tab w:leader="none" w:pos="5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52" w:lineRule="exact"/>
        <w:rPr>
          <w:rFonts w:ascii="Arial" w:cs="Arial" w:eastAsia="Arial" w:hAnsi="Arial"/>
          <w:sz w:val="18"/>
          <w:szCs w:val="18"/>
          <w:color w:val="auto"/>
        </w:rPr>
      </w:pPr>
    </w:p>
    <w:p>
      <w:pPr>
        <w:ind w:left="394" w:right="60" w:hanging="394"/>
        <w:spacing w:after="0" w:line="269" w:lineRule="auto"/>
        <w:tabs>
          <w:tab w:leader="none" w:pos="45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No provision of Section 9(b) will apply to limit or restrict your conduct under this Agreement after your employment, nor will be deemed a Post-Retirement Violation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this Section 9(b) are set forth in the Addendum that will be provided and/or made available to you concurrently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9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34"/>
          </w:cols>
          <w:pgMar w:left="1106" w:top="1417" w:right="359" w:bottom="1440" w:gutter="0" w:footer="0" w:header="0"/>
        </w:sectPr>
      </w:pPr>
    </w:p>
    <w:bookmarkStart w:id="116" w:name="page117"/>
    <w:bookmarkEnd w:id="116"/>
    <w:p>
      <w:pPr>
        <w:ind w:left="1172" w:hanging="394"/>
        <w:spacing w:after="0" w:line="271" w:lineRule="auto"/>
        <w:tabs>
          <w:tab w:leader="none" w:pos="11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ACTIVITIES, INCLUDING THOSE THAT APPLY POST-RETIREMENT, ARE LIKEWISE FAIR AND REASONABLE.</w:t>
      </w:r>
    </w:p>
    <w:p>
      <w:pPr>
        <w:spacing w:after="0" w:line="167" w:lineRule="exact"/>
        <w:rPr>
          <w:rFonts w:ascii="Arial" w:cs="Arial" w:eastAsia="Arial" w:hAnsi="Arial"/>
          <w:sz w:val="18"/>
          <w:szCs w:val="18"/>
          <w:color w:val="auto"/>
        </w:rPr>
      </w:pPr>
    </w:p>
    <w:p>
      <w:pPr>
        <w:ind w:left="772" w:hanging="383"/>
        <w:spacing w:after="0" w:line="270" w:lineRule="auto"/>
        <w:tabs>
          <w:tab w:leader="none" w:pos="793"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If a Change of Control of the Company occurs, the provisions of Section 18(c) of the Plan shall apply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9(b)(iii)(B), and 9(b)(v) shall immediately cease to apply.</w:t>
      </w:r>
    </w:p>
    <w:p>
      <w:pPr>
        <w:spacing w:after="0" w:line="169" w:lineRule="exact"/>
        <w:rPr>
          <w:sz w:val="20"/>
          <w:szCs w:val="20"/>
          <w:color w:val="auto"/>
        </w:rPr>
      </w:pPr>
    </w:p>
    <w:p>
      <w:pPr>
        <w:ind w:left="772"/>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84" w:lineRule="exact"/>
        <w:rPr>
          <w:sz w:val="20"/>
          <w:szCs w:val="20"/>
          <w:color w:val="auto"/>
        </w:rPr>
      </w:pPr>
    </w:p>
    <w:p>
      <w:pPr>
        <w:ind w:left="772" w:right="100"/>
        <w:spacing w:after="0" w:line="273" w:lineRule="auto"/>
        <w:rPr>
          <w:sz w:val="20"/>
          <w:szCs w:val="20"/>
          <w:color w:val="auto"/>
        </w:rPr>
      </w:pPr>
      <w:r>
        <w:rPr>
          <w:rFonts w:ascii="Arial" w:cs="Arial" w:eastAsia="Arial" w:hAnsi="Arial"/>
          <w:sz w:val="18"/>
          <w:szCs w:val="18"/>
          <w:color w:val="auto"/>
        </w:rPr>
        <w:t>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65" w:lineRule="exact"/>
        <w:rPr>
          <w:sz w:val="20"/>
          <w:szCs w:val="20"/>
          <w:color w:val="auto"/>
        </w:rPr>
      </w:pPr>
    </w:p>
    <w:p>
      <w:pPr>
        <w:ind w:left="772" w:right="240" w:hanging="383"/>
        <w:spacing w:after="0" w:line="284" w:lineRule="auto"/>
        <w:tabs>
          <w:tab w:leader="none" w:pos="803"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an employee of Fiserv,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56" w:lineRule="exact"/>
        <w:rPr>
          <w:rFonts w:ascii="Arial" w:cs="Arial" w:eastAsia="Arial" w:hAnsi="Arial"/>
          <w:sz w:val="18"/>
          <w:szCs w:val="18"/>
          <w:color w:val="auto"/>
        </w:rPr>
      </w:pPr>
    </w:p>
    <w:p>
      <w:pPr>
        <w:ind w:left="772" w:right="380" w:hanging="383"/>
        <w:spacing w:after="0" w:line="303" w:lineRule="auto"/>
        <w:tabs>
          <w:tab w:leader="none" w:pos="803"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52" w:lineRule="exact"/>
        <w:rPr>
          <w:rFonts w:ascii="Arial" w:cs="Arial" w:eastAsia="Arial" w:hAnsi="Arial"/>
          <w:sz w:val="18"/>
          <w:szCs w:val="18"/>
          <w:color w:val="auto"/>
        </w:rPr>
      </w:pPr>
    </w:p>
    <w:p>
      <w:pPr>
        <w:ind w:left="772" w:hanging="383"/>
        <w:spacing w:after="0" w:line="287" w:lineRule="auto"/>
        <w:tabs>
          <w:tab w:leader="none" w:pos="769"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9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66" w:lineRule="exact"/>
        <w:rPr>
          <w:rFonts w:ascii="Arial" w:cs="Arial" w:eastAsia="Arial" w:hAnsi="Arial"/>
          <w:sz w:val="18"/>
          <w:szCs w:val="18"/>
          <w:color w:val="auto"/>
        </w:rPr>
      </w:pPr>
    </w:p>
    <w:p>
      <w:pPr>
        <w:ind w:left="392" w:right="360" w:hanging="392"/>
        <w:spacing w:after="0" w:line="276" w:lineRule="auto"/>
        <w:tabs>
          <w:tab w:leader="none" w:pos="453"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76" w:lineRule="exact"/>
        <w:rPr>
          <w:rFonts w:ascii="Arial" w:cs="Arial" w:eastAsia="Arial" w:hAnsi="Arial"/>
          <w:sz w:val="18"/>
          <w:szCs w:val="18"/>
          <w:color w:val="auto"/>
        </w:rPr>
      </w:pPr>
    </w:p>
    <w:p>
      <w:pPr>
        <w:ind w:left="392" w:right="160" w:hanging="392"/>
        <w:spacing w:after="0" w:line="273"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(pursuant to the terms hereof) with respect to such Shares, or, if a deferral election was made, at the time specified in the Deferral Election Form; provided that, if the Award vests as a result of a Termination Event resulting from your Disability after you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92"/>
          </w:cols>
          <w:pgMar w:left="328" w:top="1417" w:right="379" w:bottom="1440" w:gutter="0" w:footer="0" w:header="0"/>
        </w:sectPr>
      </w:pPr>
    </w:p>
    <w:bookmarkStart w:id="117" w:name="page118"/>
    <w:bookmarkEnd w:id="117"/>
    <w:p>
      <w:pPr>
        <w:ind w:left="392" w:right="20"/>
        <w:spacing w:after="0" w:line="264" w:lineRule="auto"/>
        <w:rPr>
          <w:sz w:val="20"/>
          <w:szCs w:val="20"/>
          <w:color w:val="auto"/>
        </w:rPr>
      </w:pPr>
      <w:r>
        <w:rPr>
          <w:rFonts w:ascii="Arial" w:cs="Arial" w:eastAsia="Arial" w:hAnsi="Arial"/>
          <w:sz w:val="18"/>
          <w:szCs w:val="18"/>
          <w:color w:val="auto"/>
        </w:rPr>
        <w:t>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(“SEC”) or any stock exchange upon which the Shares are listed. The Company may cause an appropriate book entry notation to be made with respect to the Shares to reference any of the foregoing restrictions.</w:t>
      </w:r>
    </w:p>
    <w:p>
      <w:pPr>
        <w:spacing w:after="0" w:line="194" w:lineRule="exact"/>
        <w:rPr>
          <w:sz w:val="20"/>
          <w:szCs w:val="20"/>
          <w:color w:val="auto"/>
        </w:rPr>
      </w:pPr>
    </w:p>
    <w:p>
      <w:pPr>
        <w:ind w:left="392" w:right="40" w:hanging="392"/>
        <w:spacing w:after="0" w:line="267" w:lineRule="auto"/>
        <w:tabs>
          <w:tab w:leader="none" w:pos="453"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70" w:lineRule="exact"/>
        <w:rPr>
          <w:rFonts w:ascii="Arial" w:cs="Arial" w:eastAsia="Arial" w:hAnsi="Arial"/>
          <w:sz w:val="18"/>
          <w:szCs w:val="18"/>
          <w:color w:val="auto"/>
        </w:rPr>
      </w:pPr>
    </w:p>
    <w:p>
      <w:pPr>
        <w:ind w:left="392" w:right="40" w:hanging="392"/>
        <w:spacing w:after="0" w:line="263" w:lineRule="auto"/>
        <w:tabs>
          <w:tab w:leader="none" w:pos="453"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94" w:lineRule="exact"/>
        <w:rPr>
          <w:rFonts w:ascii="Arial" w:cs="Arial" w:eastAsia="Arial" w:hAnsi="Arial"/>
          <w:sz w:val="18"/>
          <w:szCs w:val="18"/>
          <w:color w:val="auto"/>
        </w:rPr>
      </w:pPr>
    </w:p>
    <w:p>
      <w:pPr>
        <w:ind w:left="392" w:hanging="392"/>
        <w:spacing w:after="0" w:line="264" w:lineRule="auto"/>
        <w:tabs>
          <w:tab w:leader="none" w:pos="453"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7" w:right="339" w:bottom="1440" w:gutter="0" w:footer="0" w:header="0"/>
        </w:sectPr>
      </w:pPr>
    </w:p>
    <w:bookmarkStart w:id="118" w:name="page119"/>
    <w:bookmarkEnd w:id="118"/>
    <w:p>
      <w:pPr>
        <w:ind w:left="392" w:right="40" w:hanging="392"/>
        <w:spacing w:after="0" w:line="273" w:lineRule="auto"/>
        <w:tabs>
          <w:tab w:leader="none" w:pos="453"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under the terms of this Agreement shall be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w:t>
      </w:r>
    </w:p>
    <w:p>
      <w:pPr>
        <w:spacing w:after="0" w:line="178" w:lineRule="exact"/>
        <w:rPr>
          <w:rFonts w:ascii="Arial" w:cs="Arial" w:eastAsia="Arial" w:hAnsi="Arial"/>
          <w:sz w:val="18"/>
          <w:szCs w:val="18"/>
          <w:color w:val="auto"/>
        </w:rPr>
      </w:pPr>
    </w:p>
    <w:p>
      <w:pPr>
        <w:ind w:left="392" w:right="80" w:hanging="392"/>
        <w:spacing w:after="0" w:line="273" w:lineRule="auto"/>
        <w:tabs>
          <w:tab w:leader="none" w:pos="453"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65" w:lineRule="exact"/>
        <w:rPr>
          <w:rFonts w:ascii="Arial" w:cs="Arial" w:eastAsia="Arial" w:hAnsi="Arial"/>
          <w:sz w:val="18"/>
          <w:szCs w:val="18"/>
          <w:color w:val="auto"/>
        </w:rPr>
      </w:pPr>
    </w:p>
    <w:p>
      <w:pPr>
        <w:ind w:left="452" w:hanging="452"/>
        <w:spacing w:after="0"/>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772" w:right="80" w:hanging="383"/>
        <w:spacing w:after="0" w:line="271" w:lineRule="auto"/>
        <w:tabs>
          <w:tab w:leader="none" w:pos="765" w:val="left"/>
        </w:tabs>
        <w:numPr>
          <w:ilvl w:val="1"/>
          <w:numId w:val="78"/>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7" w:lineRule="exact"/>
        <w:rPr>
          <w:rFonts w:ascii="Arial" w:cs="Arial" w:eastAsia="Arial" w:hAnsi="Arial"/>
          <w:sz w:val="18"/>
          <w:szCs w:val="18"/>
          <w:color w:val="auto"/>
        </w:rPr>
      </w:pPr>
    </w:p>
    <w:p>
      <w:pPr>
        <w:ind w:left="772" w:hanging="383"/>
        <w:spacing w:after="0" w:line="263" w:lineRule="auto"/>
        <w:tabs>
          <w:tab w:leader="none" w:pos="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94" w:lineRule="exact"/>
        <w:rPr>
          <w:rFonts w:ascii="Arial" w:cs="Arial" w:eastAsia="Arial" w:hAnsi="Arial"/>
          <w:sz w:val="18"/>
          <w:szCs w:val="18"/>
          <w:color w:val="auto"/>
        </w:rPr>
      </w:pPr>
    </w:p>
    <w:p>
      <w:pPr>
        <w:ind w:left="392" w:right="60" w:hanging="392"/>
        <w:spacing w:after="0" w:line="266" w:lineRule="auto"/>
        <w:tabs>
          <w:tab w:leader="none" w:pos="453"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76" w:lineRule="exact"/>
        <w:rPr>
          <w:rFonts w:ascii="Arial" w:cs="Arial" w:eastAsia="Arial" w:hAnsi="Arial"/>
          <w:sz w:val="18"/>
          <w:szCs w:val="18"/>
          <w:color w:val="auto"/>
        </w:rPr>
      </w:pPr>
    </w:p>
    <w:p>
      <w:pPr>
        <w:ind w:left="452" w:hanging="452"/>
        <w:spacing w:after="0"/>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32"/>
          </w:cols>
          <w:pgMar w:left="328" w:top="1417" w:right="339" w:bottom="1440" w:gutter="0" w:footer="0" w:header="0"/>
        </w:sectPr>
      </w:pPr>
    </w:p>
    <w:bookmarkStart w:id="119" w:name="page120"/>
    <w:bookmarkEnd w:id="119"/>
    <w:p>
      <w:pPr>
        <w:ind w:left="383" w:right="40" w:hanging="383"/>
        <w:spacing w:after="0" w:line="276" w:lineRule="auto"/>
        <w:tabs>
          <w:tab w:leader="none" w:pos="414"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76" w:lineRule="exact"/>
        <w:rPr>
          <w:rFonts w:ascii="Arial" w:cs="Arial" w:eastAsia="Arial" w:hAnsi="Arial"/>
          <w:sz w:val="18"/>
          <w:szCs w:val="18"/>
          <w:color w:val="auto"/>
        </w:rPr>
      </w:pPr>
    </w:p>
    <w:p>
      <w:pPr>
        <w:ind w:left="383" w:right="240" w:hanging="383"/>
        <w:spacing w:after="0" w:line="276" w:lineRule="auto"/>
        <w:tabs>
          <w:tab w:leader="none" w:pos="4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76" w:lineRule="exact"/>
        <w:rPr>
          <w:rFonts w:ascii="Arial" w:cs="Arial" w:eastAsia="Arial" w:hAnsi="Arial"/>
          <w:sz w:val="18"/>
          <w:szCs w:val="18"/>
          <w:color w:val="auto"/>
        </w:rPr>
      </w:pPr>
    </w:p>
    <w:p>
      <w:pPr>
        <w:ind w:left="383" w:right="420" w:hanging="383"/>
        <w:spacing w:after="0" w:line="303" w:lineRule="auto"/>
        <w:tabs>
          <w:tab w:leader="none" w:pos="4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38" w:lineRule="exact"/>
        <w:rPr>
          <w:rFonts w:ascii="Arial" w:cs="Arial" w:eastAsia="Arial" w:hAnsi="Arial"/>
          <w:sz w:val="18"/>
          <w:szCs w:val="18"/>
          <w:color w:val="auto"/>
        </w:rPr>
      </w:pPr>
    </w:p>
    <w:p>
      <w:pPr>
        <w:ind w:left="383" w:right="440" w:hanging="383"/>
        <w:spacing w:after="0" w:line="284" w:lineRule="auto"/>
        <w:tabs>
          <w:tab w:leader="none" w:pos="414"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56" w:lineRule="exact"/>
        <w:rPr>
          <w:rFonts w:ascii="Arial" w:cs="Arial" w:eastAsia="Arial" w:hAnsi="Arial"/>
          <w:sz w:val="18"/>
          <w:szCs w:val="18"/>
          <w:color w:val="auto"/>
        </w:rPr>
      </w:pPr>
    </w:p>
    <w:p>
      <w:pPr>
        <w:ind w:left="383" w:right="580" w:hanging="383"/>
        <w:spacing w:after="0" w:line="303" w:lineRule="auto"/>
        <w:tabs>
          <w:tab w:leader="none" w:pos="4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52" w:lineRule="exact"/>
        <w:rPr>
          <w:rFonts w:ascii="Arial" w:cs="Arial" w:eastAsia="Arial" w:hAnsi="Arial"/>
          <w:sz w:val="18"/>
          <w:szCs w:val="18"/>
          <w:color w:val="auto"/>
        </w:rPr>
      </w:pPr>
    </w:p>
    <w:p>
      <w:pPr>
        <w:ind w:left="383" w:right="120" w:hanging="383"/>
        <w:spacing w:after="0" w:line="267" w:lineRule="auto"/>
        <w:tabs>
          <w:tab w:leader="none" w:pos="3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its conflict of law provisions, except that Sections 5 through 7, 9(b)(iii)(B), and 9(b)(v)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spacing w:after="0" w:line="185" w:lineRule="exact"/>
        <w:rPr>
          <w:rFonts w:ascii="Arial" w:cs="Arial" w:eastAsia="Arial" w:hAnsi="Arial"/>
          <w:sz w:val="18"/>
          <w:szCs w:val="18"/>
          <w:color w:val="auto"/>
        </w:rPr>
      </w:pPr>
    </w:p>
    <w:p>
      <w:pPr>
        <w:ind w:left="383" w:hanging="383"/>
        <w:spacing w:after="0" w:line="276" w:lineRule="auto"/>
        <w:tabs>
          <w:tab w:leader="none" w:pos="4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76" w:lineRule="exact"/>
        <w:rPr>
          <w:rFonts w:ascii="Arial" w:cs="Arial" w:eastAsia="Arial" w:hAnsi="Arial"/>
          <w:sz w:val="18"/>
          <w:szCs w:val="18"/>
          <w:color w:val="auto"/>
        </w:rPr>
      </w:pPr>
    </w:p>
    <w:p>
      <w:pPr>
        <w:ind w:left="383" w:right="240" w:hanging="383"/>
        <w:spacing w:after="0" w:line="276" w:lineRule="auto"/>
        <w:tabs>
          <w:tab w:leader="none" w:pos="4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binding upon and inure to the benefit of any successor or assign of the Company and to any heir, distributee, executor, administrator or legal representative entitled by law to your rights hereunder.</w:t>
      </w:r>
    </w:p>
    <w:p>
      <w:pPr>
        <w:spacing w:after="0" w:line="176" w:lineRule="exact"/>
        <w:rPr>
          <w:rFonts w:ascii="Arial" w:cs="Arial" w:eastAsia="Arial" w:hAnsi="Arial"/>
          <w:sz w:val="18"/>
          <w:szCs w:val="18"/>
          <w:color w:val="auto"/>
        </w:rPr>
      </w:pPr>
    </w:p>
    <w:p>
      <w:pPr>
        <w:ind w:left="423" w:right="520" w:hanging="407"/>
        <w:spacing w:after="0" w:line="287" w:lineRule="auto"/>
        <w:tabs>
          <w:tab w:leader="none" w:pos="421" w:val="left"/>
        </w:tabs>
        <w:numPr>
          <w:ilvl w:val="1"/>
          <w:numId w:val="79"/>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66" w:lineRule="exact"/>
        <w:rPr>
          <w:rFonts w:ascii="Arial" w:cs="Arial" w:eastAsia="Arial" w:hAnsi="Arial"/>
          <w:sz w:val="18"/>
          <w:szCs w:val="18"/>
          <w:color w:val="auto"/>
        </w:rPr>
      </w:pPr>
    </w:p>
    <w:p>
      <w:pPr>
        <w:ind w:left="423" w:right="40" w:hanging="407"/>
        <w:spacing w:after="0" w:line="266" w:lineRule="auto"/>
        <w:tabs>
          <w:tab w:leader="none" w:pos="421"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consideration of, among other things, your continued employment with the Company or a subsidiary of the Company, you acknowledge and agree that you are and will continue to be subject to the Fiserv, Inc. Compensation Recoupment Policy (“Policy”) and that the Policy will apply both during and after the termination of your employment with the Company or any subsidiary of the Company. You can access this Policy as currently in effect by visiting https://investors.fiserv.com/corporate-governance/governance-documents. Further, by signing below, you agree to abide by the terms of the Policy, including, without limitation, by returning any Excess Compensation (as defined in the Policy) to the Company to the extent required by, and in a manner consistent with, the Policy, regardless of the terms of, and whether or not consistent with, any other agreement, plan, policy or similar document to which the undersigned is a party or participant or to which the undersigned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3"/>
          </w:cols>
          <w:pgMar w:left="717" w:top="1417" w:right="359" w:bottom="1440" w:gutter="0" w:footer="0" w:header="0"/>
        </w:sectPr>
      </w:pPr>
    </w:p>
    <w:bookmarkStart w:id="120" w:name="page121"/>
    <w:bookmarkEnd w:id="120"/>
    <w:p>
      <w:pPr>
        <w:spacing w:after="0" w:line="312"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the Plan, and the Policy.</w:t>
      </w:r>
    </w:p>
    <w:p>
      <w:pPr>
        <w:spacing w:after="0" w:line="12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Your acceptance of the terms of this Agreement, the Award Memorandum, the Plan, the Addendum, and the Policy through our administrative agent’s website is a condition to your receipt of Shares. You must log on to our administrative agent’s website and accept the terms and conditions of this Agreement, the Award Memorandum, the Plan, and the Policy within 120 calendar days of your Award Grant Date. If you do not accept the terms and conditions of this Agreement, the Award Memorandum, the Plan, and the Policy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17" w:right="3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2140" w:type="dxa"/>
            <w:vAlign w:val="bottom"/>
          </w:tcPr>
          <w:p>
            <w:pPr>
              <w:spacing w:after="0"/>
              <w:rPr>
                <w:sz w:val="21"/>
                <w:szCs w:val="21"/>
                <w:color w:val="auto"/>
              </w:rPr>
            </w:pPr>
          </w:p>
        </w:tc>
        <w:tc>
          <w:tcPr>
            <w:tcW w:w="6440" w:type="dxa"/>
            <w:vAlign w:val="bottom"/>
            <w:gridSpan w:val="6"/>
          </w:tcPr>
          <w:p>
            <w:pPr>
              <w:jc w:val="center"/>
              <w:ind w:left="28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6440" w:type="dxa"/>
            <w:vAlign w:val="bottom"/>
            <w:gridSpan w:val="6"/>
          </w:tcPr>
          <w:p>
            <w:pPr>
              <w:jc w:val="center"/>
              <w:ind w:left="281"/>
              <w:spacing w:after="0"/>
              <w:rPr>
                <w:sz w:val="20"/>
                <w:szCs w:val="20"/>
                <w:color w:val="auto"/>
              </w:rPr>
            </w:pPr>
            <w:r>
              <w:rPr>
                <w:rFonts w:ascii="Arial" w:cs="Arial" w:eastAsia="Arial" w:hAnsi="Arial"/>
                <w:sz w:val="20"/>
                <w:szCs w:val="20"/>
                <w:b w:val="1"/>
                <w:bCs w:val="1"/>
                <w:color w:val="auto"/>
                <w:w w:val="98"/>
              </w:rPr>
              <w:t>RESTRICTED STOCK UNIT AWARD MEMORANDUM</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97"/>
              </w:rPr>
              <w:t>STANDARD (ST RET)</w:t>
            </w:r>
          </w:p>
        </w:tc>
        <w:tc>
          <w:tcPr>
            <w:tcW w:w="2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952"/>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33"/>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33"/>
        </w:trPr>
        <w:tc>
          <w:tcPr>
            <w:tcW w:w="45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142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8"/>
        </w:trPr>
        <w:tc>
          <w:tcPr>
            <w:tcW w:w="21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81"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8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117" w:right="339" w:bottom="1440" w:gutter="0" w:footer="0" w:header="0"/>
          <w:type w:val="continuous"/>
        </w:sectPr>
      </w:pPr>
    </w:p>
    <w:p>
      <w:pPr>
        <w:spacing w:after="0" w:line="197"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53"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 through 7, 9(b)(iii), and 9(b)(v) of the Restricted Stock Unit Agreement contain provisions that restrict your activities. These provisions apply to you and, by accepting this Award, you agree to be bound by these restrictions. Accepting this Award, and these provisions, is not a condition of your employment or continued employment by Fiserv.</w:t>
      </w:r>
    </w:p>
    <w:p>
      <w:pPr>
        <w:sectPr>
          <w:pgSz w:w="11900" w:h="16838" w:orient="portrait"/>
          <w:cols w:equalWidth="0" w:num="1">
            <w:col w:w="11240"/>
          </w:cols>
          <w:pgMar w:left="320" w:top="117" w:right="339" w:bottom="1440" w:gutter="0" w:footer="0" w:header="0"/>
          <w:type w:val="continuous"/>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39"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5"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56" w:lineRule="exact"/>
        <w:rPr>
          <w:sz w:val="20"/>
          <w:szCs w:val="20"/>
          <w:color w:val="auto"/>
        </w:rPr>
      </w:pPr>
    </w:p>
    <w:p>
      <w:pPr>
        <w:ind w:left="480" w:hanging="342"/>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38" w:lineRule="exact"/>
        <w:rPr>
          <w:rFonts w:ascii="Arial" w:cs="Arial" w:eastAsia="Arial" w:hAnsi="Arial"/>
          <w:sz w:val="18"/>
          <w:szCs w:val="18"/>
          <w:color w:val="auto"/>
        </w:rPr>
      </w:pPr>
    </w:p>
    <w:p>
      <w:pPr>
        <w:ind w:left="520" w:right="100" w:hanging="382"/>
        <w:spacing w:after="0" w:line="276" w:lineRule="auto"/>
        <w:tabs>
          <w:tab w:leader="none" w:pos="481"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any deferral election then in effect, the Shares subject to this Award will be issued as indicated in this Agreement. This Award also may continue to vest following your Retirement (as defined below) as described in Section 9.</w:t>
      </w:r>
    </w:p>
    <w:p>
      <w:pPr>
        <w:spacing w:after="0" w:line="176" w:lineRule="exact"/>
        <w:rPr>
          <w:rFonts w:ascii="Arial" w:cs="Arial" w:eastAsia="Arial" w:hAnsi="Arial"/>
          <w:sz w:val="18"/>
          <w:szCs w:val="18"/>
          <w:color w:val="auto"/>
        </w:rPr>
      </w:pPr>
    </w:p>
    <w:p>
      <w:pPr>
        <w:ind w:left="520" w:right="120" w:hanging="332"/>
        <w:spacing w:after="0" w:line="276" w:lineRule="auto"/>
        <w:tabs>
          <w:tab w:leader="none" w:pos="531"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shall terminate in all events on the earlier of (a) the date upon which vesting is no longer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pursuant to Section 9 or (b) your failure to accept the terms of this Agreement, the Award Memorandum and the Plan within the time period and in the manner specified in this Agreement.</w:t>
      </w:r>
    </w:p>
    <w:p>
      <w:pPr>
        <w:spacing w:after="0" w:line="177" w:lineRule="exact"/>
        <w:rPr>
          <w:sz w:val="20"/>
          <w:szCs w:val="20"/>
          <w:color w:val="auto"/>
        </w:rPr>
      </w:pPr>
    </w:p>
    <w:p>
      <w:pPr>
        <w:ind w:left="480" w:hanging="342"/>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Related to Confidential Information, Non-Competition and Related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120" w:hanging="464"/>
        <w:spacing w:after="0"/>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040" w:hanging="384"/>
        <w:spacing w:after="0" w:line="264" w:lineRule="auto"/>
        <w:tabs>
          <w:tab w:leader="none" w:pos="1071"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93" w:lineRule="exact"/>
        <w:rPr>
          <w:rFonts w:ascii="Arial" w:cs="Arial" w:eastAsia="Arial" w:hAnsi="Arial"/>
          <w:sz w:val="18"/>
          <w:szCs w:val="18"/>
          <w:color w:val="auto"/>
        </w:rPr>
      </w:pPr>
    </w:p>
    <w:p>
      <w:pPr>
        <w:ind w:left="1040" w:hanging="384"/>
        <w:spacing w:after="0" w:line="267" w:lineRule="auto"/>
        <w:tabs>
          <w:tab w:leader="none" w:pos="1061"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123" w:name="page124"/>
    <w:bookmarkEnd w:id="123"/>
    <w:p>
      <w:pPr>
        <w:spacing w:after="0" w:line="200" w:lineRule="exact"/>
        <w:rPr>
          <w:sz w:val="20"/>
          <w:szCs w:val="20"/>
          <w:color w:val="auto"/>
        </w:rPr>
      </w:pPr>
    </w:p>
    <w:p>
      <w:pPr>
        <w:spacing w:after="0" w:line="223" w:lineRule="exact"/>
        <w:rPr>
          <w:sz w:val="20"/>
          <w:szCs w:val="20"/>
          <w:color w:val="auto"/>
        </w:rPr>
      </w:pPr>
    </w:p>
    <w:p>
      <w:pPr>
        <w:ind w:left="902" w:right="120" w:hanging="384"/>
        <w:spacing w:after="0" w:line="287" w:lineRule="auto"/>
        <w:tabs>
          <w:tab w:leader="none" w:pos="93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66" w:lineRule="exact"/>
        <w:rPr>
          <w:rFonts w:ascii="Arial" w:cs="Arial" w:eastAsia="Arial" w:hAnsi="Arial"/>
          <w:sz w:val="18"/>
          <w:szCs w:val="18"/>
          <w:color w:val="auto"/>
        </w:rPr>
      </w:pPr>
    </w:p>
    <w:p>
      <w:pPr>
        <w:ind w:left="902" w:right="160" w:hanging="384"/>
        <w:spacing w:after="0" w:line="273" w:lineRule="auto"/>
        <w:tabs>
          <w:tab w:leader="none" w:pos="93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78" w:lineRule="exact"/>
        <w:rPr>
          <w:rFonts w:ascii="Arial" w:cs="Arial" w:eastAsia="Arial" w:hAnsi="Arial"/>
          <w:sz w:val="18"/>
          <w:szCs w:val="18"/>
          <w:color w:val="auto"/>
        </w:rPr>
      </w:pPr>
    </w:p>
    <w:p>
      <w:pPr>
        <w:ind w:left="902" w:right="120" w:hanging="384"/>
        <w:spacing w:after="0" w:line="287" w:lineRule="auto"/>
        <w:tabs>
          <w:tab w:leader="none" w:pos="88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66" w:lineRule="exact"/>
        <w:rPr>
          <w:rFonts w:ascii="Arial" w:cs="Arial" w:eastAsia="Arial" w:hAnsi="Arial"/>
          <w:sz w:val="18"/>
          <w:szCs w:val="18"/>
          <w:color w:val="auto"/>
        </w:rPr>
      </w:pPr>
    </w:p>
    <w:p>
      <w:pPr>
        <w:jc w:val="both"/>
        <w:ind w:left="902" w:hanging="384"/>
        <w:spacing w:after="0" w:line="276" w:lineRule="auto"/>
        <w:tabs>
          <w:tab w:leader="none" w:pos="93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w:t>
      </w:r>
    </w:p>
    <w:p>
      <w:pPr>
        <w:spacing w:after="0" w:line="176" w:lineRule="exact"/>
        <w:rPr>
          <w:rFonts w:ascii="Arial" w:cs="Arial" w:eastAsia="Arial" w:hAnsi="Arial"/>
          <w:sz w:val="18"/>
          <w:szCs w:val="18"/>
          <w:color w:val="auto"/>
        </w:rPr>
      </w:pPr>
    </w:p>
    <w:p>
      <w:pPr>
        <w:ind w:left="902" w:right="80" w:hanging="384"/>
        <w:spacing w:after="0" w:line="271" w:lineRule="auto"/>
        <w:tabs>
          <w:tab w:leader="none" w:pos="93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(i)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(ii) about which you have Confidential Information as a result of your employment with Fiserv.</w:t>
      </w:r>
    </w:p>
    <w:p>
      <w:pPr>
        <w:spacing w:after="0" w:line="167" w:lineRule="exact"/>
        <w:rPr>
          <w:rFonts w:ascii="Arial" w:cs="Arial" w:eastAsia="Arial" w:hAnsi="Arial"/>
          <w:sz w:val="18"/>
          <w:szCs w:val="18"/>
          <w:color w:val="auto"/>
        </w:rPr>
      </w:pPr>
    </w:p>
    <w:p>
      <w:pPr>
        <w:ind w:left="902" w:right="460" w:hanging="384"/>
        <w:spacing w:after="0" w:line="276" w:lineRule="auto"/>
        <w:tabs>
          <w:tab w:leader="none" w:pos="87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geographic regions for which you had executive, managerial, supervisory, sales, marketing, client servicing, and/or other responsibilities during any part of the 24 months preceding the termination of your employment with Fiserv.</w:t>
      </w:r>
    </w:p>
    <w:p>
      <w:pPr>
        <w:spacing w:after="0" w:line="176" w:lineRule="exact"/>
        <w:rPr>
          <w:rFonts w:ascii="Arial" w:cs="Arial" w:eastAsia="Arial" w:hAnsi="Arial"/>
          <w:sz w:val="18"/>
          <w:szCs w:val="18"/>
          <w:color w:val="auto"/>
        </w:rPr>
      </w:pPr>
    </w:p>
    <w:p>
      <w:pPr>
        <w:ind w:left="902" w:right="220" w:hanging="384"/>
        <w:spacing w:after="0" w:line="273" w:lineRule="auto"/>
        <w:tabs>
          <w:tab w:leader="none" w:pos="9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 (i) for which you directly worked with or for which you supervised others in working with during any part of the 24 months preceding the termination of your employment with Fiserv; or (ii) about which you have Confidential Information as a result of your employment with Fiserv.</w:t>
      </w:r>
    </w:p>
    <w:p>
      <w:pPr>
        <w:spacing w:after="0" w:line="178" w:lineRule="exact"/>
        <w:rPr>
          <w:rFonts w:ascii="Arial" w:cs="Arial" w:eastAsia="Arial" w:hAnsi="Arial"/>
          <w:sz w:val="18"/>
          <w:szCs w:val="18"/>
          <w:color w:val="auto"/>
        </w:rPr>
      </w:pPr>
    </w:p>
    <w:p>
      <w:pPr>
        <w:ind w:left="902" w:right="160" w:hanging="384"/>
        <w:spacing w:after="0" w:line="273" w:lineRule="auto"/>
        <w:tabs>
          <w:tab w:leader="none" w:pos="9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Sections 5 through 7, 9(b)(iii), and 9(b)(v) of this Agreement to the extent specified in the Addendum. The Addendum will be incorporated into, construed jointly with, modify and/or supplement the terms of Sections 5 through 7, 9(b)(iii), and 9(b)(v) of this Agreement.</w:t>
      </w:r>
    </w:p>
    <w:p>
      <w:pPr>
        <w:spacing w:after="0" w:line="165" w:lineRule="exact"/>
        <w:rPr>
          <w:rFonts w:ascii="Arial" w:cs="Arial" w:eastAsia="Arial" w:hAnsi="Arial"/>
          <w:sz w:val="18"/>
          <w:szCs w:val="18"/>
          <w:color w:val="auto"/>
        </w:rPr>
      </w:pPr>
    </w:p>
    <w:p>
      <w:pPr>
        <w:ind w:left="382" w:right="60" w:hanging="382"/>
        <w:spacing w:after="0" w:line="270" w:lineRule="auto"/>
        <w:tabs>
          <w:tab w:leader="none" w:pos="394"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Innovations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Fiserv will provide you with Confidential Information relating to Fiserv,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clients, the disclosure or misuse of which would cause severe and irreparable harm to Fiserv. You agree that all Confidential Information is and shall remain the sole and absolute property of Fiserv. Upon the termination of your employment with Fiserv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2"/>
          </w:cols>
          <w:pgMar w:left="458" w:top="1440"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of the Chief Executive Officer of the Company, without the written approval of the Board of Directors of the Company:</w:t>
      </w:r>
    </w:p>
    <w:p>
      <w:pPr>
        <w:spacing w:after="0" w:line="239" w:lineRule="exact"/>
        <w:rPr>
          <w:sz w:val="20"/>
          <w:szCs w:val="20"/>
          <w:color w:val="auto"/>
        </w:rPr>
      </w:pPr>
    </w:p>
    <w:p>
      <w:pPr>
        <w:ind w:left="520" w:right="160" w:hanging="384"/>
        <w:spacing w:after="0" w:line="267" w:lineRule="auto"/>
        <w:tabs>
          <w:tab w:leader="none" w:pos="5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85" w:lineRule="exact"/>
        <w:rPr>
          <w:rFonts w:ascii="Arial" w:cs="Arial" w:eastAsia="Arial" w:hAnsi="Arial"/>
          <w:sz w:val="18"/>
          <w:szCs w:val="18"/>
          <w:color w:val="auto"/>
        </w:rPr>
      </w:pPr>
    </w:p>
    <w:p>
      <w:pPr>
        <w:ind w:left="520" w:hanging="384"/>
        <w:spacing w:after="0" w:line="271" w:lineRule="auto"/>
        <w:tabs>
          <w:tab w:leader="none" w:pos="5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67" w:lineRule="exact"/>
        <w:rPr>
          <w:rFonts w:ascii="Arial" w:cs="Arial" w:eastAsia="Arial" w:hAnsi="Arial"/>
          <w:sz w:val="18"/>
          <w:szCs w:val="18"/>
          <w:color w:val="auto"/>
        </w:rPr>
      </w:pPr>
    </w:p>
    <w:p>
      <w:pPr>
        <w:ind w:left="540" w:hanging="40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w:t>
      </w:r>
    </w:p>
    <w:p>
      <w:pPr>
        <w:spacing w:after="0" w:line="238" w:lineRule="exact"/>
        <w:rPr>
          <w:rFonts w:ascii="Arial" w:cs="Arial" w:eastAsia="Arial" w:hAnsi="Arial"/>
          <w:sz w:val="18"/>
          <w:szCs w:val="18"/>
          <w:color w:val="auto"/>
        </w:rPr>
      </w:pPr>
    </w:p>
    <w:p>
      <w:pPr>
        <w:ind w:left="920" w:right="140" w:hanging="395"/>
        <w:spacing w:after="0" w:line="267" w:lineRule="auto"/>
        <w:tabs>
          <w:tab w:leader="none" w:pos="9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Nothing in this Agreement or any other Fiserv policy prohibits or impedes you from communicating, cooperating, or filing a complaint with any U.S., federal, state, or local governmental or law enforcement branch, agency, or entity (collectively,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w:t>
      </w:r>
    </w:p>
    <w:p>
      <w:pPr>
        <w:spacing w:after="0" w:line="184" w:lineRule="exact"/>
        <w:rPr>
          <w:rFonts w:ascii="Arial" w:cs="Arial" w:eastAsia="Arial" w:hAnsi="Arial"/>
          <w:sz w:val="18"/>
          <w:szCs w:val="18"/>
          <w:color w:val="auto"/>
        </w:rPr>
      </w:pPr>
    </w:p>
    <w:p>
      <w:pPr>
        <w:ind w:left="840" w:hanging="299"/>
        <w:spacing w:after="0"/>
        <w:tabs>
          <w:tab w:leader="none" w:pos="840" w:val="left"/>
        </w:tabs>
        <w:numPr>
          <w:ilvl w:val="2"/>
          <w:numId w:val="84"/>
        </w:numPr>
        <w:rPr>
          <w:rFonts w:ascii="Arial" w:cs="Arial" w:eastAsia="Arial" w:hAnsi="Arial"/>
          <w:sz w:val="18"/>
          <w:szCs w:val="18"/>
          <w:color w:val="auto"/>
        </w:rPr>
      </w:pPr>
      <w:r>
        <w:rPr>
          <w:rFonts w:ascii="Arial" w:cs="Arial" w:eastAsia="Arial" w:hAnsi="Arial"/>
          <w:sz w:val="18"/>
          <w:szCs w:val="18"/>
          <w:color w:val="auto"/>
        </w:rPr>
        <w:t>Pursuant to 18 U.S.C. §1833(b)(1) and §1833(b)(2):</w:t>
      </w:r>
    </w:p>
    <w:p>
      <w:pPr>
        <w:spacing w:after="0" w:line="225" w:lineRule="exact"/>
        <w:rPr>
          <w:rFonts w:ascii="Arial" w:cs="Arial" w:eastAsia="Arial" w:hAnsi="Arial"/>
          <w:sz w:val="18"/>
          <w:szCs w:val="18"/>
          <w:color w:val="auto"/>
        </w:rPr>
      </w:pPr>
    </w:p>
    <w:p>
      <w:pPr>
        <w:ind w:left="1440" w:right="60" w:hanging="494"/>
        <w:spacing w:after="0" w:line="283" w:lineRule="auto"/>
        <w:tabs>
          <w:tab w:leader="none" w:pos="1384" w:val="left"/>
        </w:tabs>
        <w:numPr>
          <w:ilvl w:val="3"/>
          <w:numId w:val="84"/>
        </w:numPr>
        <w:rPr>
          <w:rFonts w:ascii="Arial" w:cs="Arial" w:eastAsia="Arial" w:hAnsi="Arial"/>
          <w:sz w:val="17"/>
          <w:szCs w:val="17"/>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w:t>
      </w:r>
    </w:p>
    <w:p>
      <w:pPr>
        <w:spacing w:after="0" w:line="1" w:lineRule="exact"/>
        <w:rPr>
          <w:rFonts w:ascii="Arial" w:cs="Arial" w:eastAsia="Arial" w:hAnsi="Arial"/>
          <w:sz w:val="17"/>
          <w:szCs w:val="17"/>
          <w:color w:val="auto"/>
        </w:rPr>
      </w:pPr>
    </w:p>
    <w:p>
      <w:pPr>
        <w:ind w:left="1700" w:hanging="268"/>
        <w:spacing w:after="0"/>
        <w:tabs>
          <w:tab w:leader="none" w:pos="1700" w:val="left"/>
        </w:tabs>
        <w:numPr>
          <w:ilvl w:val="4"/>
          <w:numId w:val="84"/>
        </w:numPr>
        <w:rPr>
          <w:rFonts w:ascii="Arial" w:cs="Arial" w:eastAsia="Arial" w:hAnsi="Arial"/>
          <w:sz w:val="18"/>
          <w:szCs w:val="18"/>
          <w:color w:val="auto"/>
        </w:rPr>
      </w:pPr>
      <w:r>
        <w:rPr>
          <w:rFonts w:ascii="Arial" w:cs="Arial" w:eastAsia="Arial" w:hAnsi="Arial"/>
          <w:sz w:val="18"/>
          <w:szCs w:val="18"/>
          <w:color w:val="auto"/>
        </w:rPr>
        <w:t>is made in a complaint or other document filed in a lawsuit or other proceeding, if such filing is made under seal.</w:t>
      </w:r>
    </w:p>
    <w:p>
      <w:pPr>
        <w:spacing w:after="0" w:line="220" w:lineRule="exact"/>
        <w:rPr>
          <w:rFonts w:ascii="Arial" w:cs="Arial" w:eastAsia="Arial" w:hAnsi="Arial"/>
          <w:sz w:val="18"/>
          <w:szCs w:val="18"/>
          <w:color w:val="auto"/>
        </w:rPr>
      </w:pPr>
    </w:p>
    <w:p>
      <w:pPr>
        <w:ind w:left="1440" w:right="300" w:hanging="494"/>
        <w:spacing w:after="0" w:line="273" w:lineRule="auto"/>
        <w:tabs>
          <w:tab w:leader="none" w:pos="1384" w:val="left"/>
        </w:tabs>
        <w:numPr>
          <w:ilvl w:val="3"/>
          <w:numId w:val="84"/>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79" w:lineRule="exact"/>
        <w:rPr>
          <w:sz w:val="20"/>
          <w:szCs w:val="20"/>
          <w:color w:val="auto"/>
        </w:rPr>
      </w:pPr>
    </w:p>
    <w:p>
      <w:pPr>
        <w:ind w:left="520" w:right="160"/>
        <w:spacing w:after="0" w:line="287"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Fiserv for, among other things, exemplary damages and attorneys’ fees.</w:t>
      </w:r>
    </w:p>
    <w:p>
      <w:pPr>
        <w:spacing w:after="0" w:line="166" w:lineRule="exact"/>
        <w:rPr>
          <w:sz w:val="20"/>
          <w:szCs w:val="20"/>
          <w:color w:val="auto"/>
        </w:rPr>
      </w:pPr>
    </w:p>
    <w:p>
      <w:pPr>
        <w:ind w:left="520" w:right="240" w:hanging="384"/>
        <w:spacing w:after="0" w:line="273" w:lineRule="auto"/>
        <w:tabs>
          <w:tab w:leader="none" w:pos="5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employees, Clients, Prospective Clients and Vendors of Fiserv and develop and maintain relationships with such employees, Clients, Prospective Clients and Vendors. You further acknowledge that such relationships have been developed at great expense by Fiserv. You acknowledge and agree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840" w:top="1417" w:right="339" w:bottom="1440" w:gutter="0" w:footer="0" w:header="0"/>
        </w:sectPr>
      </w:pPr>
    </w:p>
    <w:bookmarkStart w:id="125" w:name="page126"/>
    <w:bookmarkEnd w:id="125"/>
    <w:p>
      <w:pPr>
        <w:ind w:left="902"/>
        <w:spacing w:after="0" w:line="267" w:lineRule="auto"/>
        <w:rPr>
          <w:sz w:val="20"/>
          <w:szCs w:val="20"/>
          <w:color w:val="auto"/>
        </w:rPr>
      </w:pPr>
      <w:r>
        <w:rPr>
          <w:rFonts w:ascii="Arial" w:cs="Arial" w:eastAsia="Arial" w:hAnsi="Arial"/>
          <w:sz w:val="18"/>
          <w:szCs w:val="18"/>
          <w:color w:val="auto"/>
        </w:rPr>
        <w:t>post-employment efforts by you to work for a Competitor, Client or Prospective Client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w:t>
      </w:r>
    </w:p>
    <w:p>
      <w:pPr>
        <w:spacing w:after="0" w:line="184" w:lineRule="exact"/>
        <w:rPr>
          <w:sz w:val="20"/>
          <w:szCs w:val="20"/>
          <w:color w:val="auto"/>
        </w:rPr>
      </w:pPr>
    </w:p>
    <w:p>
      <w:pPr>
        <w:jc w:val="both"/>
        <w:ind w:left="902" w:right="160" w:hanging="384"/>
        <w:spacing w:after="0" w:line="273" w:lineRule="auto"/>
        <w:tabs>
          <w:tab w:leader="none" w:pos="93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spacing w:after="0" w:line="178" w:lineRule="exact"/>
        <w:rPr>
          <w:rFonts w:ascii="Arial" w:cs="Arial" w:eastAsia="Arial" w:hAnsi="Arial"/>
          <w:sz w:val="18"/>
          <w:szCs w:val="18"/>
          <w:color w:val="auto"/>
        </w:rPr>
      </w:pPr>
    </w:p>
    <w:p>
      <w:pPr>
        <w:ind w:left="382" w:right="100" w:hanging="382"/>
        <w:spacing w:after="0" w:line="267" w:lineRule="auto"/>
        <w:tabs>
          <w:tab w:leader="none" w:pos="394"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During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without the written consent of the Chief Executive Officer of the Company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spacing w:after="0" w:line="185" w:lineRule="exact"/>
        <w:rPr>
          <w:rFonts w:ascii="Arial" w:cs="Arial" w:eastAsia="Arial" w:hAnsi="Arial"/>
          <w:sz w:val="18"/>
          <w:szCs w:val="18"/>
          <w:color w:val="auto"/>
        </w:rPr>
      </w:pPr>
    </w:p>
    <w:p>
      <w:pPr>
        <w:ind w:left="902" w:right="100" w:hanging="384"/>
        <w:spacing w:after="0" w:line="303" w:lineRule="auto"/>
        <w:tabs>
          <w:tab w:leader="none" w:pos="983" w:val="left"/>
        </w:tabs>
        <w:numPr>
          <w:ilvl w:val="2"/>
          <w:numId w:val="87"/>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38" w:lineRule="exact"/>
        <w:rPr>
          <w:rFonts w:ascii="Arial" w:cs="Arial" w:eastAsia="Arial" w:hAnsi="Arial"/>
          <w:sz w:val="18"/>
          <w:szCs w:val="18"/>
          <w:color w:val="auto"/>
        </w:rPr>
      </w:pPr>
    </w:p>
    <w:p>
      <w:pPr>
        <w:ind w:left="902" w:right="320" w:hanging="384"/>
        <w:spacing w:after="0" w:line="303" w:lineRule="auto"/>
        <w:tabs>
          <w:tab w:leader="none" w:pos="983" w:val="left"/>
        </w:tabs>
        <w:numPr>
          <w:ilvl w:val="2"/>
          <w:numId w:val="87"/>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38" w:lineRule="exact"/>
        <w:rPr>
          <w:rFonts w:ascii="Arial" w:cs="Arial" w:eastAsia="Arial" w:hAnsi="Arial"/>
          <w:sz w:val="18"/>
          <w:szCs w:val="18"/>
          <w:color w:val="auto"/>
        </w:rPr>
      </w:pPr>
    </w:p>
    <w:p>
      <w:pPr>
        <w:ind w:left="902" w:right="340" w:hanging="384"/>
        <w:spacing w:after="0" w:line="273" w:lineRule="auto"/>
        <w:tabs>
          <w:tab w:leader="none" w:pos="973" w:val="left"/>
        </w:tabs>
        <w:numPr>
          <w:ilvl w:val="2"/>
          <w:numId w:val="87"/>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6(c) shall apply to any employee of Fiserv with whom you work with during any part of the 24 month period preceding the termination of your employment with Fiserv).</w:t>
      </w:r>
    </w:p>
    <w:p>
      <w:pPr>
        <w:spacing w:after="0" w:line="178" w:lineRule="exact"/>
        <w:rPr>
          <w:rFonts w:ascii="Arial" w:cs="Arial" w:eastAsia="Arial" w:hAnsi="Arial"/>
          <w:sz w:val="18"/>
          <w:szCs w:val="18"/>
          <w:color w:val="auto"/>
        </w:rPr>
      </w:pPr>
    </w:p>
    <w:p>
      <w:pPr>
        <w:ind w:left="382" w:right="100" w:hanging="332"/>
        <w:spacing w:after="0" w:line="267" w:lineRule="auto"/>
        <w:tabs>
          <w:tab w:leader="none" w:pos="443" w:val="left"/>
        </w:tabs>
        <w:numPr>
          <w:ilvl w:val="1"/>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Following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without the written consent of the Chief Executive Officer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spacing w:after="0" w:line="184" w:lineRule="exact"/>
        <w:rPr>
          <w:rFonts w:ascii="Arial" w:cs="Arial" w:eastAsia="Arial" w:hAnsi="Arial"/>
          <w:sz w:val="18"/>
          <w:szCs w:val="18"/>
          <w:color w:val="auto"/>
        </w:rPr>
      </w:pPr>
    </w:p>
    <w:p>
      <w:pPr>
        <w:ind w:left="902" w:right="220" w:hanging="384"/>
        <w:spacing w:after="0" w:line="276" w:lineRule="auto"/>
        <w:tabs>
          <w:tab w:leader="none" w:pos="895" w:val="left"/>
        </w:tabs>
        <w:numPr>
          <w:ilvl w:val="2"/>
          <w:numId w:val="87"/>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76" w:lineRule="exact"/>
        <w:rPr>
          <w:rFonts w:ascii="Arial" w:cs="Arial" w:eastAsia="Arial" w:hAnsi="Arial"/>
          <w:sz w:val="18"/>
          <w:szCs w:val="18"/>
          <w:color w:val="auto"/>
        </w:rPr>
      </w:pPr>
    </w:p>
    <w:p>
      <w:pPr>
        <w:ind w:left="902" w:right="180" w:hanging="384"/>
        <w:spacing w:after="0" w:line="303" w:lineRule="auto"/>
        <w:tabs>
          <w:tab w:leader="none" w:pos="983" w:val="left"/>
        </w:tabs>
        <w:numPr>
          <w:ilvl w:val="2"/>
          <w:numId w:val="87"/>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as or similar to the duties performed by you for Fiserv at any time during any part of the 24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2"/>
          </w:cols>
          <w:pgMar w:left="458" w:top="1417" w:right="359" w:bottom="1440" w:gutter="0" w:footer="0" w:header="0"/>
        </w:sectPr>
      </w:pPr>
    </w:p>
    <w:bookmarkStart w:id="126" w:name="page127"/>
    <w:bookmarkEnd w:id="126"/>
    <w:p>
      <w:pPr>
        <w:jc w:val="center"/>
        <w:ind w:right="38"/>
        <w:spacing w:after="0"/>
        <w:rPr>
          <w:sz w:val="20"/>
          <w:szCs w:val="20"/>
          <w:color w:val="auto"/>
        </w:rPr>
      </w:pPr>
      <w:r>
        <w:rPr>
          <w:rFonts w:ascii="Arial" w:cs="Arial" w:eastAsia="Arial" w:hAnsi="Arial"/>
          <w:sz w:val="18"/>
          <w:szCs w:val="18"/>
          <w:color w:val="auto"/>
        </w:rPr>
        <w:t>period preceding the termination of your employment with Fiserv and which involve a Competing Product or Service;</w:t>
      </w:r>
    </w:p>
    <w:p>
      <w:pPr>
        <w:spacing w:after="0" w:line="239" w:lineRule="exact"/>
        <w:rPr>
          <w:sz w:val="20"/>
          <w:szCs w:val="20"/>
          <w:color w:val="auto"/>
        </w:rPr>
      </w:pPr>
    </w:p>
    <w:p>
      <w:pPr>
        <w:ind w:left="902" w:right="340" w:hanging="384"/>
        <w:spacing w:after="0" w:line="287" w:lineRule="auto"/>
        <w:tabs>
          <w:tab w:leader="none" w:pos="973" w:val="left"/>
        </w:tabs>
        <w:numPr>
          <w:ilvl w:val="1"/>
          <w:numId w:val="88"/>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66" w:lineRule="exact"/>
        <w:rPr>
          <w:rFonts w:ascii="Arial" w:cs="Arial" w:eastAsia="Arial" w:hAnsi="Arial"/>
          <w:sz w:val="18"/>
          <w:szCs w:val="18"/>
          <w:color w:val="auto"/>
        </w:rPr>
      </w:pPr>
    </w:p>
    <w:p>
      <w:pPr>
        <w:ind w:left="902" w:right="60" w:hanging="384"/>
        <w:spacing w:after="0" w:line="300" w:lineRule="auto"/>
        <w:tabs>
          <w:tab w:leader="none" w:pos="983" w:val="left"/>
        </w:tabs>
        <w:numPr>
          <w:ilvl w:val="1"/>
          <w:numId w:val="88"/>
        </w:numPr>
        <w:rPr>
          <w:rFonts w:ascii="Arial" w:cs="Arial" w:eastAsia="Arial" w:hAnsi="Arial"/>
          <w:sz w:val="17"/>
          <w:szCs w:val="17"/>
          <w:color w:val="auto"/>
        </w:rPr>
      </w:pPr>
      <w:r>
        <w:rPr>
          <w:rFonts w:ascii="Arial" w:cs="Arial" w:eastAsia="Arial" w:hAnsi="Arial"/>
          <w:sz w:val="17"/>
          <w:szCs w:val="17"/>
          <w:color w:val="auto"/>
        </w:rPr>
        <w:t>entice, induce, encourage urge or solicit any employee to leave employment with Fiserv or become employed by a Competitor, Client, Prospective Client, or Vendor of Fiserv (the provisions of this Section 7(d) shall apply to any employee of Fiserv with whom you worked during any part of the 24 month period preceding the termination of your employment with Fiserv); or</w:t>
      </w:r>
    </w:p>
    <w:p>
      <w:pPr>
        <w:spacing w:after="0" w:line="157" w:lineRule="exact"/>
        <w:rPr>
          <w:rFonts w:ascii="Arial" w:cs="Arial" w:eastAsia="Arial" w:hAnsi="Arial"/>
          <w:sz w:val="17"/>
          <w:szCs w:val="17"/>
          <w:color w:val="auto"/>
        </w:rPr>
      </w:pPr>
    </w:p>
    <w:p>
      <w:pPr>
        <w:jc w:val="both"/>
        <w:ind w:left="902" w:right="460" w:hanging="384"/>
        <w:spacing w:after="0" w:line="276" w:lineRule="auto"/>
        <w:tabs>
          <w:tab w:leader="none" w:pos="983" w:val="left"/>
        </w:tabs>
        <w:numPr>
          <w:ilvl w:val="1"/>
          <w:numId w:val="88"/>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76" w:lineRule="exact"/>
        <w:rPr>
          <w:rFonts w:ascii="Arial" w:cs="Arial" w:eastAsia="Arial" w:hAnsi="Arial"/>
          <w:sz w:val="18"/>
          <w:szCs w:val="18"/>
          <w:color w:val="auto"/>
        </w:rPr>
      </w:pPr>
    </w:p>
    <w:p>
      <w:pPr>
        <w:ind w:left="202" w:hanging="202"/>
        <w:spacing w:after="0"/>
        <w:tabs>
          <w:tab w:leader="none" w:pos="20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 Regarding Restrictive Covenants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902" w:hanging="384"/>
        <w:spacing w:after="0" w:line="269" w:lineRule="auto"/>
        <w:tabs>
          <w:tab w:leader="none" w:pos="895"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No provision of sections 5 through 7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Sections 5 through 7 and are set forth in the Addendum that will be provided and/or made available to you concurrently with this Agreement</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902" w:right="20" w:hanging="384"/>
        <w:spacing w:after="0" w:line="264" w:lineRule="auto"/>
        <w:tabs>
          <w:tab w:leader="none" w:pos="930"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 acknowledge and agree that compliance with Sections 5 through 7and, if applicable, is necessary to protect Fiserv, and that a breach of any these Sections 5 through 7 will result in irreparable and continuing damage to Fiserv for which there will be no adequate remedy at law. In the event of a breach of Sections 5 through 7, or any part thereof, Fiserv and its successors and assigns,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w:t>
      </w:r>
    </w:p>
    <w:p>
      <w:pPr>
        <w:spacing w:after="0" w:line="188" w:lineRule="exact"/>
        <w:rPr>
          <w:rFonts w:ascii="Arial" w:cs="Arial" w:eastAsia="Arial" w:hAnsi="Arial"/>
          <w:sz w:val="18"/>
          <w:szCs w:val="18"/>
          <w:color w:val="auto"/>
        </w:rPr>
      </w:pPr>
    </w:p>
    <w:p>
      <w:pPr>
        <w:ind w:left="902" w:right="220" w:hanging="384"/>
        <w:spacing w:after="0" w:line="276" w:lineRule="auto"/>
        <w:tabs>
          <w:tab w:leader="none" w:pos="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76" w:lineRule="exact"/>
        <w:rPr>
          <w:rFonts w:ascii="Arial" w:cs="Arial" w:eastAsia="Arial" w:hAnsi="Arial"/>
          <w:sz w:val="18"/>
          <w:szCs w:val="18"/>
          <w:color w:val="auto"/>
        </w:rPr>
      </w:pPr>
    </w:p>
    <w:p>
      <w:pPr>
        <w:ind w:left="942" w:hanging="424"/>
        <w:spacing w:after="0"/>
        <w:tabs>
          <w:tab w:leader="none" w:pos="942"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Fiserv.</w:t>
      </w:r>
    </w:p>
    <w:p>
      <w:pPr>
        <w:spacing w:after="0" w:line="238" w:lineRule="exact"/>
        <w:rPr>
          <w:rFonts w:ascii="Arial" w:cs="Arial" w:eastAsia="Arial" w:hAnsi="Arial"/>
          <w:sz w:val="18"/>
          <w:szCs w:val="18"/>
          <w:color w:val="auto"/>
        </w:rPr>
      </w:pPr>
    </w:p>
    <w:p>
      <w:pPr>
        <w:jc w:val="both"/>
        <w:ind w:left="902" w:right="140" w:hanging="384"/>
        <w:spacing w:after="0" w:line="276" w:lineRule="auto"/>
        <w:tabs>
          <w:tab w:leader="none" w:pos="930"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 HAVE READ THIS AGREEMENT, INCLUDING SECTIONS 5 THROUGH 7, AND AGREE THAT THE CONSIDERATION PROVIDED BY THE COMPANY IS FAIR AND REASONABLE AND FURTHER AGREE THAT GIVEN THE IMPORTANCE TO THE COMPANY OF ITS CONFIDENTIAL AND PROPRIETARY INFORMATION,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2"/>
          </w:cols>
          <w:pgMar w:left="458" w:top="1417" w:right="339" w:bottom="1440" w:gutter="0" w:footer="0" w:header="0"/>
        </w:sectPr>
      </w:pPr>
    </w:p>
    <w:bookmarkStart w:id="127" w:name="page128"/>
    <w:bookmarkEnd w:id="127"/>
    <w:p>
      <w:pPr>
        <w:ind w:left="1032"/>
        <w:spacing w:after="0"/>
        <w:rPr>
          <w:sz w:val="20"/>
          <w:szCs w:val="20"/>
          <w:color w:val="auto"/>
        </w:rPr>
      </w:pPr>
      <w:r>
        <w:rPr>
          <w:rFonts w:ascii="Arial" w:cs="Arial" w:eastAsia="Arial" w:hAnsi="Arial"/>
          <w:sz w:val="17"/>
          <w:szCs w:val="17"/>
          <w:color w:val="auto"/>
        </w:rPr>
        <w:t>ON YOUR ACTIVITIES, INCLUDING THOSE THAT APPLY POST-EMPLOYMENT, ARE LIKEWISE FAIR AND REASONABLE.</w:t>
      </w:r>
    </w:p>
    <w:p>
      <w:pPr>
        <w:spacing w:after="0" w:line="250" w:lineRule="exact"/>
        <w:rPr>
          <w:sz w:val="20"/>
          <w:szCs w:val="20"/>
          <w:color w:val="auto"/>
        </w:rPr>
      </w:pPr>
    </w:p>
    <w:p>
      <w:pPr>
        <w:ind w:left="352" w:hanging="352"/>
        <w:spacing w:after="0"/>
        <w:tabs>
          <w:tab w:leader="none" w:pos="3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032" w:right="40" w:hanging="384"/>
        <w:spacing w:after="0" w:line="284" w:lineRule="auto"/>
        <w:tabs>
          <w:tab w:leader="none" w:pos="1063"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56" w:lineRule="exact"/>
        <w:rPr>
          <w:rFonts w:ascii="Arial" w:cs="Arial" w:eastAsia="Arial" w:hAnsi="Arial"/>
          <w:sz w:val="18"/>
          <w:szCs w:val="18"/>
          <w:color w:val="auto"/>
        </w:rPr>
      </w:pPr>
    </w:p>
    <w:p>
      <w:pPr>
        <w:ind w:left="1432" w:right="60" w:hanging="395"/>
        <w:spacing w:after="0" w:line="303" w:lineRule="auto"/>
        <w:tabs>
          <w:tab w:leader="none" w:pos="1419" w:val="left"/>
        </w:tabs>
        <w:numPr>
          <w:ilvl w:val="2"/>
          <w:numId w:val="90"/>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52" w:lineRule="exact"/>
        <w:rPr>
          <w:rFonts w:ascii="Arial" w:cs="Arial" w:eastAsia="Arial" w:hAnsi="Arial"/>
          <w:sz w:val="18"/>
          <w:szCs w:val="18"/>
          <w:color w:val="auto"/>
        </w:rPr>
      </w:pPr>
    </w:p>
    <w:p>
      <w:pPr>
        <w:ind w:left="1432" w:hanging="395"/>
        <w:spacing w:after="0"/>
        <w:tabs>
          <w:tab w:leader="none" w:pos="1432" w:val="left"/>
        </w:tabs>
        <w:numPr>
          <w:ilvl w:val="2"/>
          <w:numId w:val="90"/>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25" w:lineRule="exact"/>
        <w:rPr>
          <w:sz w:val="20"/>
          <w:szCs w:val="20"/>
          <w:color w:val="auto"/>
        </w:rPr>
      </w:pPr>
    </w:p>
    <w:p>
      <w:pPr>
        <w:ind w:left="652" w:right="20"/>
        <w:spacing w:after="0" w:line="303"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52" w:lineRule="exact"/>
        <w:rPr>
          <w:sz w:val="20"/>
          <w:szCs w:val="20"/>
          <w:color w:val="auto"/>
        </w:rPr>
      </w:pPr>
    </w:p>
    <w:p>
      <w:pPr>
        <w:ind w:left="1072" w:hanging="424"/>
        <w:spacing w:after="0"/>
        <w:tabs>
          <w:tab w:leader="none" w:pos="1072"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432" w:right="380" w:hanging="395"/>
        <w:spacing w:after="0" w:line="303" w:lineRule="auto"/>
        <w:tabs>
          <w:tab w:leader="none" w:pos="1453" w:val="left"/>
        </w:tabs>
        <w:numPr>
          <w:ilvl w:val="1"/>
          <w:numId w:val="91"/>
        </w:numPr>
        <w:rPr>
          <w:rFonts w:ascii="Arial" w:cs="Arial" w:eastAsia="Arial" w:hAnsi="Arial"/>
          <w:sz w:val="18"/>
          <w:szCs w:val="18"/>
          <w:color w:val="auto"/>
        </w:rPr>
      </w:pPr>
      <w:r>
        <w:rPr>
          <w:rFonts w:ascii="Arial" w:cs="Arial" w:eastAsia="Arial" w:hAnsi="Arial"/>
          <w:sz w:val="18"/>
          <w:szCs w:val="18"/>
          <w:color w:val="auto"/>
        </w:rPr>
        <w:t>For purposes of this Section 9,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52" w:lineRule="exact"/>
        <w:rPr>
          <w:rFonts w:ascii="Arial" w:cs="Arial" w:eastAsia="Arial" w:hAnsi="Arial"/>
          <w:sz w:val="18"/>
          <w:szCs w:val="18"/>
          <w:color w:val="auto"/>
        </w:rPr>
      </w:pPr>
    </w:p>
    <w:p>
      <w:pPr>
        <w:ind w:left="1812" w:right="800" w:hanging="386"/>
        <w:spacing w:after="0" w:line="287" w:lineRule="auto"/>
        <w:tabs>
          <w:tab w:leader="none" w:pos="1913" w:val="left"/>
        </w:tabs>
        <w:numPr>
          <w:ilvl w:val="2"/>
          <w:numId w:val="91"/>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66" w:lineRule="exact"/>
        <w:rPr>
          <w:rFonts w:ascii="Arial" w:cs="Arial" w:eastAsia="Arial" w:hAnsi="Arial"/>
          <w:sz w:val="18"/>
          <w:szCs w:val="18"/>
          <w:color w:val="auto"/>
        </w:rPr>
      </w:pPr>
    </w:p>
    <w:p>
      <w:pPr>
        <w:ind w:left="1812" w:right="120" w:hanging="386"/>
        <w:spacing w:after="0" w:line="303" w:lineRule="auto"/>
        <w:tabs>
          <w:tab w:leader="none" w:pos="1863" w:val="left"/>
        </w:tabs>
        <w:numPr>
          <w:ilvl w:val="2"/>
          <w:numId w:val="91"/>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38" w:lineRule="exact"/>
        <w:rPr>
          <w:rFonts w:ascii="Arial" w:cs="Arial" w:eastAsia="Arial" w:hAnsi="Arial"/>
          <w:sz w:val="18"/>
          <w:szCs w:val="18"/>
          <w:color w:val="auto"/>
        </w:rPr>
      </w:pPr>
    </w:p>
    <w:p>
      <w:pPr>
        <w:ind w:left="2212" w:hanging="398"/>
        <w:spacing w:after="0" w:line="303" w:lineRule="auto"/>
        <w:tabs>
          <w:tab w:leader="none" w:pos="2293" w:val="left"/>
        </w:tabs>
        <w:numPr>
          <w:ilvl w:val="3"/>
          <w:numId w:val="91"/>
        </w:numPr>
        <w:rPr>
          <w:rFonts w:ascii="Arial" w:cs="Arial" w:eastAsia="Arial" w:hAnsi="Arial"/>
          <w:sz w:val="18"/>
          <w:szCs w:val="18"/>
          <w:color w:val="auto"/>
        </w:rPr>
      </w:pPr>
      <w:r>
        <w:rPr>
          <w:rFonts w:ascii="Arial" w:cs="Arial" w:eastAsia="Arial" w:hAnsi="Arial"/>
          <w:sz w:val="18"/>
          <w:szCs w:val="18"/>
          <w:color w:val="auto"/>
        </w:rPr>
        <w:t>If you are employed at the Vice President level or below, you have provided at least 6 months’ advance notice of your retirement; or</w:t>
      </w:r>
    </w:p>
    <w:p>
      <w:pPr>
        <w:spacing w:after="0" w:line="138" w:lineRule="exact"/>
        <w:rPr>
          <w:rFonts w:ascii="Arial" w:cs="Arial" w:eastAsia="Arial" w:hAnsi="Arial"/>
          <w:sz w:val="18"/>
          <w:szCs w:val="18"/>
          <w:color w:val="auto"/>
        </w:rPr>
      </w:pPr>
    </w:p>
    <w:p>
      <w:pPr>
        <w:ind w:left="2212" w:right="40" w:hanging="398"/>
        <w:spacing w:after="0" w:line="303" w:lineRule="auto"/>
        <w:tabs>
          <w:tab w:leader="none" w:pos="2293" w:val="left"/>
        </w:tabs>
        <w:numPr>
          <w:ilvl w:val="3"/>
          <w:numId w:val="91"/>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52" w:lineRule="exact"/>
        <w:rPr>
          <w:sz w:val="20"/>
          <w:szCs w:val="20"/>
          <w:color w:val="auto"/>
        </w:rPr>
      </w:pPr>
    </w:p>
    <w:p>
      <w:pPr>
        <w:ind w:left="1432" w:right="240"/>
        <w:spacing w:after="0" w:line="287"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66" w:lineRule="exact"/>
        <w:rPr>
          <w:sz w:val="20"/>
          <w:szCs w:val="20"/>
          <w:color w:val="auto"/>
        </w:rPr>
      </w:pPr>
    </w:p>
    <w:p>
      <w:pPr>
        <w:ind w:left="1432" w:right="160" w:hanging="395"/>
        <w:spacing w:after="0" w:line="303" w:lineRule="auto"/>
        <w:tabs>
          <w:tab w:leader="none" w:pos="14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subject to Section 9(b)(iv) and (v), on the normal vesting dates indicated in the Award Memorandum as if you had not ceased to be an employee.</w:t>
      </w:r>
    </w:p>
    <w:p>
      <w:pPr>
        <w:spacing w:after="0" w:line="138" w:lineRule="exact"/>
        <w:rPr>
          <w:rFonts w:ascii="Arial" w:cs="Arial" w:eastAsia="Arial" w:hAnsi="Arial"/>
          <w:sz w:val="18"/>
          <w:szCs w:val="18"/>
          <w:color w:val="auto"/>
        </w:rPr>
      </w:pPr>
    </w:p>
    <w:p>
      <w:pPr>
        <w:ind w:left="1432" w:right="100" w:hanging="395"/>
        <w:spacing w:after="0" w:line="308" w:lineRule="auto"/>
        <w:tabs>
          <w:tab w:leader="none" w:pos="1483"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you are employed at the Vice President level or higher as of the date of your Retirement, in addition to the obligations set forth in Sections 5 through 7 for the period set forth therein, while any portion of this Award remains unvested and until the last vesting event of any equity award held by you at the time of Retirement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you may not:</w:t>
      </w:r>
    </w:p>
    <w:p>
      <w:pPr>
        <w:spacing w:after="0" w:line="138" w:lineRule="exact"/>
        <w:rPr>
          <w:rFonts w:ascii="Arial" w:cs="Arial" w:eastAsia="Arial" w:hAnsi="Arial"/>
          <w:sz w:val="17"/>
          <w:szCs w:val="17"/>
          <w:color w:val="auto"/>
        </w:rPr>
      </w:pPr>
    </w:p>
    <w:p>
      <w:pPr>
        <w:ind w:left="1912" w:hanging="486"/>
        <w:spacing w:after="0"/>
        <w:tabs>
          <w:tab w:leader="none" w:pos="1912" w:val="left"/>
        </w:tabs>
        <w:numPr>
          <w:ilvl w:val="1"/>
          <w:numId w:val="92"/>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1417" w:right="359" w:bottom="1440" w:gutter="0" w:footer="0" w:header="0"/>
        </w:sectPr>
      </w:pPr>
    </w:p>
    <w:bookmarkStart w:id="128" w:name="page129"/>
    <w:bookmarkEnd w:id="128"/>
    <w:p>
      <w:pPr>
        <w:ind w:left="875" w:hanging="486"/>
        <w:spacing w:after="0"/>
        <w:tabs>
          <w:tab w:leader="none" w:pos="875" w:val="left"/>
        </w:tabs>
        <w:numPr>
          <w:ilvl w:val="2"/>
          <w:numId w:val="93"/>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(v) below; or</w:t>
      </w:r>
    </w:p>
    <w:p>
      <w:pPr>
        <w:spacing w:after="0" w:line="238" w:lineRule="exact"/>
        <w:rPr>
          <w:rFonts w:ascii="Arial" w:cs="Arial" w:eastAsia="Arial" w:hAnsi="Arial"/>
          <w:sz w:val="18"/>
          <w:szCs w:val="18"/>
          <w:color w:val="auto"/>
        </w:rPr>
      </w:pPr>
    </w:p>
    <w:p>
      <w:pPr>
        <w:ind w:left="775" w:right="680" w:hanging="386"/>
        <w:spacing w:after="0" w:line="287" w:lineRule="auto"/>
        <w:tabs>
          <w:tab w:leader="none" w:pos="886" w:val="left"/>
        </w:tabs>
        <w:numPr>
          <w:ilvl w:val="2"/>
          <w:numId w:val="93"/>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(A)-(C)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395" w:right="180" w:hanging="395"/>
        <w:spacing w:after="0" w:line="303" w:lineRule="auto"/>
        <w:tabs>
          <w:tab w:leader="none" w:pos="4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Sections 5 through 7 as applicable, if a Post-Retirement Violation occurs and if the Post-Retirement Violation was of the nature described in 9(b)(iii)(A) or (C) above:</w:t>
      </w:r>
    </w:p>
    <w:p>
      <w:pPr>
        <w:spacing w:after="0" w:line="138" w:lineRule="exact"/>
        <w:rPr>
          <w:rFonts w:ascii="Arial" w:cs="Arial" w:eastAsia="Arial" w:hAnsi="Arial"/>
          <w:sz w:val="18"/>
          <w:szCs w:val="18"/>
          <w:color w:val="auto"/>
        </w:rPr>
      </w:pPr>
    </w:p>
    <w:p>
      <w:pPr>
        <w:ind w:left="875" w:hanging="486"/>
        <w:spacing w:after="0"/>
        <w:tabs>
          <w:tab w:leader="none" w:pos="875" w:val="left"/>
        </w:tabs>
        <w:numPr>
          <w:ilvl w:val="2"/>
          <w:numId w:val="94"/>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38" w:lineRule="exact"/>
        <w:rPr>
          <w:rFonts w:ascii="Arial" w:cs="Arial" w:eastAsia="Arial" w:hAnsi="Arial"/>
          <w:sz w:val="18"/>
          <w:szCs w:val="18"/>
          <w:color w:val="auto"/>
        </w:rPr>
      </w:pPr>
    </w:p>
    <w:p>
      <w:pPr>
        <w:ind w:left="775" w:right="380" w:hanging="386"/>
        <w:spacing w:after="0" w:line="303" w:lineRule="auto"/>
        <w:tabs>
          <w:tab w:leader="none" w:pos="876"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8, including recoupment of Shares, shall apply if the Post-Retirement Violation occurred during the first 12 months following Retirement; and</w:t>
      </w:r>
    </w:p>
    <w:p>
      <w:pPr>
        <w:spacing w:after="0" w:line="138" w:lineRule="exact"/>
        <w:rPr>
          <w:rFonts w:ascii="Arial" w:cs="Arial" w:eastAsia="Arial" w:hAnsi="Arial"/>
          <w:sz w:val="18"/>
          <w:szCs w:val="18"/>
          <w:color w:val="auto"/>
        </w:rPr>
      </w:pPr>
    </w:p>
    <w:p>
      <w:pPr>
        <w:ind w:left="775" w:right="60" w:hanging="386"/>
        <w:spacing w:after="0" w:line="303" w:lineRule="auto"/>
        <w:tabs>
          <w:tab w:leader="none" w:pos="836"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 Retirement Violation occurred after the one-year anniversary of your Retirement.</w:t>
      </w:r>
    </w:p>
    <w:p>
      <w:pPr>
        <w:spacing w:after="0" w:line="152" w:lineRule="exact"/>
        <w:rPr>
          <w:rFonts w:ascii="Arial" w:cs="Arial" w:eastAsia="Arial" w:hAnsi="Arial"/>
          <w:sz w:val="18"/>
          <w:szCs w:val="18"/>
          <w:color w:val="auto"/>
        </w:rPr>
      </w:pPr>
    </w:p>
    <w:p>
      <w:pPr>
        <w:ind w:left="395" w:hanging="395"/>
        <w:spacing w:after="0" w:line="286" w:lineRule="auto"/>
        <w:tabs>
          <w:tab w:leader="none" w:pos="416" w:val="left"/>
        </w:tabs>
        <w:numPr>
          <w:ilvl w:val="0"/>
          <w:numId w:val="94"/>
        </w:numPr>
        <w:rPr>
          <w:rFonts w:ascii="Arial" w:cs="Arial" w:eastAsia="Arial" w:hAnsi="Arial"/>
          <w:sz w:val="17"/>
          <w:szCs w:val="17"/>
          <w:color w:val="auto"/>
        </w:rPr>
      </w:pPr>
      <w:r>
        <w:rPr>
          <w:rFonts w:ascii="Arial" w:cs="Arial" w:eastAsia="Arial" w:hAnsi="Arial"/>
          <w:sz w:val="17"/>
          <w:szCs w:val="17"/>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the those which you had while employed by Fiserv, then vesting of any unvested portion of the Award shall immediately cease.</w:t>
      </w:r>
    </w:p>
    <w:p>
      <w:pPr>
        <w:spacing w:after="0" w:line="171" w:lineRule="exact"/>
        <w:rPr>
          <w:rFonts w:ascii="Arial" w:cs="Arial" w:eastAsia="Arial" w:hAnsi="Arial"/>
          <w:sz w:val="17"/>
          <w:szCs w:val="17"/>
          <w:color w:val="auto"/>
        </w:rPr>
      </w:pPr>
    </w:p>
    <w:p>
      <w:pPr>
        <w:ind w:left="395" w:right="20" w:hanging="395"/>
        <w:spacing w:after="0" w:line="276" w:lineRule="auto"/>
        <w:tabs>
          <w:tab w:leader="none" w:pos="4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76" w:lineRule="exact"/>
        <w:rPr>
          <w:rFonts w:ascii="Arial" w:cs="Arial" w:eastAsia="Arial" w:hAnsi="Arial"/>
          <w:sz w:val="18"/>
          <w:szCs w:val="18"/>
          <w:color w:val="auto"/>
        </w:rPr>
      </w:pPr>
    </w:p>
    <w:p>
      <w:pPr>
        <w:ind w:left="395" w:right="1100" w:hanging="395"/>
        <w:spacing w:after="0" w:line="287" w:lineRule="auto"/>
        <w:tabs>
          <w:tab w:leader="none" w:pos="4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66" w:lineRule="exact"/>
        <w:rPr>
          <w:rFonts w:ascii="Arial" w:cs="Arial" w:eastAsia="Arial" w:hAnsi="Arial"/>
          <w:sz w:val="18"/>
          <w:szCs w:val="18"/>
          <w:color w:val="auto"/>
        </w:rPr>
      </w:pPr>
    </w:p>
    <w:p>
      <w:pPr>
        <w:ind w:left="395" w:right="40" w:hanging="395"/>
        <w:spacing w:after="0" w:line="303" w:lineRule="auto"/>
        <w:tabs>
          <w:tab w:leader="none" w:pos="5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38" w:lineRule="exact"/>
        <w:rPr>
          <w:rFonts w:ascii="Arial" w:cs="Arial" w:eastAsia="Arial" w:hAnsi="Arial"/>
          <w:sz w:val="18"/>
          <w:szCs w:val="18"/>
          <w:color w:val="auto"/>
        </w:rPr>
      </w:pPr>
    </w:p>
    <w:p>
      <w:pPr>
        <w:ind w:left="395" w:right="20" w:hanging="395"/>
        <w:spacing w:after="0" w:line="272" w:lineRule="auto"/>
        <w:tabs>
          <w:tab w:leader="none" w:pos="50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No provision of Section 9(b) will apply to limit or restrict your conduct under this Agreement after your employment, nor will be deemed a Post-Retirement Violation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Section 9(b) are set forth in the Addendum that will be provided and/or made available to you concurrently with this Agreement</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both"/>
        <w:ind w:left="395" w:right="320" w:hanging="379"/>
        <w:spacing w:after="0" w:line="284" w:lineRule="auto"/>
        <w:tabs>
          <w:tab w:leader="none" w:pos="429" w:val="left"/>
        </w:tabs>
        <w:numPr>
          <w:ilvl w:val="1"/>
          <w:numId w:val="94"/>
        </w:numPr>
        <w:rPr>
          <w:rFonts w:ascii="Arial" w:cs="Arial" w:eastAsia="Arial" w:hAnsi="Arial"/>
          <w:sz w:val="18"/>
          <w:szCs w:val="18"/>
          <w:color w:val="auto"/>
        </w:rPr>
      </w:pPr>
      <w:r>
        <w:rPr>
          <w:rFonts w:ascii="Arial" w:cs="Arial" w:eastAsia="Arial" w:hAnsi="Arial"/>
          <w:sz w:val="18"/>
          <w:szCs w:val="18"/>
          <w:color w:val="auto"/>
        </w:rPr>
        <w:t>YOU ACKNOWLEDGE THAT YOU HAVE READ THIS AGREEMENT, INCLUDING THIS SECTION 9(b), AND AGREE THAT THE CONSIDERATION PROVIDED BY THE COMPANY IS FAIR AND REASONABLE AND FURTHER AGREE THAT GIVEN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75"/>
          </w:cols>
          <w:pgMar w:left="1365" w:top="1417" w:right="359" w:bottom="1440" w:gutter="0" w:footer="0" w:header="0"/>
        </w:sectPr>
      </w:pPr>
    </w:p>
    <w:bookmarkStart w:id="129" w:name="page130"/>
    <w:bookmarkEnd w:id="129"/>
    <w:p>
      <w:pPr>
        <w:ind w:left="1302" w:right="100"/>
        <w:spacing w:after="0" w:line="276" w:lineRule="auto"/>
        <w:rPr>
          <w:sz w:val="20"/>
          <w:szCs w:val="20"/>
          <w:color w:val="auto"/>
        </w:rPr>
      </w:pPr>
      <w:r>
        <w:rPr>
          <w:rFonts w:ascii="Arial" w:cs="Arial" w:eastAsia="Arial" w:hAnsi="Arial"/>
          <w:sz w:val="18"/>
          <w:szCs w:val="18"/>
          <w:color w:val="auto"/>
        </w:rPr>
        <w:t>IMPORTANCE TO THE COMPANY OF ITS CONDFIDENTIAL AND PROPRIETARY INFORMATION THE RESTRICTIONS ON YOUR ACTIVITIES, INCLUDING THOSE THAT APPLY POST-RETIREMENT, ARE LIKEWISE FAIR AND REASONABLE.</w:t>
      </w:r>
    </w:p>
    <w:p>
      <w:pPr>
        <w:spacing w:after="0" w:line="177" w:lineRule="exact"/>
        <w:rPr>
          <w:sz w:val="20"/>
          <w:szCs w:val="20"/>
          <w:color w:val="auto"/>
        </w:rPr>
      </w:pPr>
    </w:p>
    <w:p>
      <w:pPr>
        <w:ind w:left="902" w:hanging="384"/>
        <w:spacing w:after="0" w:line="267" w:lineRule="auto"/>
        <w:tabs>
          <w:tab w:leader="none" w:pos="923"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If a Change of Control of the Company occurs, the provisions of Section 18(c) of the Plan shall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Sections 5 through 7 and 9(b)(iii) and (v) shall immediately cease to apply.</w:t>
      </w:r>
    </w:p>
    <w:p>
      <w:pPr>
        <w:spacing w:after="0" w:line="184" w:lineRule="exact"/>
        <w:rPr>
          <w:sz w:val="20"/>
          <w:szCs w:val="20"/>
          <w:color w:val="auto"/>
        </w:rPr>
      </w:pPr>
    </w:p>
    <w:p>
      <w:pPr>
        <w:ind w:left="902" w:right="8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(i) significant or material lessening of your responsibilities; (ii)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(iii)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84" w:lineRule="exact"/>
        <w:rPr>
          <w:sz w:val="20"/>
          <w:szCs w:val="20"/>
          <w:color w:val="auto"/>
        </w:rPr>
      </w:pPr>
    </w:p>
    <w:p>
      <w:pPr>
        <w:ind w:left="902" w:right="20"/>
        <w:spacing w:after="0" w:line="267" w:lineRule="auto"/>
        <w:rPr>
          <w:sz w:val="20"/>
          <w:szCs w:val="20"/>
          <w:color w:val="auto"/>
        </w:rPr>
      </w:pPr>
      <w:r>
        <w:rPr>
          <w:rFonts w:ascii="Arial" w:cs="Arial" w:eastAsia="Arial" w:hAnsi="Arial"/>
          <w:sz w:val="18"/>
          <w:szCs w:val="18"/>
          <w:color w:val="auto"/>
        </w:rPr>
        <w:t>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86" w:lineRule="exact"/>
        <w:rPr>
          <w:sz w:val="20"/>
          <w:szCs w:val="20"/>
          <w:color w:val="auto"/>
        </w:rPr>
      </w:pPr>
    </w:p>
    <w:p>
      <w:pPr>
        <w:ind w:left="902" w:right="20" w:hanging="384"/>
        <w:spacing w:after="0" w:line="276" w:lineRule="auto"/>
        <w:tabs>
          <w:tab w:leader="none" w:pos="933" w:val="left"/>
        </w:tabs>
        <w:numPr>
          <w:ilvl w:val="1"/>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an employee of Fiserv,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76" w:lineRule="exact"/>
        <w:rPr>
          <w:rFonts w:ascii="Arial" w:cs="Arial" w:eastAsia="Arial" w:hAnsi="Arial"/>
          <w:sz w:val="18"/>
          <w:szCs w:val="18"/>
          <w:color w:val="auto"/>
        </w:rPr>
      </w:pPr>
    </w:p>
    <w:p>
      <w:pPr>
        <w:ind w:left="902" w:right="160" w:hanging="384"/>
        <w:spacing w:after="0" w:line="303" w:lineRule="auto"/>
        <w:tabs>
          <w:tab w:leader="none" w:pos="933" w:val="left"/>
        </w:tabs>
        <w:numPr>
          <w:ilvl w:val="1"/>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38" w:lineRule="exact"/>
        <w:rPr>
          <w:rFonts w:ascii="Arial" w:cs="Arial" w:eastAsia="Arial" w:hAnsi="Arial"/>
          <w:sz w:val="18"/>
          <w:szCs w:val="18"/>
          <w:color w:val="auto"/>
        </w:rPr>
      </w:pPr>
    </w:p>
    <w:p>
      <w:pPr>
        <w:ind w:left="902" w:right="680" w:hanging="384"/>
        <w:spacing w:after="0" w:line="303" w:lineRule="auto"/>
        <w:tabs>
          <w:tab w:leader="none" w:pos="883" w:val="left"/>
        </w:tabs>
        <w:numPr>
          <w:ilvl w:val="1"/>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9 are subject to (and may be amended by) the terms of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entered into between you and the Company or any of its Subsidiaries.</w:t>
      </w:r>
    </w:p>
    <w:p>
      <w:pPr>
        <w:spacing w:after="0" w:line="152" w:lineRule="exact"/>
        <w:rPr>
          <w:rFonts w:ascii="Arial" w:cs="Arial" w:eastAsia="Arial" w:hAnsi="Arial"/>
          <w:sz w:val="18"/>
          <w:szCs w:val="18"/>
          <w:color w:val="auto"/>
        </w:rPr>
      </w:pPr>
    </w:p>
    <w:p>
      <w:pPr>
        <w:ind w:left="382" w:right="220" w:hanging="382"/>
        <w:spacing w:after="0" w:line="276" w:lineRule="auto"/>
        <w:tabs>
          <w:tab w:leader="none" w:pos="494"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76" w:lineRule="exact"/>
        <w:rPr>
          <w:rFonts w:ascii="Arial" w:cs="Arial" w:eastAsia="Arial" w:hAnsi="Arial"/>
          <w:sz w:val="18"/>
          <w:szCs w:val="18"/>
          <w:color w:val="auto"/>
        </w:rPr>
      </w:pPr>
    </w:p>
    <w:p>
      <w:pPr>
        <w:ind w:left="382" w:right="60" w:hanging="382"/>
        <w:spacing w:after="0" w:line="267" w:lineRule="auto"/>
        <w:tabs>
          <w:tab w:leader="none" w:pos="48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2"/>
          </w:cols>
          <w:pgMar w:left="458" w:top="1417" w:right="339" w:bottom="1440" w:gutter="0" w:footer="0" w:header="0"/>
        </w:sectPr>
      </w:pPr>
    </w:p>
    <w:bookmarkStart w:id="130" w:name="page131"/>
    <w:bookmarkEnd w:id="130"/>
    <w:p>
      <w:pPr>
        <w:ind w:left="382" w:right="40"/>
        <w:spacing w:after="0" w:line="264" w:lineRule="auto"/>
        <w:rPr>
          <w:sz w:val="20"/>
          <w:szCs w:val="20"/>
          <w:color w:val="auto"/>
        </w:rPr>
      </w:pPr>
      <w:r>
        <w:rPr>
          <w:rFonts w:ascii="Arial" w:cs="Arial" w:eastAsia="Arial" w:hAnsi="Arial"/>
          <w:sz w:val="18"/>
          <w:szCs w:val="18"/>
          <w:color w:val="auto"/>
        </w:rPr>
        <w:t>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(i) the Plan and any agreement between you and the Company with respect to this Award or the Shares, (ii) any applicable federal or state laws and (iii)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92" w:lineRule="exact"/>
        <w:rPr>
          <w:sz w:val="20"/>
          <w:szCs w:val="20"/>
          <w:color w:val="auto"/>
        </w:rPr>
      </w:pPr>
    </w:p>
    <w:p>
      <w:pPr>
        <w:ind w:left="382" w:hanging="382"/>
        <w:spacing w:after="0" w:line="267" w:lineRule="auto"/>
        <w:tabs>
          <w:tab w:leader="none" w:pos="494"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83" w:lineRule="exact"/>
        <w:rPr>
          <w:rFonts w:ascii="Arial" w:cs="Arial" w:eastAsia="Arial" w:hAnsi="Arial"/>
          <w:sz w:val="18"/>
          <w:szCs w:val="18"/>
          <w:color w:val="auto"/>
        </w:rPr>
      </w:pPr>
    </w:p>
    <w:p>
      <w:pPr>
        <w:ind w:left="382" w:right="20" w:hanging="382"/>
        <w:spacing w:after="0" w:line="263" w:lineRule="auto"/>
        <w:tabs>
          <w:tab w:leader="none" w:pos="494"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to you hereunder may be either previously authorized but unissued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or 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80" w:lineRule="exact"/>
        <w:rPr>
          <w:rFonts w:ascii="Arial" w:cs="Arial" w:eastAsia="Arial" w:hAnsi="Arial"/>
          <w:sz w:val="18"/>
          <w:szCs w:val="18"/>
          <w:color w:val="auto"/>
        </w:rPr>
      </w:pPr>
    </w:p>
    <w:p>
      <w:pPr>
        <w:ind w:left="382" w:right="60" w:hanging="382"/>
        <w:spacing w:after="0" w:line="266" w:lineRule="auto"/>
        <w:tabs>
          <w:tab w:leader="none" w:pos="494"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14, the right to receive dividends or any other distributions paid with respect to shares of Company common stock by virtue of this Award or the Shares subject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2"/>
          </w:cols>
          <w:pgMar w:left="458" w:top="1417" w:right="339" w:bottom="1440" w:gutter="0" w:footer="0" w:header="0"/>
        </w:sectPr>
      </w:pPr>
    </w:p>
    <w:bookmarkStart w:id="131" w:name="page132"/>
    <w:bookmarkEnd w:id="131"/>
    <w:p>
      <w:pPr>
        <w:ind w:left="512" w:right="40" w:hanging="382"/>
        <w:spacing w:after="0" w:line="273" w:lineRule="auto"/>
        <w:tabs>
          <w:tab w:leader="none" w:pos="623"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w:t>
      </w:r>
    </w:p>
    <w:p>
      <w:pPr>
        <w:spacing w:after="0" w:line="178" w:lineRule="exact"/>
        <w:rPr>
          <w:rFonts w:ascii="Arial" w:cs="Arial" w:eastAsia="Arial" w:hAnsi="Arial"/>
          <w:sz w:val="18"/>
          <w:szCs w:val="18"/>
          <w:color w:val="auto"/>
        </w:rPr>
      </w:pPr>
    </w:p>
    <w:p>
      <w:pPr>
        <w:ind w:left="512" w:right="20" w:hanging="382"/>
        <w:spacing w:after="0" w:line="273" w:lineRule="auto"/>
        <w:tabs>
          <w:tab w:leader="none" w:pos="623"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Captions provided herein are for convenience only and are not to serve as a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65" w:lineRule="exact"/>
        <w:rPr>
          <w:rFonts w:ascii="Arial" w:cs="Arial" w:eastAsia="Arial" w:hAnsi="Arial"/>
          <w:sz w:val="18"/>
          <w:szCs w:val="18"/>
          <w:color w:val="auto"/>
        </w:rPr>
      </w:pPr>
    </w:p>
    <w:p>
      <w:pPr>
        <w:ind w:left="632" w:hanging="502"/>
        <w:spacing w:after="0"/>
        <w:tabs>
          <w:tab w:leader="none" w:pos="632"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032" w:right="100" w:hanging="384"/>
        <w:spacing w:after="0" w:line="271" w:lineRule="auto"/>
        <w:tabs>
          <w:tab w:leader="none" w:pos="10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7" w:lineRule="exact"/>
        <w:rPr>
          <w:rFonts w:ascii="Arial" w:cs="Arial" w:eastAsia="Arial" w:hAnsi="Arial"/>
          <w:sz w:val="18"/>
          <w:szCs w:val="18"/>
          <w:color w:val="auto"/>
        </w:rPr>
      </w:pPr>
    </w:p>
    <w:p>
      <w:pPr>
        <w:ind w:left="1032" w:hanging="384"/>
        <w:spacing w:after="0" w:line="263" w:lineRule="auto"/>
        <w:tabs>
          <w:tab w:leader="none" w:pos="10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96" w:lineRule="exact"/>
        <w:rPr>
          <w:rFonts w:ascii="Arial" w:cs="Arial" w:eastAsia="Arial" w:hAnsi="Arial"/>
          <w:sz w:val="18"/>
          <w:szCs w:val="18"/>
          <w:color w:val="auto"/>
        </w:rPr>
      </w:pPr>
    </w:p>
    <w:p>
      <w:pPr>
        <w:ind w:left="332" w:right="100" w:hanging="332"/>
        <w:spacing w:after="0" w:line="264" w:lineRule="auto"/>
        <w:tabs>
          <w:tab w:leader="none" w:pos="508"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417" w:right="359" w:bottom="1440" w:gutter="0" w:footer="0" w:header="0"/>
        </w:sectPr>
      </w:pPr>
    </w:p>
    <w:bookmarkStart w:id="132" w:name="page133"/>
    <w:bookmarkEnd w:id="132"/>
    <w:p>
      <w:pPr>
        <w:ind w:left="492" w:hanging="492"/>
        <w:spacing w:after="0"/>
        <w:tabs>
          <w:tab w:leader="none" w:pos="49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1032" w:hanging="334"/>
        <w:spacing w:after="0" w:line="276" w:lineRule="auto"/>
        <w:tabs>
          <w:tab w:leader="none" w:pos="111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76" w:lineRule="exact"/>
        <w:rPr>
          <w:rFonts w:ascii="Arial" w:cs="Arial" w:eastAsia="Arial" w:hAnsi="Arial"/>
          <w:sz w:val="18"/>
          <w:szCs w:val="18"/>
          <w:color w:val="auto"/>
        </w:rPr>
      </w:pPr>
    </w:p>
    <w:p>
      <w:pPr>
        <w:ind w:left="1032" w:hanging="384"/>
        <w:spacing w:after="0" w:line="276" w:lineRule="auto"/>
        <w:tabs>
          <w:tab w:leader="none" w:pos="10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76" w:lineRule="exact"/>
        <w:rPr>
          <w:rFonts w:ascii="Arial" w:cs="Arial" w:eastAsia="Arial" w:hAnsi="Arial"/>
          <w:sz w:val="18"/>
          <w:szCs w:val="18"/>
          <w:color w:val="auto"/>
        </w:rPr>
      </w:pPr>
    </w:p>
    <w:p>
      <w:pPr>
        <w:ind w:left="1032" w:right="120" w:hanging="384"/>
        <w:spacing w:after="0" w:line="287" w:lineRule="auto"/>
        <w:tabs>
          <w:tab w:leader="none" w:pos="105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66" w:lineRule="exact"/>
        <w:rPr>
          <w:rFonts w:ascii="Arial" w:cs="Arial" w:eastAsia="Arial" w:hAnsi="Arial"/>
          <w:sz w:val="18"/>
          <w:szCs w:val="18"/>
          <w:color w:val="auto"/>
        </w:rPr>
      </w:pPr>
    </w:p>
    <w:p>
      <w:pPr>
        <w:ind w:left="1032" w:right="200" w:hanging="384"/>
        <w:spacing w:after="0" w:line="276" w:lineRule="auto"/>
        <w:tabs>
          <w:tab w:leader="none" w:pos="10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76" w:lineRule="exact"/>
        <w:rPr>
          <w:rFonts w:ascii="Arial" w:cs="Arial" w:eastAsia="Arial" w:hAnsi="Arial"/>
          <w:sz w:val="18"/>
          <w:szCs w:val="18"/>
          <w:color w:val="auto"/>
        </w:rPr>
      </w:pPr>
    </w:p>
    <w:p>
      <w:pPr>
        <w:ind w:left="1032" w:right="340" w:hanging="384"/>
        <w:spacing w:after="0" w:line="303" w:lineRule="auto"/>
        <w:tabs>
          <w:tab w:leader="none" w:pos="10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38" w:lineRule="exact"/>
        <w:rPr>
          <w:rFonts w:ascii="Arial" w:cs="Arial" w:eastAsia="Arial" w:hAnsi="Arial"/>
          <w:sz w:val="18"/>
          <w:szCs w:val="18"/>
          <w:color w:val="auto"/>
        </w:rPr>
      </w:pPr>
    </w:p>
    <w:p>
      <w:pPr>
        <w:ind w:left="1032" w:right="80" w:hanging="384"/>
        <w:spacing w:after="0" w:line="271" w:lineRule="auto"/>
        <w:tabs>
          <w:tab w:leader="none" w:pos="101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its conflict of law provisions, except that Sections 5 through 7 and 9(b)(iii), and 9(b)(v)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spacing w:after="0" w:line="167" w:lineRule="exact"/>
        <w:rPr>
          <w:rFonts w:ascii="Arial" w:cs="Arial" w:eastAsia="Arial" w:hAnsi="Arial"/>
          <w:sz w:val="18"/>
          <w:szCs w:val="18"/>
          <w:color w:val="auto"/>
        </w:rPr>
      </w:pPr>
    </w:p>
    <w:p>
      <w:pPr>
        <w:ind w:left="1032" w:right="20" w:hanging="384"/>
        <w:spacing w:after="0" w:line="284" w:lineRule="auto"/>
        <w:tabs>
          <w:tab w:leader="none" w:pos="10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56" w:lineRule="exact"/>
        <w:rPr>
          <w:rFonts w:ascii="Arial" w:cs="Arial" w:eastAsia="Arial" w:hAnsi="Arial"/>
          <w:sz w:val="18"/>
          <w:szCs w:val="18"/>
          <w:color w:val="auto"/>
        </w:rPr>
      </w:pPr>
    </w:p>
    <w:p>
      <w:pPr>
        <w:jc w:val="both"/>
        <w:ind w:left="1032" w:right="160" w:hanging="384"/>
        <w:spacing w:after="0" w:line="284" w:lineRule="auto"/>
        <w:tabs>
          <w:tab w:leader="none" w:pos="10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56" w:lineRule="exact"/>
        <w:rPr>
          <w:rFonts w:ascii="Arial" w:cs="Arial" w:eastAsia="Arial" w:hAnsi="Arial"/>
          <w:sz w:val="18"/>
          <w:szCs w:val="18"/>
          <w:color w:val="auto"/>
        </w:rPr>
      </w:pPr>
    </w:p>
    <w:p>
      <w:pPr>
        <w:ind w:left="1032" w:right="340" w:hanging="384"/>
        <w:spacing w:after="0" w:line="303" w:lineRule="auto"/>
        <w:tabs>
          <w:tab w:leader="none" w:pos="10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52" w:lineRule="exact"/>
        <w:rPr>
          <w:rFonts w:ascii="Arial" w:cs="Arial" w:eastAsia="Arial" w:hAnsi="Arial"/>
          <w:sz w:val="18"/>
          <w:szCs w:val="18"/>
          <w:color w:val="auto"/>
        </w:rPr>
      </w:pPr>
    </w:p>
    <w:p>
      <w:pPr>
        <w:ind w:left="1032" w:right="100" w:hanging="384"/>
        <w:spacing w:after="0" w:line="267" w:lineRule="auto"/>
        <w:tabs>
          <w:tab w:leader="none" w:pos="10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consideration of, among other things, your continued employment with the Company or a subsidiary of the Company, you acknowledge and agree that you are and will continue to be subject to the Fiserv, Inc. Compensation Recoupment Policy (“Policy”) and that the Policy will apply both during and after the termination of your employment with the Company or any subsidiary of the Company. You can access this Policy as currently in effect by visiting https://investors.fiserv.com/corporate-governance/governance-documents. Further, by signing below, you agree to abide by the terms of the Policy, including, without limitation, by returning any Excess Compensation (as defined in the Policy) to the Company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32"/>
          </w:cols>
          <w:pgMar w:left="328" w:top="1417" w:right="339" w:bottom="1440" w:gutter="0" w:footer="0" w:header="0"/>
        </w:sectPr>
      </w:pPr>
    </w:p>
    <w:bookmarkStart w:id="133" w:name="page134"/>
    <w:bookmarkEnd w:id="133"/>
    <w:p>
      <w:pPr>
        <w:ind w:left="900" w:right="40"/>
        <w:spacing w:after="0" w:line="276" w:lineRule="auto"/>
        <w:rPr>
          <w:sz w:val="20"/>
          <w:szCs w:val="20"/>
          <w:color w:val="auto"/>
        </w:rPr>
      </w:pPr>
      <w:r>
        <w:rPr>
          <w:rFonts w:ascii="Arial" w:cs="Arial" w:eastAsia="Arial" w:hAnsi="Arial"/>
          <w:sz w:val="18"/>
          <w:szCs w:val="18"/>
          <w:color w:val="auto"/>
        </w:rPr>
        <w:t>required by, and in a manner consistent with, the Policy, regardless of the terms of, and whether or not consistent with, any other agreement, plan, policy or similar document to which the undersigned is a party or participant or to which the undersigned is subject</w:t>
      </w:r>
    </w:p>
    <w:p>
      <w:pPr>
        <w:spacing w:after="0" w:line="177" w:lineRule="exact"/>
        <w:rPr>
          <w:sz w:val="20"/>
          <w:szCs w:val="20"/>
          <w:color w:val="auto"/>
        </w:rPr>
      </w:pPr>
    </w:p>
    <w:p>
      <w:pPr>
        <w:ind w:right="80"/>
        <w:spacing w:after="0" w:line="312"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the Plan, and Policy.</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Your acceptance of the terms of this Agreement, the Award Memorandum, the Plan, the Addendum, and the Policy through our administrative agent’s website is a condition to your receipt of Shares. You must log on to our administrative agent’s website and accept the terms and conditions of this Agreement, the Award Memorandum, the Plan, and the Policy within 120 calendar days of your Award Grant Date. If you do not accept the terms and conditions of this Agreement, the Award Memorandum, the Plan, and the Policy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460" w:top="1417" w:right="37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600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6000" w:type="dxa"/>
            <w:vAlign w:val="bottom"/>
            <w:gridSpan w:val="3"/>
          </w:tcPr>
          <w:p>
            <w:pPr>
              <w:jc w:val="center"/>
              <w:ind w:right="400"/>
              <w:spacing w:after="0"/>
              <w:rPr>
                <w:sz w:val="20"/>
                <w:szCs w:val="20"/>
                <w:color w:val="auto"/>
              </w:rPr>
            </w:pPr>
            <w:r>
              <w:rPr>
                <w:rFonts w:ascii="Arial" w:cs="Arial" w:eastAsia="Arial" w:hAnsi="Arial"/>
                <w:sz w:val="20"/>
                <w:szCs w:val="20"/>
                <w:b w:val="1"/>
                <w:bCs w:val="1"/>
                <w:color w:val="auto"/>
                <w:w w:val="98"/>
              </w:rPr>
              <w:t>PERFORMANCE SHARE UNIT AWARD MEMORANDUM –</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6000" w:type="dxa"/>
            <w:vAlign w:val="bottom"/>
            <w:gridSpan w:val="3"/>
          </w:tcPr>
          <w:p>
            <w:pPr>
              <w:jc w:val="center"/>
              <w:ind w:right="440"/>
              <w:spacing w:after="0" w:line="212"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rPr>
              <w:t>[FIRST NAME] [LAST NAME]</w:t>
            </w:r>
          </w:p>
        </w:tc>
        <w:tc>
          <w:tcPr>
            <w:tcW w:w="0" w:type="dxa"/>
            <w:vAlign w:val="bottom"/>
          </w:tcPr>
          <w:p>
            <w:pPr>
              <w:spacing w:after="0"/>
              <w:rPr>
                <w:sz w:val="1"/>
                <w:szCs w:val="1"/>
                <w:color w:val="auto"/>
              </w:rPr>
            </w:pPr>
          </w:p>
        </w:tc>
      </w:tr>
      <w:tr>
        <w:trPr>
          <w:trHeight w:val="105"/>
        </w:trPr>
        <w:tc>
          <w:tcPr>
            <w:tcW w:w="27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1"/>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104"/>
        </w:trPr>
        <w:tc>
          <w:tcPr>
            <w:tcW w:w="27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1"/>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Target Units:</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w w:val="97"/>
              </w:rPr>
              <w:t>[NUMBER OF SHARES AT TARGET]</w:t>
            </w:r>
          </w:p>
        </w:tc>
        <w:tc>
          <w:tcPr>
            <w:tcW w:w="0" w:type="dxa"/>
            <w:vAlign w:val="bottom"/>
          </w:tcPr>
          <w:p>
            <w:pPr>
              <w:spacing w:after="0"/>
              <w:rPr>
                <w:sz w:val="1"/>
                <w:szCs w:val="1"/>
                <w:color w:val="auto"/>
              </w:rPr>
            </w:pPr>
          </w:p>
        </w:tc>
      </w:tr>
      <w:tr>
        <w:trPr>
          <w:trHeight w:val="105"/>
        </w:trPr>
        <w:tc>
          <w:tcPr>
            <w:tcW w:w="27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8"/>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3-Year Performance Period:</w:t>
            </w:r>
          </w:p>
        </w:tc>
        <w:tc>
          <w:tcPr>
            <w:tcW w:w="4140" w:type="dxa"/>
            <w:vAlign w:val="bottom"/>
            <w:gridSpan w:val="2"/>
          </w:tcPr>
          <w:p>
            <w:pPr>
              <w:ind w:left="2700"/>
              <w:spacing w:after="0"/>
              <w:rPr>
                <w:sz w:val="20"/>
                <w:szCs w:val="20"/>
                <w:color w:val="auto"/>
              </w:rPr>
            </w:pPr>
            <w:r>
              <w:rPr>
                <w:rFonts w:ascii="Arial" w:cs="Arial" w:eastAsia="Arial" w:hAnsi="Arial"/>
                <w:sz w:val="20"/>
                <w:szCs w:val="20"/>
                <w:i w:val="1"/>
                <w:iCs w:val="1"/>
                <w:color w:val="auto"/>
              </w:rPr>
              <w:t>2025-2027</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7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Formula:</w:t>
      </w:r>
    </w:p>
    <w:p>
      <w:pPr>
        <w:spacing w:after="0" w:line="245" w:lineRule="exact"/>
        <w:rPr>
          <w:sz w:val="20"/>
          <w:szCs w:val="20"/>
          <w:color w:val="auto"/>
        </w:rPr>
      </w:pPr>
    </w:p>
    <w:p>
      <w:pPr>
        <w:jc w:val="both"/>
        <w:ind w:right="40"/>
        <w:spacing w:after="0" w:line="269" w:lineRule="auto"/>
        <w:rPr>
          <w:sz w:val="20"/>
          <w:szCs w:val="20"/>
          <w:color w:val="auto"/>
        </w:rPr>
      </w:pPr>
      <w:r>
        <w:rPr>
          <w:rFonts w:ascii="Arial" w:cs="Arial" w:eastAsia="Arial" w:hAnsi="Arial"/>
          <w:sz w:val="20"/>
          <w:szCs w:val="20"/>
          <w:color w:val="auto"/>
        </w:rPr>
        <w:t>The number of Target Units earned at the end of the 3-Year Performance Period will be determined based on (1) the Company’s relative total shareholder return over the 3-Year Performance Period and (2) the average of the Company’s annual achievement during each of fiscal years 2025, 2026 and 2027 (each, a “1-Year Performance Period”) with respect to organic revenue growth and adjusted earnings per share as follows:</w:t>
      </w:r>
    </w:p>
    <w:p>
      <w:pPr>
        <w:spacing w:after="0" w:line="166" w:lineRule="exact"/>
        <w:rPr>
          <w:sz w:val="20"/>
          <w:szCs w:val="20"/>
          <w:color w:val="auto"/>
        </w:rPr>
      </w:pPr>
    </w:p>
    <w:p>
      <w:pPr>
        <w:ind w:left="520" w:right="400" w:hanging="382"/>
        <w:spacing w:after="0" w:line="285" w:lineRule="auto"/>
        <w:tabs>
          <w:tab w:leader="none" w:pos="51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40% of Number of Target Units x Performance Multiplier Based on Relative TSR = Performance Share Units vested based on Relative TSR*</w:t>
      </w:r>
    </w:p>
    <w:p>
      <w:pPr>
        <w:spacing w:after="0" w:line="155" w:lineRule="exact"/>
        <w:rPr>
          <w:rFonts w:ascii="Arial" w:cs="Arial" w:eastAsia="Arial" w:hAnsi="Arial"/>
          <w:sz w:val="22"/>
          <w:szCs w:val="22"/>
          <w:color w:val="auto"/>
        </w:rPr>
      </w:pPr>
    </w:p>
    <w:p>
      <w:pPr>
        <w:ind w:left="520" w:right="860" w:hanging="382"/>
        <w:spacing w:after="0" w:line="285" w:lineRule="auto"/>
        <w:tabs>
          <w:tab w:leader="none" w:pos="51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40% of Number of Target Units x Average Performance Multiplier Based on Organic Revenue Growth = Performance Share Units vested based on Organic Revenue Growth*</w:t>
      </w:r>
    </w:p>
    <w:p>
      <w:pPr>
        <w:spacing w:after="0" w:line="155" w:lineRule="exact"/>
        <w:rPr>
          <w:rFonts w:ascii="Arial" w:cs="Arial" w:eastAsia="Arial" w:hAnsi="Arial"/>
          <w:sz w:val="22"/>
          <w:szCs w:val="22"/>
          <w:color w:val="auto"/>
        </w:rPr>
      </w:pPr>
    </w:p>
    <w:p>
      <w:pPr>
        <w:ind w:left="520" w:right="700" w:hanging="382"/>
        <w:spacing w:after="0" w:line="285" w:lineRule="auto"/>
        <w:tabs>
          <w:tab w:leader="none" w:pos="50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20% of Number of Target Units x Average Performance Multiplier Based on Adjusted Earnings Per Share (“Adjusted EPS”) = Performance Share Units vested based on Adjusted EPS*</w:t>
      </w:r>
    </w:p>
    <w:p>
      <w:pPr>
        <w:spacing w:after="0" w:line="160"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0"/>
          <w:szCs w:val="20"/>
          <w:color w:val="auto"/>
        </w:rPr>
        <w:t xml:space="preserve">*  </w:t>
      </w:r>
      <w:r>
        <w:rPr>
          <w:rFonts w:ascii="Arial" w:cs="Arial" w:eastAsia="Arial" w:hAnsi="Arial"/>
          <w:sz w:val="17"/>
          <w:szCs w:val="17"/>
          <w:i w:val="1"/>
          <w:iCs w:val="1"/>
          <w:color w:val="auto"/>
        </w:rPr>
        <w:t>No more than 200% of Target Units may vest hereunder.</w:t>
      </w:r>
    </w:p>
    <w:p>
      <w:pPr>
        <w:spacing w:after="0" w:line="241" w:lineRule="exact"/>
        <w:rPr>
          <w:sz w:val="20"/>
          <w:szCs w:val="20"/>
          <w:color w:val="auto"/>
        </w:rPr>
      </w:pPr>
    </w:p>
    <w:p>
      <w:pPr>
        <w:ind w:right="560"/>
        <w:spacing w:after="0" w:line="288"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Average Performance Multiplier</w:t>
      </w:r>
      <w:r>
        <w:rPr>
          <w:rFonts w:ascii="Arial" w:cs="Arial" w:eastAsia="Arial" w:hAnsi="Arial"/>
          <w:sz w:val="20"/>
          <w:szCs w:val="20"/>
          <w:color w:val="auto"/>
        </w:rPr>
        <w:t xml:space="preserve"> for Organic Revenue Growth and Adjusted EPS is calculated by taking the numeric average of the Performance Multiplier earned with respect to each fiscal year in the 3-Year Performance Period.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38" w:lineRule="exact"/>
        <w:rPr>
          <w:sz w:val="20"/>
          <w:szCs w:val="20"/>
          <w:color w:val="auto"/>
        </w:rPr>
      </w:pPr>
    </w:p>
    <w:p>
      <w:pPr>
        <w:ind w:left="520" w:right="140" w:hanging="382"/>
        <w:spacing w:after="0" w:line="279" w:lineRule="auto"/>
        <w:tabs>
          <w:tab w:leader="none" w:pos="511"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 xml:space="preserve">Relative TSR. </w:t>
      </w:r>
      <w:r>
        <w:rPr>
          <w:rFonts w:ascii="Arial" w:cs="Arial" w:eastAsia="Arial" w:hAnsi="Arial"/>
          <w:sz w:val="21"/>
          <w:szCs w:val="21"/>
          <w:color w:val="auto"/>
        </w:rPr>
        <w:t>Total Shareholder Return (“TSR”) for the Company (“Company TSR”) as compared to the TSR</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S&amp;P 500 peer group, accounting for reinvested dividends, will be measured once for the entire 3-Year Performance Period. Performance will be measured based on the percentile rank of the Company TSR relative to the TSR of the Peer Group Companies (as defined below) for the 3-Year Performance Period and will determine 40% of the total number of Target Units that will vest. The percentile rank of the Company TSR</w:t>
      </w:r>
    </w:p>
    <w:p>
      <w:pPr>
        <w:sectPr>
          <w:pgSz w:w="11900" w:h="16838" w:orient="portrait"/>
          <w:cols w:equalWidth="0" w:num="1">
            <w:col w:w="11240"/>
          </w:cols>
          <w:pgMar w:left="320" w:top="117" w:right="339" w:bottom="1440" w:gutter="0" w:footer="0" w:header="0"/>
        </w:sectPr>
      </w:pPr>
    </w:p>
    <w:bookmarkStart w:id="135" w:name="page136"/>
    <w:bookmarkEnd w:id="135"/>
    <w:p>
      <w:pPr>
        <w:ind w:left="382"/>
        <w:spacing w:after="0"/>
        <w:rPr>
          <w:sz w:val="20"/>
          <w:szCs w:val="20"/>
          <w:color w:val="auto"/>
        </w:rPr>
      </w:pPr>
      <w:r>
        <w:rPr>
          <w:rFonts w:ascii="Arial" w:cs="Arial" w:eastAsia="Arial" w:hAnsi="Arial"/>
          <w:sz w:val="22"/>
          <w:szCs w:val="22"/>
          <w:color w:val="auto"/>
        </w:rPr>
        <w:t>relative to the Peer Group Companies will be determined by the Compensation Committee of the Board of</w:t>
      </w:r>
    </w:p>
    <w:p>
      <w:pPr>
        <w:spacing w:after="0" w:line="31" w:lineRule="exact"/>
        <w:rPr>
          <w:sz w:val="20"/>
          <w:szCs w:val="20"/>
          <w:color w:val="auto"/>
        </w:rPr>
      </w:pPr>
    </w:p>
    <w:p>
      <w:pPr>
        <w:ind w:left="382"/>
        <w:spacing w:after="0"/>
        <w:rPr>
          <w:sz w:val="20"/>
          <w:szCs w:val="20"/>
          <w:color w:val="auto"/>
        </w:rPr>
      </w:pPr>
      <w:r>
        <w:rPr>
          <w:rFonts w:ascii="Arial" w:cs="Arial" w:eastAsia="Arial" w:hAnsi="Arial"/>
          <w:sz w:val="22"/>
          <w:szCs w:val="22"/>
          <w:color w:val="auto"/>
        </w:rPr>
        <w:t>Directors, subject to the following:</w:t>
      </w:r>
    </w:p>
    <w:p>
      <w:pPr>
        <w:spacing w:after="0" w:line="220" w:lineRule="exact"/>
        <w:rPr>
          <w:sz w:val="20"/>
          <w:szCs w:val="20"/>
          <w:color w:val="auto"/>
        </w:rPr>
      </w:pPr>
    </w:p>
    <w:p>
      <w:pPr>
        <w:ind w:left="902" w:right="340" w:hanging="384"/>
        <w:spacing w:after="0" w:line="310" w:lineRule="auto"/>
        <w:tabs>
          <w:tab w:leader="none" w:pos="9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peer group will be the corporations included in the S&amp;P 500 as of January 1, 2025 (each, a “Peer Group Company,” and together the “Peer Group Companies”), subject to the changes described below;</w:t>
      </w:r>
    </w:p>
    <w:p>
      <w:pPr>
        <w:spacing w:after="0" w:line="132" w:lineRule="exact"/>
        <w:rPr>
          <w:rFonts w:ascii="Arial" w:cs="Arial" w:eastAsia="Arial" w:hAnsi="Arial"/>
          <w:sz w:val="21"/>
          <w:szCs w:val="21"/>
          <w:color w:val="auto"/>
        </w:rPr>
      </w:pPr>
    </w:p>
    <w:p>
      <w:pPr>
        <w:ind w:left="902" w:right="60" w:hanging="384"/>
        <w:spacing w:after="0" w:line="261" w:lineRule="auto"/>
        <w:tabs>
          <w:tab w:leader="none" w:pos="9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At the end of the 3-Year Performance Period, the Company TSR and the TSR of each Peer Group Company will be calculated using the average closing price of the relevant company’s common stock during the 20 trading days preceding the first day of the 3-Year Performance Period as the starting price and the average closing price of a share of the relevant company’s common stock during the 20 trading days preceding the last day of the 3-Year Performance Period as the ending price, and will account for the reinvestment of dividends, if any, during the 3-Year Performance Period;</w:t>
      </w:r>
    </w:p>
    <w:p>
      <w:pPr>
        <w:spacing w:after="0" w:line="185" w:lineRule="exact"/>
        <w:rPr>
          <w:rFonts w:ascii="Arial" w:cs="Arial" w:eastAsia="Arial" w:hAnsi="Arial"/>
          <w:sz w:val="22"/>
          <w:szCs w:val="22"/>
          <w:color w:val="auto"/>
        </w:rPr>
      </w:pPr>
    </w:p>
    <w:p>
      <w:pPr>
        <w:ind w:left="902" w:right="800" w:hanging="384"/>
        <w:spacing w:after="0" w:line="285" w:lineRule="auto"/>
        <w:tabs>
          <w:tab w:leader="none" w:pos="9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Peer Group Companies and the Company shall be ranked in descending order based on their respective TSRs;</w:t>
      </w:r>
    </w:p>
    <w:p>
      <w:pPr>
        <w:spacing w:after="0" w:line="155" w:lineRule="exact"/>
        <w:rPr>
          <w:rFonts w:ascii="Arial" w:cs="Arial" w:eastAsia="Arial" w:hAnsi="Arial"/>
          <w:sz w:val="22"/>
          <w:szCs w:val="22"/>
          <w:color w:val="auto"/>
        </w:rPr>
      </w:pPr>
    </w:p>
    <w:p>
      <w:pPr>
        <w:ind w:left="902" w:right="180" w:hanging="384"/>
        <w:spacing w:after="0" w:line="310" w:lineRule="auto"/>
        <w:tabs>
          <w:tab w:leader="none" w:pos="90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If there is a bankruptcy of any Peer Group Company during the 3-Year Performance Period, then such Peer Group Company’s TSR shall be deemed to be negative 99.99% for the 3-Year Performance Period;</w:t>
      </w:r>
    </w:p>
    <w:p>
      <w:pPr>
        <w:spacing w:after="0" w:line="132" w:lineRule="exact"/>
        <w:rPr>
          <w:rFonts w:ascii="Arial" w:cs="Arial" w:eastAsia="Arial" w:hAnsi="Arial"/>
          <w:sz w:val="21"/>
          <w:szCs w:val="21"/>
          <w:color w:val="auto"/>
        </w:rPr>
      </w:pPr>
    </w:p>
    <w:p>
      <w:pPr>
        <w:jc w:val="both"/>
        <w:ind w:left="902" w:right="200" w:hanging="384"/>
        <w:spacing w:after="0" w:line="270" w:lineRule="auto"/>
        <w:tabs>
          <w:tab w:leader="none" w:pos="9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a Peer Group Company ceases to be a publicly traded company (other than due to bankruptcy) during the 3-Year Performance Period, then such Peer Group Company shall be omitted from the ranking of the Peer Group Companies; and</w:t>
      </w:r>
    </w:p>
    <w:p>
      <w:pPr>
        <w:spacing w:after="0" w:line="172" w:lineRule="exact"/>
        <w:rPr>
          <w:rFonts w:ascii="Arial" w:cs="Arial" w:eastAsia="Arial" w:hAnsi="Arial"/>
          <w:sz w:val="22"/>
          <w:szCs w:val="22"/>
          <w:color w:val="auto"/>
        </w:rPr>
      </w:pPr>
    </w:p>
    <w:p>
      <w:pPr>
        <w:ind w:left="902" w:hanging="384"/>
        <w:spacing w:after="0" w:line="285" w:lineRule="auto"/>
        <w:tabs>
          <w:tab w:leader="none" w:pos="9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a Peer Group Company is acquired by or is merged into another Peer Group Company during the 3-Year Performance Period, then only the TSR of the surviving Peer Group Company shall be considered.</w:t>
      </w:r>
    </w:p>
    <w:p>
      <w:pPr>
        <w:spacing w:after="0" w:line="175" w:lineRule="exact"/>
        <w:rPr>
          <w:sz w:val="20"/>
          <w:szCs w:val="20"/>
          <w:color w:val="auto"/>
        </w:rPr>
      </w:pPr>
    </w:p>
    <w:tbl>
      <w:tblPr>
        <w:tblLayout w:type="fixed"/>
        <w:tblInd w:w="292" w:type="dxa"/>
        <w:tblCellMar>
          <w:top w:w="0" w:type="dxa"/>
          <w:left w:w="0" w:type="dxa"/>
          <w:bottom w:w="0" w:type="dxa"/>
          <w:right w:w="0" w:type="dxa"/>
        </w:tblCellMar>
      </w:tblPr>
      <w:tr>
        <w:trPr>
          <w:trHeight w:val="309"/>
        </w:trPr>
        <w:tc>
          <w:tcPr>
            <w:tcW w:w="1680" w:type="dxa"/>
            <w:vAlign w:val="bottom"/>
            <w:tcBorders>
              <w:top w:val="single" w:sz="8" w:color="auto"/>
              <w:left w:val="single" w:sz="8" w:color="auto"/>
              <w:right w:val="single" w:sz="8" w:color="auto"/>
            </w:tcBorders>
          </w:tcPr>
          <w:p>
            <w:pPr>
              <w:spacing w:after="0"/>
              <w:rPr>
                <w:sz w:val="24"/>
                <w:szCs w:val="24"/>
                <w:color w:val="auto"/>
              </w:rPr>
            </w:pPr>
          </w:p>
        </w:tc>
        <w:tc>
          <w:tcPr>
            <w:tcW w:w="4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TSR Relative Ranking</w:t>
            </w:r>
          </w:p>
        </w:tc>
        <w:tc>
          <w:tcPr>
            <w:tcW w:w="32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Performance Multiplier*</w:t>
            </w:r>
          </w:p>
        </w:tc>
      </w:tr>
      <w:tr>
        <w:trPr>
          <w:trHeight w:val="55"/>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364"/>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90</w:t>
            </w:r>
            <w:r>
              <w:rPr>
                <w:rFonts w:ascii="Arial" w:cs="Arial" w:eastAsia="Arial" w:hAnsi="Arial"/>
                <w:sz w:val="23"/>
                <w:szCs w:val="23"/>
                <w:color w:val="auto"/>
                <w:w w:val="97"/>
                <w:vertAlign w:val="superscript"/>
              </w:rPr>
              <w:t>th</w:t>
            </w:r>
            <w:r>
              <w:rPr>
                <w:rFonts w:ascii="Arial" w:cs="Arial" w:eastAsia="Arial" w:hAnsi="Arial"/>
                <w:sz w:val="18"/>
                <w:szCs w:val="18"/>
                <w:color w:val="auto"/>
                <w:w w:val="97"/>
              </w:rPr>
              <w:t xml:space="preserve"> percentile or higher</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35"/>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r>
      <w:tr>
        <w:trPr>
          <w:trHeight w:val="364"/>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55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35"/>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r>
      <w:tr>
        <w:trPr>
          <w:trHeight w:val="364"/>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30</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35"/>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494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r>
    </w:tbl>
    <w:p>
      <w:pPr>
        <w:spacing w:after="0" w:line="105" w:lineRule="exact"/>
        <w:rPr>
          <w:sz w:val="20"/>
          <w:szCs w:val="20"/>
          <w:color w:val="auto"/>
        </w:rPr>
      </w:pPr>
    </w:p>
    <w:p>
      <w:pPr>
        <w:jc w:val="both"/>
        <w:ind w:left="902" w:right="720" w:hanging="384"/>
        <w:spacing w:after="0" w:line="261" w:lineRule="auto"/>
        <w:tabs>
          <w:tab w:leader="none" w:pos="918" w:val="left"/>
        </w:tabs>
        <w:numPr>
          <w:ilvl w:val="1"/>
          <w:numId w:val="105"/>
        </w:numPr>
        <w:rPr>
          <w:rFonts w:ascii="Arial" w:cs="Arial" w:eastAsia="Arial" w:hAnsi="Arial"/>
          <w:sz w:val="20"/>
          <w:szCs w:val="20"/>
          <w:color w:val="auto"/>
        </w:rPr>
      </w:pPr>
      <w:r>
        <w:rPr>
          <w:rFonts w:ascii="Arial" w:cs="Arial" w:eastAsia="Arial" w:hAnsi="Arial"/>
          <w:sz w:val="18"/>
          <w:szCs w:val="18"/>
          <w:i w:val="1"/>
          <w:iCs w:val="1"/>
          <w:color w:val="auto"/>
        </w:rPr>
        <w:t>Payouts for performance between threshold and target and target and maximum will be based on interpolation. In addition, if the Company TSR (on an absolute basis) for the 3-Year Performance Period is negative, the Performance Multiplier for Relative TSR shall be capped at 100%.</w:t>
      </w:r>
    </w:p>
    <w:p>
      <w:pPr>
        <w:spacing w:after="0" w:line="192" w:lineRule="exact"/>
        <w:rPr>
          <w:rFonts w:ascii="Arial" w:cs="Arial" w:eastAsia="Arial" w:hAnsi="Arial"/>
          <w:sz w:val="20"/>
          <w:szCs w:val="20"/>
          <w:color w:val="auto"/>
        </w:rPr>
      </w:pPr>
    </w:p>
    <w:p>
      <w:pPr>
        <w:ind w:left="382" w:right="400" w:hanging="382"/>
        <w:spacing w:after="0" w:line="290" w:lineRule="auto"/>
        <w:tabs>
          <w:tab w:leader="none" w:pos="373" w:val="left"/>
        </w:tabs>
        <w:numPr>
          <w:ilvl w:val="0"/>
          <w:numId w:val="105"/>
        </w:numPr>
        <w:rPr>
          <w:rFonts w:ascii="Arial" w:cs="Arial" w:eastAsia="Arial" w:hAnsi="Arial"/>
          <w:sz w:val="21"/>
          <w:szCs w:val="21"/>
          <w:color w:val="auto"/>
        </w:rPr>
      </w:pPr>
      <w:r>
        <w:rPr>
          <w:rFonts w:ascii="Arial" w:cs="Arial" w:eastAsia="Arial" w:hAnsi="Arial"/>
          <w:sz w:val="21"/>
          <w:szCs w:val="21"/>
          <w:b w:val="1"/>
          <w:bCs w:val="1"/>
          <w:color w:val="auto"/>
        </w:rPr>
        <w:t xml:space="preserve">Organic Revenue Growth. </w:t>
      </w:r>
      <w:r>
        <w:rPr>
          <w:rFonts w:ascii="Arial" w:cs="Arial" w:eastAsia="Arial" w:hAnsi="Arial"/>
          <w:sz w:val="21"/>
          <w:szCs w:val="21"/>
          <w:color w:val="auto"/>
        </w:rPr>
        <w:t>Organic Revenue Growth will be measured separately for each of the 1-Year</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Periods and will be as set forth in the year-end financial statements for the relevant fiscal year. The average of the three Performance Multipliers will determine 40% of the total number of Target Units that</w:t>
      </w:r>
    </w:p>
    <w:p>
      <w:pPr>
        <w:sectPr>
          <w:pgSz w:w="11900" w:h="16838" w:orient="portrait"/>
          <w:cols w:equalWidth="0" w:num="1">
            <w:col w:w="11082"/>
          </w:cols>
          <w:pgMar w:left="458" w:top="1287" w:right="359" w:bottom="1440" w:gutter="0" w:footer="0" w:header="0"/>
        </w:sectPr>
      </w:pPr>
    </w:p>
    <w:bookmarkStart w:id="136" w:name="page137"/>
    <w:bookmarkEnd w:id="136"/>
    <w:p>
      <w:pPr>
        <w:ind w:left="520" w:right="60"/>
        <w:spacing w:after="0" w:line="285" w:lineRule="auto"/>
        <w:rPr>
          <w:sz w:val="20"/>
          <w:szCs w:val="20"/>
          <w:color w:val="auto"/>
        </w:rPr>
      </w:pPr>
      <w:r>
        <w:rPr>
          <w:rFonts w:ascii="Arial" w:cs="Arial" w:eastAsia="Arial" w:hAnsi="Arial"/>
          <w:sz w:val="22"/>
          <w:szCs w:val="22"/>
          <w:color w:val="auto"/>
        </w:rPr>
        <w:t>will vest. The Organic Revenue Growth goals for fiscal years 2025, 2026 and 2027 will be communicated to you in the relevant fiscal year.</w:t>
      </w:r>
    </w:p>
    <w:p>
      <w:pPr>
        <w:spacing w:after="0" w:line="175" w:lineRule="exact"/>
        <w:rPr>
          <w:sz w:val="20"/>
          <w:szCs w:val="20"/>
          <w:color w:val="auto"/>
        </w:rPr>
      </w:pPr>
    </w:p>
    <w:tbl>
      <w:tblPr>
        <w:tblLayout w:type="fixed"/>
        <w:tblInd w:w="550" w:type="dxa"/>
        <w:tblCellMar>
          <w:top w:w="0" w:type="dxa"/>
          <w:left w:w="0" w:type="dxa"/>
          <w:bottom w:w="0" w:type="dxa"/>
          <w:right w:w="0" w:type="dxa"/>
        </w:tblCellMar>
      </w:tblPr>
      <w:tr>
        <w:trPr>
          <w:trHeight w:val="282"/>
        </w:trPr>
        <w:tc>
          <w:tcPr>
            <w:tcW w:w="1720" w:type="dxa"/>
            <w:vAlign w:val="bottom"/>
            <w:tcBorders>
              <w:top w:val="single" w:sz="8" w:color="auto"/>
              <w:left w:val="single" w:sz="8" w:color="auto"/>
              <w:right w:val="single" w:sz="8" w:color="auto"/>
            </w:tcBorders>
          </w:tcPr>
          <w:p>
            <w:pPr>
              <w:spacing w:after="0"/>
              <w:rPr>
                <w:sz w:val="24"/>
                <w:szCs w:val="24"/>
                <w:color w:val="auto"/>
              </w:rPr>
            </w:pPr>
          </w:p>
        </w:tc>
        <w:tc>
          <w:tcPr>
            <w:tcW w:w="5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Organic Revenue Growth (%)</w:t>
            </w:r>
          </w:p>
        </w:tc>
        <w:tc>
          <w:tcPr>
            <w:tcW w:w="334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Performance Multiplier*</w:t>
            </w:r>
          </w:p>
        </w:tc>
      </w:tr>
      <w:tr>
        <w:trPr>
          <w:trHeight w:val="83"/>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308"/>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5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91"/>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308"/>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5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90"/>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r>
        <w:trPr>
          <w:trHeight w:val="308"/>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5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90"/>
        </w:trPr>
        <w:tc>
          <w:tcPr>
            <w:tcW w:w="1720" w:type="dxa"/>
            <w:vAlign w:val="bottom"/>
            <w:tcBorders>
              <w:left w:val="single" w:sz="8" w:color="auto"/>
              <w:bottom w:val="single" w:sz="8" w:color="auto"/>
              <w:right w:val="single" w:sz="8" w:color="auto"/>
            </w:tcBorders>
          </w:tcPr>
          <w:p>
            <w:pPr>
              <w:spacing w:after="0"/>
              <w:rPr>
                <w:sz w:val="7"/>
                <w:szCs w:val="7"/>
                <w:color w:val="auto"/>
              </w:rPr>
            </w:pPr>
          </w:p>
        </w:tc>
        <w:tc>
          <w:tcPr>
            <w:tcW w:w="5080" w:type="dxa"/>
            <w:vAlign w:val="bottom"/>
            <w:tcBorders>
              <w:bottom w:val="single" w:sz="8" w:color="auto"/>
              <w:right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r>
    </w:tbl>
    <w:p>
      <w:pPr>
        <w:spacing w:after="0" w:line="105" w:lineRule="exact"/>
        <w:rPr>
          <w:sz w:val="20"/>
          <w:szCs w:val="20"/>
          <w:color w:val="auto"/>
        </w:rPr>
      </w:pPr>
    </w:p>
    <w:p>
      <w:pPr>
        <w:ind w:left="1040" w:right="660" w:hanging="384"/>
        <w:spacing w:after="0" w:line="274" w:lineRule="auto"/>
        <w:tabs>
          <w:tab w:leader="none" w:pos="975" w:val="left"/>
        </w:tabs>
        <w:numPr>
          <w:ilvl w:val="0"/>
          <w:numId w:val="106"/>
        </w:numPr>
        <w:rPr>
          <w:rFonts w:ascii="Arial" w:cs="Arial" w:eastAsia="Arial" w:hAnsi="Arial"/>
          <w:sz w:val="20"/>
          <w:szCs w:val="20"/>
          <w:i w:val="1"/>
          <w:iCs w:val="1"/>
          <w:color w:val="auto"/>
        </w:rPr>
      </w:pPr>
      <w:r>
        <w:rPr>
          <w:rFonts w:ascii="Arial" w:cs="Arial" w:eastAsia="Arial" w:hAnsi="Arial"/>
          <w:sz w:val="18"/>
          <w:szCs w:val="18"/>
          <w:i w:val="1"/>
          <w:iCs w:val="1"/>
          <w:color w:val="auto"/>
        </w:rPr>
        <w:t>Performance results between levels will be interpolated on a linear basis. All results will be rounded to the nearest one-tenth of a percent.</w:t>
      </w:r>
    </w:p>
    <w:p>
      <w:pPr>
        <w:spacing w:after="0" w:line="163" w:lineRule="exact"/>
        <w:rPr>
          <w:sz w:val="20"/>
          <w:szCs w:val="20"/>
          <w:color w:val="auto"/>
        </w:rPr>
      </w:pPr>
    </w:p>
    <w:p>
      <w:pPr>
        <w:ind w:left="1040" w:right="660" w:hanging="384"/>
        <w:spacing w:after="0" w:line="300" w:lineRule="auto"/>
        <w:tabs>
          <w:tab w:leader="none" w:pos="1082" w:val="left"/>
        </w:tabs>
        <w:numPr>
          <w:ilvl w:val="1"/>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To be fixed by a resolution of the Compensation Committee of the Board of Directors for each 1-Year Performance Period.</w:t>
      </w:r>
    </w:p>
    <w:p>
      <w:pPr>
        <w:spacing w:after="0" w:line="159" w:lineRule="exact"/>
        <w:rPr>
          <w:rFonts w:ascii="Arial" w:cs="Arial" w:eastAsia="Arial" w:hAnsi="Arial"/>
          <w:sz w:val="18"/>
          <w:szCs w:val="18"/>
          <w:i w:val="1"/>
          <w:iCs w:val="1"/>
          <w:color w:val="auto"/>
        </w:rPr>
      </w:pPr>
    </w:p>
    <w:p>
      <w:pPr>
        <w:ind w:left="520" w:right="120" w:hanging="382"/>
        <w:spacing w:after="0" w:line="266" w:lineRule="auto"/>
        <w:tabs>
          <w:tab w:leader="none" w:pos="509"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 xml:space="preserve">Adjusted EPS. </w:t>
      </w:r>
      <w:r>
        <w:rPr>
          <w:rFonts w:ascii="Arial" w:cs="Arial" w:eastAsia="Arial" w:hAnsi="Arial"/>
          <w:sz w:val="22"/>
          <w:szCs w:val="22"/>
          <w:color w:val="auto"/>
        </w:rPr>
        <w:t>Adjusted EPS will be measured separately for each of the 1-Year Performance Periods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as set forth in the year-end financial statements for the relevant fiscal year. The average of the three Performance Multipliers will determine 20% of the total number of Target Units that will vest. The Adjusted EPS goals for fiscal years 2025, 2026 and 2027 will be communicated to you in the relevant fiscal year.</w:t>
      </w:r>
    </w:p>
    <w:p>
      <w:pPr>
        <w:spacing w:after="0" w:line="196" w:lineRule="exact"/>
        <w:rPr>
          <w:sz w:val="20"/>
          <w:szCs w:val="20"/>
          <w:color w:val="auto"/>
        </w:rPr>
      </w:pPr>
    </w:p>
    <w:tbl>
      <w:tblPr>
        <w:tblLayout w:type="fixed"/>
        <w:tblInd w:w="430" w:type="dxa"/>
        <w:tblCellMar>
          <w:top w:w="0" w:type="dxa"/>
          <w:left w:w="0" w:type="dxa"/>
          <w:bottom w:w="0" w:type="dxa"/>
          <w:right w:w="0" w:type="dxa"/>
        </w:tblCellMar>
      </w:tblPr>
      <w:tr>
        <w:trPr>
          <w:trHeight w:val="282"/>
        </w:trPr>
        <w:tc>
          <w:tcPr>
            <w:tcW w:w="1660" w:type="dxa"/>
            <w:vAlign w:val="bottom"/>
            <w:tcBorders>
              <w:top w:val="single" w:sz="8" w:color="auto"/>
              <w:left w:val="single" w:sz="8" w:color="auto"/>
              <w:right w:val="single" w:sz="8" w:color="auto"/>
            </w:tcBorders>
          </w:tcPr>
          <w:p>
            <w:pPr>
              <w:spacing w:after="0"/>
              <w:rPr>
                <w:sz w:val="24"/>
                <w:szCs w:val="24"/>
                <w:color w:val="auto"/>
              </w:rPr>
            </w:pP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Adjusted EPS</w:t>
            </w:r>
          </w:p>
        </w:tc>
        <w:tc>
          <w:tcPr>
            <w:tcW w:w="324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Performance Multiplier*</w:t>
            </w:r>
          </w:p>
        </w:tc>
      </w:tr>
      <w:tr>
        <w:trPr>
          <w:trHeight w:val="83"/>
        </w:trPr>
        <w:tc>
          <w:tcPr>
            <w:tcW w:w="1660" w:type="dxa"/>
            <w:vAlign w:val="bottom"/>
            <w:tcBorders>
              <w:left w:val="single" w:sz="8" w:color="auto"/>
              <w:bottom w:val="single" w:sz="8" w:color="auto"/>
              <w:right w:val="single" w:sz="8" w:color="auto"/>
            </w:tcBorders>
          </w:tcPr>
          <w:p>
            <w:pPr>
              <w:spacing w:after="0"/>
              <w:rPr>
                <w:sz w:val="7"/>
                <w:szCs w:val="7"/>
                <w:color w:val="auto"/>
              </w:rPr>
            </w:pPr>
          </w:p>
        </w:tc>
        <w:tc>
          <w:tcPr>
            <w:tcW w:w="488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r>
      <w:tr>
        <w:trPr>
          <w:trHeight w:val="30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90"/>
        </w:trPr>
        <w:tc>
          <w:tcPr>
            <w:tcW w:w="1660" w:type="dxa"/>
            <w:vAlign w:val="bottom"/>
            <w:tcBorders>
              <w:left w:val="single" w:sz="8" w:color="auto"/>
              <w:bottom w:val="single" w:sz="8" w:color="auto"/>
              <w:right w:val="single" w:sz="8" w:color="auto"/>
            </w:tcBorders>
          </w:tcPr>
          <w:p>
            <w:pPr>
              <w:spacing w:after="0"/>
              <w:rPr>
                <w:sz w:val="7"/>
                <w:szCs w:val="7"/>
                <w:color w:val="auto"/>
              </w:rPr>
            </w:pPr>
          </w:p>
        </w:tc>
        <w:tc>
          <w:tcPr>
            <w:tcW w:w="488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r>
      <w:tr>
        <w:trPr>
          <w:trHeight w:val="30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91"/>
        </w:trPr>
        <w:tc>
          <w:tcPr>
            <w:tcW w:w="1660" w:type="dxa"/>
            <w:vAlign w:val="bottom"/>
            <w:tcBorders>
              <w:left w:val="single" w:sz="8" w:color="auto"/>
              <w:bottom w:val="single" w:sz="8" w:color="auto"/>
              <w:right w:val="single" w:sz="8" w:color="auto"/>
            </w:tcBorders>
          </w:tcPr>
          <w:p>
            <w:pPr>
              <w:spacing w:after="0"/>
              <w:rPr>
                <w:sz w:val="7"/>
                <w:szCs w:val="7"/>
                <w:color w:val="auto"/>
              </w:rPr>
            </w:pPr>
          </w:p>
        </w:tc>
        <w:tc>
          <w:tcPr>
            <w:tcW w:w="488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r>
      <w:tr>
        <w:trPr>
          <w:trHeight w:val="30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91"/>
        </w:trPr>
        <w:tc>
          <w:tcPr>
            <w:tcW w:w="1660" w:type="dxa"/>
            <w:vAlign w:val="bottom"/>
            <w:tcBorders>
              <w:left w:val="single" w:sz="8" w:color="auto"/>
              <w:bottom w:val="single" w:sz="8" w:color="auto"/>
              <w:right w:val="single" w:sz="8" w:color="auto"/>
            </w:tcBorders>
          </w:tcPr>
          <w:p>
            <w:pPr>
              <w:spacing w:after="0"/>
              <w:rPr>
                <w:sz w:val="7"/>
                <w:szCs w:val="7"/>
                <w:color w:val="auto"/>
              </w:rPr>
            </w:pPr>
          </w:p>
        </w:tc>
        <w:tc>
          <w:tcPr>
            <w:tcW w:w="488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r>
    </w:tbl>
    <w:p>
      <w:pPr>
        <w:spacing w:after="0" w:line="91" w:lineRule="exact"/>
        <w:rPr>
          <w:sz w:val="20"/>
          <w:szCs w:val="20"/>
          <w:color w:val="auto"/>
        </w:rPr>
      </w:pPr>
    </w:p>
    <w:p>
      <w:pPr>
        <w:ind w:left="960" w:hanging="304"/>
        <w:spacing w:after="0"/>
        <w:tabs>
          <w:tab w:leader="none" w:pos="960" w:val="left"/>
        </w:tabs>
        <w:numPr>
          <w:ilvl w:val="0"/>
          <w:numId w:val="108"/>
        </w:numPr>
        <w:rPr>
          <w:rFonts w:ascii="Arial" w:cs="Arial" w:eastAsia="Arial" w:hAnsi="Arial"/>
          <w:sz w:val="20"/>
          <w:szCs w:val="20"/>
          <w:color w:val="auto"/>
        </w:rPr>
      </w:pPr>
      <w:r>
        <w:rPr>
          <w:rFonts w:ascii="Arial" w:cs="Arial" w:eastAsia="Arial" w:hAnsi="Arial"/>
          <w:sz w:val="18"/>
          <w:szCs w:val="18"/>
          <w:i w:val="1"/>
          <w:iCs w:val="1"/>
          <w:color w:val="auto"/>
        </w:rPr>
        <w:t>Performance results between levels will be interpolated on a linear basis.</w:t>
      </w:r>
    </w:p>
    <w:p>
      <w:pPr>
        <w:spacing w:after="0" w:line="216" w:lineRule="exact"/>
        <w:rPr>
          <w:sz w:val="20"/>
          <w:szCs w:val="20"/>
          <w:color w:val="auto"/>
        </w:rPr>
      </w:pPr>
    </w:p>
    <w:p>
      <w:pPr>
        <w:ind w:left="1040" w:right="660" w:hanging="384"/>
        <w:spacing w:after="0" w:line="300" w:lineRule="auto"/>
        <w:tabs>
          <w:tab w:leader="none" w:pos="1082"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To be fixed by a resolution of the Compensation Committee of the Board of Directors for each 1-Year Performance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45" w:lineRule="exact"/>
        <w:rPr>
          <w:sz w:val="20"/>
          <w:szCs w:val="20"/>
          <w:color w:val="auto"/>
        </w:rPr>
      </w:pPr>
    </w:p>
    <w:p>
      <w:pPr>
        <w:ind w:right="140"/>
        <w:spacing w:after="0" w:line="265" w:lineRule="auto"/>
        <w:rPr>
          <w:sz w:val="20"/>
          <w:szCs w:val="20"/>
          <w:color w:val="auto"/>
        </w:rPr>
      </w:pPr>
      <w:r>
        <w:rPr>
          <w:rFonts w:ascii="Arial" w:cs="Arial" w:eastAsia="Arial" w:hAnsi="Arial"/>
          <w:sz w:val="20"/>
          <w:szCs w:val="20"/>
          <w:color w:val="auto"/>
        </w:rPr>
        <w:t>At any time before the Shares are issued, the Compensation Committee may adjust any or all of the Performance Formula, the Performance Goals, and/or the number of Units that vest with respect to the Performance Periods if it determines, in its sole discretion, that such adjustments are necessary or equitable, including, without limitation, to reflect (i) changes in law or accounting rules, (ii) a merger, acquisition, divestiture or other similar transaction, or (iii) any event that is significant, extraordinary, unusual or one-time in nature, and which positively or negatively impacts the Performance Goals.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The Compensation Committee will certify the level of achievement of each of the Performance Goals, and determine the number of shares to be issued, after the end of the 3-Year Performance Period in accordance with the terms of this Performance Share Unit Agreement.</w:t>
      </w:r>
    </w:p>
    <w:p>
      <w:pPr>
        <w:spacing w:after="0" w:line="163" w:lineRule="exact"/>
        <w:rPr>
          <w:sz w:val="20"/>
          <w:szCs w:val="20"/>
          <w:color w:val="auto"/>
        </w:rPr>
      </w:pPr>
    </w:p>
    <w:p>
      <w:pPr>
        <w:ind w:right="160"/>
        <w:spacing w:after="0" w:line="312" w:lineRule="auto"/>
        <w:rPr>
          <w:sz w:val="20"/>
          <w:szCs w:val="20"/>
          <w:color w:val="auto"/>
        </w:rPr>
      </w:pPr>
      <w:r>
        <w:rPr>
          <w:rFonts w:ascii="Arial" w:cs="Arial" w:eastAsia="Arial" w:hAnsi="Arial"/>
          <w:sz w:val="20"/>
          <w:szCs w:val="20"/>
          <w:b w:val="1"/>
          <w:bCs w:val="1"/>
          <w:color w:val="auto"/>
        </w:rPr>
        <w:t>Additional terms and conditions of your Award are included in the Performance Share Unit Agreement. As a condition to your receipt of Shares, you must log on to Fidelity’s</w:t>
      </w:r>
    </w:p>
    <w:p>
      <w:pPr>
        <w:sectPr>
          <w:pgSz w:w="11900" w:h="16838" w:orient="portrait"/>
          <w:cols w:equalWidth="0" w:num="1">
            <w:col w:w="11240"/>
          </w:cols>
          <w:pgMar w:left="320" w:top="1287" w:right="339" w:bottom="1440" w:gutter="0" w:footer="0" w:header="0"/>
        </w:sectPr>
      </w:pPr>
    </w:p>
    <w:bookmarkStart w:id="137" w:name="page138"/>
    <w:bookmarkEnd w:id="137"/>
    <w:p>
      <w:pPr>
        <w:spacing w:after="0" w:line="283" w:lineRule="auto"/>
        <w:rPr>
          <w:sz w:val="20"/>
          <w:szCs w:val="20"/>
          <w:color w:val="auto"/>
        </w:rPr>
      </w:pPr>
      <w:r>
        <w:rPr>
          <w:rFonts w:ascii="Arial" w:cs="Arial" w:eastAsia="Arial" w:hAnsi="Arial"/>
          <w:sz w:val="20"/>
          <w:szCs w:val="20"/>
          <w:b w:val="1"/>
          <w:bCs w:val="1"/>
          <w:color w:val="auto"/>
        </w:rPr>
        <w:t xml:space="preserve">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45" w:lineRule="exact"/>
        <w:rPr>
          <w:sz w:val="20"/>
          <w:szCs w:val="20"/>
          <w:color w:val="auto"/>
        </w:rPr>
      </w:pPr>
    </w:p>
    <w:p>
      <w:pPr>
        <w:ind w:right="140"/>
        <w:spacing w:after="0" w:line="273"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 through 7, 9(b)(ii)(B), and 9(b)(iv) of the Performance Share Unit Agreement contains provisions that restrict your activities. These provisions apply to you and, by accepting this Award, you agree to be bound by these restrictions. Accepting this Award, and these provisions, is not a condition of your employment or continued employment by Fiserv.</w:t>
      </w:r>
    </w:p>
    <w:p>
      <w:pPr>
        <w:sectPr>
          <w:pgSz w:w="11900" w:h="16838" w:orient="portrait"/>
          <w:cols w:equalWidth="0" w:num="1">
            <w:col w:w="11160"/>
          </w:cols>
          <w:pgMar w:left="320" w:top="1290" w:right="4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Performance Share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77" w:lineRule="exact"/>
        <w:rPr>
          <w:sz w:val="20"/>
          <w:szCs w:val="20"/>
          <w:color w:val="auto"/>
        </w:rPr>
      </w:pPr>
    </w:p>
    <w:p>
      <w:pPr>
        <w:ind w:left="480" w:hanging="342"/>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ind w:left="520" w:right="180" w:hanging="382"/>
        <w:spacing w:after="0" w:line="273" w:lineRule="auto"/>
        <w:tabs>
          <w:tab w:leader="none" w:pos="481"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 9.</w:t>
      </w:r>
    </w:p>
    <w:p>
      <w:pPr>
        <w:spacing w:after="0" w:line="178" w:lineRule="exact"/>
        <w:rPr>
          <w:rFonts w:ascii="Arial" w:cs="Arial" w:eastAsia="Arial" w:hAnsi="Arial"/>
          <w:sz w:val="18"/>
          <w:szCs w:val="18"/>
          <w:color w:val="auto"/>
        </w:rPr>
      </w:pPr>
    </w:p>
    <w:p>
      <w:pPr>
        <w:ind w:left="520" w:hanging="382"/>
        <w:spacing w:after="0" w:line="273" w:lineRule="auto"/>
        <w:tabs>
          <w:tab w:leader="none" w:pos="481"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Sections 5 through 8) shall terminate in all events on the earliest of (a)</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upon which vesting is no longer permitted pursuant to Section 9, (b) the date the Shares due hereunder have been issued to you, or (c) your failure to accept the terms of this Agreement, the Award Memorandum and the Plan within the time period and in the manner specified in this Agreement.</w:t>
      </w:r>
    </w:p>
    <w:p>
      <w:pPr>
        <w:spacing w:after="0" w:line="178" w:lineRule="exact"/>
        <w:rPr>
          <w:rFonts w:ascii="Arial" w:cs="Arial" w:eastAsia="Arial" w:hAnsi="Arial"/>
          <w:sz w:val="18"/>
          <w:szCs w:val="18"/>
          <w:color w:val="auto"/>
        </w:rPr>
      </w:pPr>
    </w:p>
    <w:p>
      <w:pPr>
        <w:ind w:left="480" w:hanging="342"/>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Definitions Related to </w:t>
      </w: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38" w:lineRule="exact"/>
        <w:rPr>
          <w:rFonts w:ascii="Arial" w:cs="Arial" w:eastAsia="Arial" w:hAnsi="Arial"/>
          <w:sz w:val="18"/>
          <w:szCs w:val="18"/>
          <w:color w:val="auto"/>
        </w:rPr>
      </w:pPr>
    </w:p>
    <w:p>
      <w:pPr>
        <w:ind w:left="1040" w:hanging="384"/>
        <w:spacing w:after="0" w:line="264" w:lineRule="auto"/>
        <w:tabs>
          <w:tab w:leader="none" w:pos="107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(i) information that is, at the time of disclosure, in the public domain or that is subsequently published or otherwise becomes part of the public domain through no fault of yours; or (ii)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80" w:lineRule="exact"/>
        <w:rPr>
          <w:rFonts w:ascii="Arial" w:cs="Arial" w:eastAsia="Arial" w:hAnsi="Arial"/>
          <w:sz w:val="18"/>
          <w:szCs w:val="18"/>
          <w:color w:val="auto"/>
        </w:rPr>
      </w:pPr>
    </w:p>
    <w:p>
      <w:pPr>
        <w:ind w:left="1040" w:hanging="384"/>
        <w:spacing w:after="0" w:line="273" w:lineRule="auto"/>
        <w:tabs>
          <w:tab w:leader="none" w:pos="106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Agreement, Competing Products or Services as to you are limited to products and/or services with respect to which you participated in the development, planning, testing, sale, marketing or evaluation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82" w:right="339" w:bottom="1440" w:gutter="0" w:footer="0" w:header="0"/>
        </w:sectPr>
      </w:pPr>
    </w:p>
    <w:bookmarkStart w:id="139" w:name="page140"/>
    <w:bookmarkEnd w:id="139"/>
    <w:p>
      <w:pPr>
        <w:ind w:left="902" w:right="160"/>
        <w:spacing w:after="0" w:line="303" w:lineRule="auto"/>
        <w:rPr>
          <w:sz w:val="20"/>
          <w:szCs w:val="20"/>
          <w:color w:val="auto"/>
        </w:rPr>
      </w:pPr>
      <w:r>
        <w:rPr>
          <w:rFonts w:ascii="Arial" w:cs="Arial" w:eastAsia="Arial" w:hAnsi="Arial"/>
          <w:sz w:val="18"/>
          <w:szCs w:val="18"/>
          <w:color w:val="auto"/>
        </w:rPr>
        <w:t>Fiserv during any part of the 24 months preceding the termination of your employment with Fiserv, or for which you supervised one or more Fiserv employees, units, divisions or departments in doing so.</w:t>
      </w:r>
    </w:p>
    <w:p>
      <w:pPr>
        <w:spacing w:after="0" w:line="152" w:lineRule="exact"/>
        <w:rPr>
          <w:sz w:val="20"/>
          <w:szCs w:val="20"/>
          <w:color w:val="auto"/>
        </w:rPr>
      </w:pPr>
    </w:p>
    <w:p>
      <w:pPr>
        <w:ind w:left="902" w:right="120" w:hanging="384"/>
        <w:spacing w:after="0" w:line="287" w:lineRule="auto"/>
        <w:tabs>
          <w:tab w:leader="none" w:pos="9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66" w:lineRule="exact"/>
        <w:rPr>
          <w:rFonts w:ascii="Arial" w:cs="Arial" w:eastAsia="Arial" w:hAnsi="Arial"/>
          <w:sz w:val="18"/>
          <w:szCs w:val="18"/>
          <w:color w:val="auto"/>
        </w:rPr>
      </w:pPr>
    </w:p>
    <w:p>
      <w:pPr>
        <w:ind w:left="902" w:right="160" w:hanging="384"/>
        <w:spacing w:after="0" w:line="273" w:lineRule="auto"/>
        <w:tabs>
          <w:tab w:leader="none" w:pos="9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78" w:lineRule="exact"/>
        <w:rPr>
          <w:rFonts w:ascii="Arial" w:cs="Arial" w:eastAsia="Arial" w:hAnsi="Arial"/>
          <w:sz w:val="18"/>
          <w:szCs w:val="18"/>
          <w:color w:val="auto"/>
        </w:rPr>
      </w:pPr>
    </w:p>
    <w:p>
      <w:pPr>
        <w:ind w:left="902" w:right="120" w:hanging="384"/>
        <w:spacing w:after="0" w:line="287" w:lineRule="auto"/>
        <w:tabs>
          <w:tab w:leader="none" w:pos="88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66" w:lineRule="exact"/>
        <w:rPr>
          <w:rFonts w:ascii="Arial" w:cs="Arial" w:eastAsia="Arial" w:hAnsi="Arial"/>
          <w:sz w:val="18"/>
          <w:szCs w:val="18"/>
          <w:color w:val="auto"/>
        </w:rPr>
      </w:pPr>
    </w:p>
    <w:p>
      <w:pPr>
        <w:jc w:val="both"/>
        <w:ind w:left="902" w:hanging="384"/>
        <w:spacing w:after="0" w:line="276" w:lineRule="auto"/>
        <w:tabs>
          <w:tab w:leader="none" w:pos="9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(i) for which you directly performed services or for which you supervised others in performing services with Fiserv during any part of the 24 months preceding the termination of your employment with Fiserv; or (ii) about which you have Confidential Information as a result of your employment with Fiserv.</w:t>
      </w:r>
    </w:p>
    <w:p>
      <w:pPr>
        <w:spacing w:after="0" w:line="176" w:lineRule="exact"/>
        <w:rPr>
          <w:rFonts w:ascii="Arial" w:cs="Arial" w:eastAsia="Arial" w:hAnsi="Arial"/>
          <w:sz w:val="18"/>
          <w:szCs w:val="18"/>
          <w:color w:val="auto"/>
        </w:rPr>
      </w:pPr>
    </w:p>
    <w:p>
      <w:pPr>
        <w:ind w:left="902" w:right="80" w:hanging="384"/>
        <w:spacing w:after="0" w:line="271" w:lineRule="auto"/>
        <w:tabs>
          <w:tab w:leader="none" w:pos="9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67" w:lineRule="exact"/>
        <w:rPr>
          <w:rFonts w:ascii="Arial" w:cs="Arial" w:eastAsia="Arial" w:hAnsi="Arial"/>
          <w:sz w:val="18"/>
          <w:szCs w:val="18"/>
          <w:color w:val="auto"/>
        </w:rPr>
      </w:pPr>
    </w:p>
    <w:p>
      <w:pPr>
        <w:ind w:left="902" w:right="460" w:hanging="384"/>
        <w:spacing w:after="0" w:line="284" w:lineRule="auto"/>
        <w:tabs>
          <w:tab w:leader="none" w:pos="87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the geographic regions for which you had executive, managerial, supervisory, sales, marketing, client servicing, and/or other responsibilities during any part of the 24 months preceding the termination of your employment with Fiserv.</w:t>
      </w:r>
    </w:p>
    <w:p>
      <w:pPr>
        <w:spacing w:after="0" w:line="156" w:lineRule="exact"/>
        <w:rPr>
          <w:rFonts w:ascii="Arial" w:cs="Arial" w:eastAsia="Arial" w:hAnsi="Arial"/>
          <w:sz w:val="18"/>
          <w:szCs w:val="18"/>
          <w:color w:val="auto"/>
        </w:rPr>
      </w:pPr>
    </w:p>
    <w:p>
      <w:pPr>
        <w:ind w:left="902" w:right="260" w:hanging="384"/>
        <w:spacing w:after="0" w:line="273" w:lineRule="auto"/>
        <w:tabs>
          <w:tab w:leader="none" w:pos="87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 (i) for which you directly worked with or for which you supervised others in working with during any part of the 24 months preceding the termination of your employment with Fiserv; or (ii) about which you have Confidential Information as a result of your employment with Fiserv.</w:t>
      </w:r>
    </w:p>
    <w:p>
      <w:pPr>
        <w:spacing w:after="0" w:line="178" w:lineRule="exact"/>
        <w:rPr>
          <w:rFonts w:ascii="Arial" w:cs="Arial" w:eastAsia="Arial" w:hAnsi="Arial"/>
          <w:sz w:val="18"/>
          <w:szCs w:val="18"/>
          <w:color w:val="auto"/>
        </w:rPr>
      </w:pPr>
    </w:p>
    <w:p>
      <w:pPr>
        <w:ind w:left="902" w:right="160" w:hanging="384"/>
        <w:spacing w:after="0" w:line="273" w:lineRule="auto"/>
        <w:tabs>
          <w:tab w:leader="none" w:pos="92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Sections 5 through 7, 9(b)(ii)(B), and 9(b)(iv) of this Agreement to the extent specified in the Addendum. The Addendum will be incorporated into, construed jointly with, modify and/or supplement the terms of Sections 5 through 7, 9(b)(ii)(B), and 9(b)(iv) of this Agreement.</w:t>
      </w:r>
    </w:p>
    <w:p>
      <w:pPr>
        <w:spacing w:after="0" w:line="165" w:lineRule="exact"/>
        <w:rPr>
          <w:rFonts w:ascii="Arial" w:cs="Arial" w:eastAsia="Arial" w:hAnsi="Arial"/>
          <w:sz w:val="18"/>
          <w:szCs w:val="18"/>
          <w:color w:val="auto"/>
        </w:rPr>
      </w:pPr>
    </w:p>
    <w:p>
      <w:pPr>
        <w:ind w:left="382" w:right="220" w:hanging="382"/>
        <w:spacing w:after="0" w:line="271" w:lineRule="auto"/>
        <w:tabs>
          <w:tab w:leader="none" w:pos="344"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Innovations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Fiserv will provide you with Confidential Information relating to Fiserv,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clients, the disclosure or misuse of which would cause severe and irreparable harm to Fiserv. You agree that all Confidential Information is and shall remain the sole and absolute property of Fiserv. Upon the termination of your employment from Fiserv for any reason, you shall immediately return to Fiserv all documents and materials that contain or constitute Confidential Information, in any form whatsoever,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2"/>
          </w:cols>
          <w:pgMar w:left="458" w:top="1282" w:right="339" w:bottom="1440" w:gutter="0" w:footer="0" w:header="0"/>
        </w:sectPr>
      </w:pPr>
    </w:p>
    <w:bookmarkStart w:id="140" w:name="page141"/>
    <w:bookmarkEnd w:id="140"/>
    <w:p>
      <w:pPr>
        <w:ind w:right="120"/>
        <w:spacing w:after="0" w:line="284" w:lineRule="auto"/>
        <w:rPr>
          <w:sz w:val="20"/>
          <w:szCs w:val="20"/>
          <w:color w:val="auto"/>
        </w:rPr>
      </w:pPr>
      <w:r>
        <w:rPr>
          <w:rFonts w:ascii="Arial" w:cs="Arial" w:eastAsia="Arial" w:hAnsi="Arial"/>
          <w:sz w:val="18"/>
          <w:szCs w:val="18"/>
          <w:color w:val="auto"/>
        </w:rPr>
        <w:t>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56" w:lineRule="exact"/>
        <w:rPr>
          <w:sz w:val="20"/>
          <w:szCs w:val="20"/>
          <w:color w:val="auto"/>
        </w:rPr>
      </w:pPr>
    </w:p>
    <w:p>
      <w:pPr>
        <w:ind w:left="520" w:right="160" w:hanging="384"/>
        <w:spacing w:after="0" w:line="271" w:lineRule="auto"/>
        <w:tabs>
          <w:tab w:leader="none" w:pos="5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81" w:lineRule="exact"/>
        <w:rPr>
          <w:rFonts w:ascii="Arial" w:cs="Arial" w:eastAsia="Arial" w:hAnsi="Arial"/>
          <w:sz w:val="18"/>
          <w:szCs w:val="18"/>
          <w:color w:val="auto"/>
        </w:rPr>
      </w:pPr>
    </w:p>
    <w:p>
      <w:pPr>
        <w:ind w:left="520" w:hanging="384"/>
        <w:spacing w:after="0" w:line="267" w:lineRule="auto"/>
        <w:tabs>
          <w:tab w:leader="none" w:pos="54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85" w:lineRule="exact"/>
        <w:rPr>
          <w:rFonts w:ascii="Arial" w:cs="Arial" w:eastAsia="Arial" w:hAnsi="Arial"/>
          <w:sz w:val="18"/>
          <w:szCs w:val="18"/>
          <w:color w:val="auto"/>
        </w:rPr>
      </w:pPr>
    </w:p>
    <w:p>
      <w:pPr>
        <w:ind w:left="540" w:hanging="40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w:t>
      </w:r>
    </w:p>
    <w:p>
      <w:pPr>
        <w:spacing w:after="0" w:line="238" w:lineRule="exact"/>
        <w:rPr>
          <w:rFonts w:ascii="Arial" w:cs="Arial" w:eastAsia="Arial" w:hAnsi="Arial"/>
          <w:sz w:val="18"/>
          <w:szCs w:val="18"/>
          <w:color w:val="auto"/>
        </w:rPr>
      </w:pPr>
    </w:p>
    <w:p>
      <w:pPr>
        <w:ind w:left="940" w:right="80" w:hanging="399"/>
        <w:spacing w:after="0" w:line="267" w:lineRule="auto"/>
        <w:tabs>
          <w:tab w:leader="none" w:pos="94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Nothing in this Agreement or any other Fiserv policy prohibits or impedes you from communicating, cooperating, or filing a complaint with any U.S., federal, state, or local governmental or law enforcement branch, agency, or entity (collectively,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concerning possible violations of any U.S., federal, state, or local law or regulation, or otherwise making disclosures to any Governmental Entity that are protected under the whistleblower provisions of any such law or regulation. Unless specifically permitted by applicable law, you are not authorized to disclose any information covered by attorney client privilege or attorney work product without the written consent of the General Counsel of Fiserv; and</w:t>
      </w:r>
    </w:p>
    <w:p>
      <w:pPr>
        <w:spacing w:after="0" w:line="184" w:lineRule="exact"/>
        <w:rPr>
          <w:rFonts w:ascii="Arial" w:cs="Arial" w:eastAsia="Arial" w:hAnsi="Arial"/>
          <w:sz w:val="18"/>
          <w:szCs w:val="18"/>
          <w:color w:val="auto"/>
        </w:rPr>
      </w:pPr>
    </w:p>
    <w:p>
      <w:pPr>
        <w:ind w:left="1000" w:hanging="459"/>
        <w:spacing w:after="0"/>
        <w:tabs>
          <w:tab w:leader="none" w:pos="10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Pursuant to 18 U.S.C. §1833(b)(1) and §1833(b)(2):</w:t>
      </w:r>
    </w:p>
    <w:p>
      <w:pPr>
        <w:spacing w:after="0" w:line="225" w:lineRule="exact"/>
        <w:rPr>
          <w:rFonts w:ascii="Arial" w:cs="Arial" w:eastAsia="Arial" w:hAnsi="Arial"/>
          <w:sz w:val="18"/>
          <w:szCs w:val="18"/>
          <w:color w:val="auto"/>
        </w:rPr>
      </w:pPr>
    </w:p>
    <w:p>
      <w:pPr>
        <w:ind w:left="1440" w:right="20" w:hanging="332"/>
        <w:spacing w:after="0" w:line="280" w:lineRule="auto"/>
        <w:tabs>
          <w:tab w:leader="none" w:pos="1437" w:val="left"/>
        </w:tabs>
        <w:numPr>
          <w:ilvl w:val="2"/>
          <w:numId w:val="113"/>
        </w:numPr>
        <w:rPr>
          <w:rFonts w:ascii="Arial" w:cs="Arial" w:eastAsia="Arial" w:hAnsi="Arial"/>
          <w:sz w:val="17"/>
          <w:szCs w:val="17"/>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w:t>
      </w:r>
    </w:p>
    <w:p>
      <w:pPr>
        <w:ind w:left="1700" w:hanging="268"/>
        <w:spacing w:after="0"/>
        <w:tabs>
          <w:tab w:leader="none" w:pos="170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is made in a complaint or other document filed in a lawsuit or other proceeding, if such filing is made under seal.</w:t>
      </w:r>
    </w:p>
    <w:p>
      <w:pPr>
        <w:spacing w:after="0" w:line="229" w:lineRule="exact"/>
        <w:rPr>
          <w:rFonts w:ascii="Arial" w:cs="Arial" w:eastAsia="Arial" w:hAnsi="Arial"/>
          <w:sz w:val="18"/>
          <w:szCs w:val="18"/>
          <w:color w:val="auto"/>
        </w:rPr>
      </w:pPr>
    </w:p>
    <w:p>
      <w:pPr>
        <w:ind w:left="1440" w:right="240" w:hanging="332"/>
        <w:spacing w:after="0" w:line="273" w:lineRule="auto"/>
        <w:tabs>
          <w:tab w:leader="none" w:pos="1437"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Fiserv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65" w:lineRule="exact"/>
        <w:rPr>
          <w:sz w:val="20"/>
          <w:szCs w:val="20"/>
          <w:color w:val="auto"/>
        </w:rPr>
      </w:pPr>
    </w:p>
    <w:p>
      <w:pPr>
        <w:ind w:left="520" w:right="160"/>
        <w:spacing w:after="0" w:line="303"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Fiserv for, among other things, exemplary damages and attorneys’ fees.</w:t>
      </w:r>
    </w:p>
    <w:p>
      <w:pPr>
        <w:spacing w:after="0" w:line="152" w:lineRule="exact"/>
        <w:rPr>
          <w:sz w:val="20"/>
          <w:szCs w:val="20"/>
          <w:color w:val="auto"/>
        </w:rPr>
      </w:pPr>
    </w:p>
    <w:p>
      <w:pPr>
        <w:ind w:left="520" w:right="240" w:hanging="384"/>
        <w:spacing w:after="0" w:line="276" w:lineRule="auto"/>
        <w:tabs>
          <w:tab w:leader="none" w:pos="5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employees, Clients, Prospective Clients and Vendors of Fiserv and develop and maintain relationships with such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840" w:top="1282" w:right="339" w:bottom="1440" w:gutter="0" w:footer="0" w:header="0"/>
        </w:sectPr>
      </w:pPr>
    </w:p>
    <w:bookmarkStart w:id="141" w:name="page142"/>
    <w:bookmarkEnd w:id="141"/>
    <w:p>
      <w:pPr>
        <w:ind w:left="902" w:right="20"/>
        <w:spacing w:after="0" w:line="267" w:lineRule="auto"/>
        <w:rPr>
          <w:sz w:val="20"/>
          <w:szCs w:val="20"/>
          <w:color w:val="auto"/>
        </w:rPr>
      </w:pPr>
      <w:r>
        <w:rPr>
          <w:rFonts w:ascii="Arial" w:cs="Arial" w:eastAsia="Arial" w:hAnsi="Arial"/>
          <w:sz w:val="18"/>
          <w:szCs w:val="18"/>
          <w:color w:val="auto"/>
        </w:rPr>
        <w:t>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or employees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employees, Clients, Prospective Clients and Vendors through misappropriation of Fiserv’s Confidential Information. Consequently, you agree to the restrictions set forth in this Agreement.</w:t>
      </w:r>
    </w:p>
    <w:p>
      <w:pPr>
        <w:spacing w:after="0" w:line="184" w:lineRule="exact"/>
        <w:rPr>
          <w:sz w:val="20"/>
          <w:szCs w:val="20"/>
          <w:color w:val="auto"/>
        </w:rPr>
      </w:pPr>
    </w:p>
    <w:p>
      <w:pPr>
        <w:jc w:val="both"/>
        <w:ind w:left="902" w:right="160" w:hanging="384"/>
        <w:spacing w:after="0" w:line="273" w:lineRule="auto"/>
        <w:tabs>
          <w:tab w:leader="none" w:pos="93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restrictions on confidentiality set forth in this Agreement apply: (i) during the time of your employment with Fiserv; (ii) with respect to Confidential Information, for a period of 24 months following the date of termination of your employment with Fiserv; and (iii) with respect to trade secrets, for such period as is permitted by applicable law following the date of termination of your employment with Fiserv.</w:t>
      </w:r>
    </w:p>
    <w:p>
      <w:pPr>
        <w:spacing w:after="0" w:line="178" w:lineRule="exact"/>
        <w:rPr>
          <w:rFonts w:ascii="Arial" w:cs="Arial" w:eastAsia="Arial" w:hAnsi="Arial"/>
          <w:sz w:val="18"/>
          <w:szCs w:val="18"/>
          <w:color w:val="auto"/>
        </w:rPr>
      </w:pPr>
    </w:p>
    <w:p>
      <w:pPr>
        <w:ind w:left="382" w:hanging="382"/>
        <w:spacing w:after="0" w:line="267" w:lineRule="auto"/>
        <w:tabs>
          <w:tab w:leader="none" w:pos="344"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During Employment</w:t>
      </w:r>
      <w:r>
        <w:rPr>
          <w:rFonts w:ascii="Arial" w:cs="Arial" w:eastAsia="Arial" w:hAnsi="Arial"/>
          <w:sz w:val="18"/>
          <w:szCs w:val="18"/>
          <w:color w:val="auto"/>
        </w:rPr>
        <w:t>. You agree that, without the written consent of the Chief Executive Officer of the Company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the Chief Executive Officer of the Company, without the written approval of the Board of Directors of the Company, you shall not engage in any of the conduct described in below, either directly or indirectly, or as an employee, contractor, consultant, partner, officer, director or stockholder, other than a stockholder of less than 5% of the equities of a publicly traded corporation, or in any other capacity for any person, firm, partnership or corporation: During the time of your employment with Fiserv, you will not:</w:t>
      </w:r>
    </w:p>
    <w:p>
      <w:pPr>
        <w:spacing w:after="0" w:line="185" w:lineRule="exact"/>
        <w:rPr>
          <w:rFonts w:ascii="Arial" w:cs="Arial" w:eastAsia="Arial" w:hAnsi="Arial"/>
          <w:sz w:val="18"/>
          <w:szCs w:val="18"/>
          <w:color w:val="auto"/>
        </w:rPr>
      </w:pPr>
    </w:p>
    <w:p>
      <w:pPr>
        <w:ind w:left="902" w:right="140" w:hanging="384"/>
        <w:spacing w:after="0" w:line="303"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 or</w:t>
      </w:r>
    </w:p>
    <w:p>
      <w:pPr>
        <w:spacing w:after="0" w:line="138" w:lineRule="exact"/>
        <w:rPr>
          <w:rFonts w:ascii="Arial" w:cs="Arial" w:eastAsia="Arial" w:hAnsi="Arial"/>
          <w:sz w:val="18"/>
          <w:szCs w:val="18"/>
          <w:color w:val="auto"/>
        </w:rPr>
      </w:pPr>
    </w:p>
    <w:p>
      <w:pPr>
        <w:ind w:left="902" w:right="420" w:hanging="384"/>
        <w:spacing w:after="0" w:line="303"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52" w:lineRule="exact"/>
        <w:rPr>
          <w:rFonts w:ascii="Arial" w:cs="Arial" w:eastAsia="Arial" w:hAnsi="Arial"/>
          <w:sz w:val="18"/>
          <w:szCs w:val="18"/>
          <w:color w:val="auto"/>
        </w:rPr>
      </w:pPr>
    </w:p>
    <w:p>
      <w:pPr>
        <w:ind w:left="902" w:right="40" w:hanging="384"/>
        <w:spacing w:after="0" w:line="300" w:lineRule="auto"/>
        <w:tabs>
          <w:tab w:leader="none" w:pos="92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entice, induce, encourage, urge or solicit any employee to leave employment with Fiserv or become employed by a Competitor, Client, Prospective Client, or Vendor of Fiserv (the provisions of this Section 6(c) shall apply to any employee of Fiserv with whom you worked during any part of the 24 month period preceding the termination of your employment with Fiserv).</w:t>
      </w:r>
    </w:p>
    <w:p>
      <w:pPr>
        <w:spacing w:after="0" w:line="144" w:lineRule="exact"/>
        <w:rPr>
          <w:rFonts w:ascii="Arial" w:cs="Arial" w:eastAsia="Arial" w:hAnsi="Arial"/>
          <w:sz w:val="17"/>
          <w:szCs w:val="17"/>
          <w:color w:val="auto"/>
        </w:rPr>
      </w:pPr>
    </w:p>
    <w:p>
      <w:pPr>
        <w:ind w:left="382" w:right="40" w:hanging="382"/>
        <w:spacing w:after="0" w:line="270" w:lineRule="auto"/>
        <w:tabs>
          <w:tab w:leader="none" w:pos="344"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Following Employment</w:t>
      </w:r>
      <w:r>
        <w:rPr>
          <w:rFonts w:ascii="Arial" w:cs="Arial" w:eastAsia="Arial" w:hAnsi="Arial"/>
          <w:sz w:val="18"/>
          <w:szCs w:val="18"/>
          <w:color w:val="auto"/>
        </w:rPr>
        <w:t>. You agree that, without the written consent of the Chief Executive Officer of the Company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the Chief Executive Officer of the Company, without the written approval of the Board of Directors of the Company, you shall not engage in any of the conduct described below, either directly or indirectly, or as an employee, contractor, consultant, partner, officer, director or stockholder, other than a stockholder of less than 5% of the equities of a publicly traded corporation, or in any other capacity for any person, firm, partnership or corporation. For a period of 12 months following the date of termination of your employment with Fiserv, in the Territory, you will not:</w:t>
      </w:r>
    </w:p>
    <w:p>
      <w:pPr>
        <w:spacing w:after="0" w:line="168" w:lineRule="exact"/>
        <w:rPr>
          <w:rFonts w:ascii="Arial" w:cs="Arial" w:eastAsia="Arial" w:hAnsi="Arial"/>
          <w:sz w:val="18"/>
          <w:szCs w:val="18"/>
          <w:color w:val="auto"/>
        </w:rPr>
      </w:pPr>
    </w:p>
    <w:p>
      <w:pPr>
        <w:ind w:left="902" w:right="180" w:hanging="384"/>
        <w:spacing w:after="0" w:line="284" w:lineRule="auto"/>
        <w:tabs>
          <w:tab w:leader="none" w:pos="93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2"/>
          </w:cols>
          <w:pgMar w:left="458" w:top="1282" w:right="359" w:bottom="1440" w:gutter="0" w:footer="0" w:header="0"/>
        </w:sectPr>
      </w:pPr>
    </w:p>
    <w:bookmarkStart w:id="142" w:name="page143"/>
    <w:bookmarkEnd w:id="142"/>
    <w:p>
      <w:pPr>
        <w:ind w:left="902" w:right="240" w:hanging="384"/>
        <w:spacing w:after="0" w:line="284" w:lineRule="auto"/>
        <w:tabs>
          <w:tab w:leader="none" w:pos="93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as or similar to the duties performed by you for Fiserv at any time during any part of the 24 month period preceding the termination of your employment with Fiserv and which involve a Competing Product or Service;</w:t>
      </w:r>
    </w:p>
    <w:p>
      <w:pPr>
        <w:spacing w:after="0" w:line="156" w:lineRule="exact"/>
        <w:rPr>
          <w:rFonts w:ascii="Arial" w:cs="Arial" w:eastAsia="Arial" w:hAnsi="Arial"/>
          <w:sz w:val="18"/>
          <w:szCs w:val="18"/>
          <w:color w:val="auto"/>
        </w:rPr>
      </w:pPr>
    </w:p>
    <w:p>
      <w:pPr>
        <w:ind w:left="902" w:right="400" w:hanging="384"/>
        <w:spacing w:after="0" w:line="303" w:lineRule="auto"/>
        <w:tabs>
          <w:tab w:leader="none" w:pos="92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52" w:lineRule="exact"/>
        <w:rPr>
          <w:rFonts w:ascii="Arial" w:cs="Arial" w:eastAsia="Arial" w:hAnsi="Arial"/>
          <w:sz w:val="18"/>
          <w:szCs w:val="18"/>
          <w:color w:val="auto"/>
        </w:rPr>
      </w:pPr>
    </w:p>
    <w:p>
      <w:pPr>
        <w:ind w:left="902" w:right="100" w:hanging="384"/>
        <w:spacing w:after="0" w:line="300" w:lineRule="auto"/>
        <w:tabs>
          <w:tab w:leader="none" w:pos="93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entice, induce, encourage urge or solicit any employee to leave employment with Fiserv or become employed by a Competitor, Client or Prospective Client or Vendor of Fiserv (the provisions of this Section 7(d) shall apply to any employee of Fiserv with whom you worked during any part of the 24 month period preceding the termination of your employment with Fiserv; or</w:t>
      </w:r>
    </w:p>
    <w:p>
      <w:pPr>
        <w:spacing w:after="0" w:line="157" w:lineRule="exact"/>
        <w:rPr>
          <w:rFonts w:ascii="Arial" w:cs="Arial" w:eastAsia="Arial" w:hAnsi="Arial"/>
          <w:sz w:val="17"/>
          <w:szCs w:val="17"/>
          <w:color w:val="auto"/>
        </w:rPr>
      </w:pPr>
    </w:p>
    <w:p>
      <w:pPr>
        <w:jc w:val="both"/>
        <w:ind w:left="902" w:right="460" w:hanging="384"/>
        <w:spacing w:after="0" w:line="276" w:lineRule="auto"/>
        <w:tabs>
          <w:tab w:leader="none" w:pos="93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76" w:lineRule="exact"/>
        <w:rPr>
          <w:rFonts w:ascii="Arial" w:cs="Arial" w:eastAsia="Arial" w:hAnsi="Arial"/>
          <w:sz w:val="18"/>
          <w:szCs w:val="18"/>
          <w:color w:val="auto"/>
        </w:rPr>
      </w:pPr>
    </w:p>
    <w:p>
      <w:pPr>
        <w:ind w:left="342" w:hanging="342"/>
        <w:spacing w:after="0"/>
        <w:tabs>
          <w:tab w:leader="none" w:pos="342"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 Regarding Restrictive Covenants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902" w:right="120" w:hanging="384"/>
        <w:spacing w:after="0" w:line="284" w:lineRule="auto"/>
        <w:tabs>
          <w:tab w:leader="none" w:pos="93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For purposes of Sections 7(a)-(b) of this Agreement, and without limiting any other provision hereof, you acknowledge that Fiserv associates who are classified as having the highest grade in Fiserv will be deemed to have enterprise-wide duties which encompass duties relative to all Fiserv business units and functions.</w:t>
      </w:r>
    </w:p>
    <w:p>
      <w:pPr>
        <w:spacing w:after="0" w:line="156" w:lineRule="exact"/>
        <w:rPr>
          <w:rFonts w:ascii="Arial" w:cs="Arial" w:eastAsia="Arial" w:hAnsi="Arial"/>
          <w:sz w:val="18"/>
          <w:szCs w:val="18"/>
          <w:color w:val="auto"/>
        </w:rPr>
      </w:pPr>
    </w:p>
    <w:p>
      <w:pPr>
        <w:ind w:left="902" w:hanging="384"/>
        <w:spacing w:after="0" w:line="272" w:lineRule="auto"/>
        <w:tabs>
          <w:tab w:leader="none" w:pos="933"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No provision of Sections 5 through 7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Sections 5 through 7 are set forth in the Addendum that will be provided and/or made available to you concurrently with this Agreement.</w:t>
      </w:r>
    </w:p>
    <w:p>
      <w:pPr>
        <w:spacing w:after="0" w:line="158" w:lineRule="exact"/>
        <w:rPr>
          <w:rFonts w:ascii="Arial" w:cs="Arial" w:eastAsia="Arial" w:hAnsi="Arial"/>
          <w:sz w:val="18"/>
          <w:szCs w:val="18"/>
          <w:color w:val="auto"/>
        </w:rPr>
      </w:pPr>
    </w:p>
    <w:p>
      <w:pPr>
        <w:ind w:left="902" w:right="20" w:hanging="384"/>
        <w:spacing w:after="0" w:line="266" w:lineRule="auto"/>
        <w:tabs>
          <w:tab w:leader="none" w:pos="9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Sections 5 through 7 and, if applicable, is necessary to protect Fiserv, and that a breach of any of Sections 5 through 7 will result in irreparable and continuing damage to the Company for which there will be no adequate remedy at law. In the event of a breach of Sections 5 through 7, or any part thereof, Fiserv, and its successors and assigns, shall be entitled to injunctive relief and to such other and further relief as is proper under the circumstances. Fiserv may institute and prosecute proceedings in any Court of competent jurisdiction either in law or in equity to obtain damages for any such breach of Sections 5 through 7, or to enjoin you from performing services in breach of Sections 5 through 7. You hereby agree to submit to the jurisdiction of any Court of competent jurisdiction in any disputes that arise under this Agreement.</w:t>
      </w:r>
    </w:p>
    <w:p>
      <w:pPr>
        <w:spacing w:after="0" w:line="176" w:lineRule="exact"/>
        <w:rPr>
          <w:rFonts w:ascii="Arial" w:cs="Arial" w:eastAsia="Arial" w:hAnsi="Arial"/>
          <w:sz w:val="18"/>
          <w:szCs w:val="18"/>
          <w:color w:val="auto"/>
        </w:rPr>
      </w:pPr>
    </w:p>
    <w:p>
      <w:pPr>
        <w:ind w:left="902" w:right="80" w:hanging="384"/>
        <w:spacing w:after="0" w:line="284" w:lineRule="auto"/>
        <w:tabs>
          <w:tab w:leader="none" w:pos="93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Sections 5 through 7, Fiserv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2"/>
          </w:cols>
          <w:pgMar w:left="458" w:top="1282" w:right="339" w:bottom="1440" w:gutter="0" w:footer="0" w:header="0"/>
        </w:sectPr>
      </w:pPr>
    </w:p>
    <w:bookmarkStart w:id="143" w:name="page144"/>
    <w:bookmarkEnd w:id="143"/>
    <w:p>
      <w:pPr>
        <w:ind w:left="942" w:hanging="424"/>
        <w:spacing w:after="0"/>
        <w:tabs>
          <w:tab w:leader="none" w:pos="94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Fiserv.</w:t>
      </w:r>
    </w:p>
    <w:p>
      <w:pPr>
        <w:spacing w:after="0" w:line="238" w:lineRule="exact"/>
        <w:rPr>
          <w:rFonts w:ascii="Arial" w:cs="Arial" w:eastAsia="Arial" w:hAnsi="Arial"/>
          <w:sz w:val="18"/>
          <w:szCs w:val="18"/>
          <w:color w:val="auto"/>
        </w:rPr>
      </w:pPr>
    </w:p>
    <w:p>
      <w:pPr>
        <w:ind w:left="902" w:hanging="384"/>
        <w:spacing w:after="0" w:line="294" w:lineRule="auto"/>
        <w:tabs>
          <w:tab w:leader="none" w:pos="8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YOU HAVE READ THIS AGREEMENT, INCLUDING SECTIONS 5 THROUGH 7, AND AGREE THAT THE CONSIDERATION PROVIDED BY THE COMPANY IS FAIR AND REASONABLE AND FURTHER AGREE THAT GIVEN THE IMPORTANCE TO THE COMPANY OF ITS CONFIDENTIAL AND PROPRIETARY INFORMATION, THE POST-EMPLOYMENT RESTRICTIONS ON YOUR ACTIVITIES, INCLUDING THOSE THAT APPLY POST-EMPLOYMENT, ARE LIKEWISE FAIR AND REASONABLE.</w:t>
      </w:r>
    </w:p>
    <w:p>
      <w:pPr>
        <w:spacing w:after="0" w:line="162" w:lineRule="exact"/>
        <w:rPr>
          <w:rFonts w:ascii="Arial" w:cs="Arial" w:eastAsia="Arial" w:hAnsi="Arial"/>
          <w:sz w:val="17"/>
          <w:szCs w:val="17"/>
          <w:color w:val="auto"/>
        </w:rPr>
      </w:pPr>
    </w:p>
    <w:p>
      <w:pPr>
        <w:ind w:left="342" w:hanging="342"/>
        <w:spacing w:after="0"/>
        <w:tabs>
          <w:tab w:leader="none" w:pos="342"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902" w:right="60" w:hanging="384"/>
        <w:spacing w:after="0" w:line="284" w:lineRule="auto"/>
        <w:tabs>
          <w:tab w:leader="none" w:pos="933" w:val="left"/>
        </w:tabs>
        <w:numPr>
          <w:ilvl w:val="1"/>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prior to the Vesting Date, then the Award shall terminate on the date on which such Termination Event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the reason for your Termination Event is:</w:t>
      </w:r>
    </w:p>
    <w:p>
      <w:pPr>
        <w:spacing w:after="0" w:line="156" w:lineRule="exact"/>
        <w:rPr>
          <w:rFonts w:ascii="Arial" w:cs="Arial" w:eastAsia="Arial" w:hAnsi="Arial"/>
          <w:sz w:val="18"/>
          <w:szCs w:val="18"/>
          <w:color w:val="auto"/>
        </w:rPr>
      </w:pPr>
    </w:p>
    <w:p>
      <w:pPr>
        <w:ind w:left="1302" w:right="40" w:hanging="395"/>
        <w:spacing w:after="0" w:line="303" w:lineRule="auto"/>
        <w:tabs>
          <w:tab w:leader="none" w:pos="1289" w:val="left"/>
        </w:tabs>
        <w:numPr>
          <w:ilvl w:val="2"/>
          <w:numId w:val="120"/>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3-Year Performance Period as if you had not terminated employment based on actual performance.</w:t>
      </w:r>
    </w:p>
    <w:p>
      <w:pPr>
        <w:spacing w:after="0" w:line="152" w:lineRule="exact"/>
        <w:rPr>
          <w:rFonts w:ascii="Arial" w:cs="Arial" w:eastAsia="Arial" w:hAnsi="Arial"/>
          <w:sz w:val="18"/>
          <w:szCs w:val="18"/>
          <w:color w:val="auto"/>
        </w:rPr>
      </w:pPr>
    </w:p>
    <w:p>
      <w:pPr>
        <w:ind w:left="1302" w:hanging="395"/>
        <w:spacing w:after="0" w:line="267" w:lineRule="auto"/>
        <w:tabs>
          <w:tab w:leader="none" w:pos="1302" w:val="left"/>
        </w:tabs>
        <w:numPr>
          <w:ilvl w:val="2"/>
          <w:numId w:val="120"/>
        </w:numPr>
        <w:rPr>
          <w:rFonts w:ascii="Arial" w:cs="Arial" w:eastAsia="Arial" w:hAnsi="Arial"/>
          <w:sz w:val="18"/>
          <w:szCs w:val="18"/>
          <w:color w:val="auto"/>
        </w:rPr>
      </w:pPr>
      <w:r>
        <w:rPr>
          <w:rFonts w:ascii="Arial" w:cs="Arial" w:eastAsia="Arial" w:hAnsi="Arial"/>
          <w:sz w:val="18"/>
          <w:szCs w:val="18"/>
          <w:color w:val="auto"/>
        </w:rPr>
        <w:t>Retirement on a date that is after (6) months after the commencement of the 3-Year Performance Period, then the number of Shares issuable under this Award, if any, shall be determined after the end of the 3-Year Performance and be equal to the total issuable based on actual performance multiplied by a fraction, the numerator of which is the number of full months of your employment during the 3-Year Performance Period and the denominator of which is the number of full months in such performance period.</w:t>
      </w:r>
    </w:p>
    <w:p>
      <w:pPr>
        <w:spacing w:after="0" w:line="185" w:lineRule="exact"/>
        <w:rPr>
          <w:sz w:val="20"/>
          <w:szCs w:val="20"/>
          <w:color w:val="auto"/>
        </w:rPr>
      </w:pPr>
    </w:p>
    <w:p>
      <w:pPr>
        <w:ind w:left="522"/>
        <w:spacing w:after="0" w:line="303"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39" w:lineRule="exact"/>
        <w:rPr>
          <w:sz w:val="20"/>
          <w:szCs w:val="20"/>
          <w:color w:val="auto"/>
        </w:rPr>
      </w:pPr>
    </w:p>
    <w:p>
      <w:pPr>
        <w:ind w:left="942" w:hanging="424"/>
        <w:spacing w:after="0"/>
        <w:tabs>
          <w:tab w:leader="none" w:pos="942"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302" w:right="340" w:hanging="395"/>
        <w:spacing w:after="0"/>
        <w:tabs>
          <w:tab w:leader="none" w:pos="128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purposes of this Section 9,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80" w:lineRule="exact"/>
        <w:rPr>
          <w:rFonts w:ascii="Arial" w:cs="Arial" w:eastAsia="Arial" w:hAnsi="Arial"/>
          <w:sz w:val="18"/>
          <w:szCs w:val="18"/>
          <w:color w:val="auto"/>
        </w:rPr>
      </w:pPr>
    </w:p>
    <w:p>
      <w:pPr>
        <w:ind w:left="1682" w:right="880" w:hanging="386"/>
        <w:spacing w:after="0" w:line="287" w:lineRule="auto"/>
        <w:tabs>
          <w:tab w:leader="none" w:pos="168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66" w:lineRule="exact"/>
        <w:rPr>
          <w:rFonts w:ascii="Arial" w:cs="Arial" w:eastAsia="Arial" w:hAnsi="Arial"/>
          <w:sz w:val="18"/>
          <w:szCs w:val="18"/>
          <w:color w:val="auto"/>
        </w:rPr>
      </w:pPr>
    </w:p>
    <w:p>
      <w:pPr>
        <w:ind w:left="1682" w:hanging="386"/>
        <w:spacing w:after="0"/>
        <w:tabs>
          <w:tab w:leader="none" w:pos="168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w:t>
      </w:r>
    </w:p>
    <w:p>
      <w:pPr>
        <w:spacing w:after="0" w:line="225" w:lineRule="exact"/>
        <w:rPr>
          <w:rFonts w:ascii="Arial" w:cs="Arial" w:eastAsia="Arial" w:hAnsi="Arial"/>
          <w:sz w:val="18"/>
          <w:szCs w:val="18"/>
          <w:color w:val="auto"/>
        </w:rPr>
      </w:pPr>
    </w:p>
    <w:p>
      <w:pPr>
        <w:ind w:left="2082" w:right="240" w:hanging="398"/>
        <w:spacing w:after="0" w:line="284" w:lineRule="auto"/>
        <w:tabs>
          <w:tab w:leader="none" w:pos="2075" w:val="left"/>
        </w:tabs>
        <w:numPr>
          <w:ilvl w:val="3"/>
          <w:numId w:val="121"/>
        </w:numPr>
        <w:rPr>
          <w:rFonts w:ascii="Arial" w:cs="Arial" w:eastAsia="Arial" w:hAnsi="Arial"/>
          <w:sz w:val="18"/>
          <w:szCs w:val="18"/>
          <w:color w:val="auto"/>
        </w:rPr>
      </w:pPr>
      <w:r>
        <w:rPr>
          <w:rFonts w:ascii="Arial" w:cs="Arial" w:eastAsia="Arial" w:hAnsi="Arial"/>
          <w:sz w:val="18"/>
          <w:szCs w:val="18"/>
          <w:color w:val="auto"/>
        </w:rPr>
        <w:t>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w:t>
      </w:r>
    </w:p>
    <w:p>
      <w:pPr>
        <w:spacing w:after="0" w:line="156" w:lineRule="exact"/>
        <w:rPr>
          <w:rFonts w:ascii="Arial" w:cs="Arial" w:eastAsia="Arial" w:hAnsi="Arial"/>
          <w:sz w:val="18"/>
          <w:szCs w:val="18"/>
          <w:color w:val="auto"/>
        </w:rPr>
      </w:pPr>
    </w:p>
    <w:p>
      <w:pPr>
        <w:ind w:left="2082" w:right="220" w:hanging="398"/>
        <w:spacing w:after="0" w:line="303" w:lineRule="auto"/>
        <w:tabs>
          <w:tab w:leader="none" w:pos="2114" w:val="left"/>
        </w:tabs>
        <w:numPr>
          <w:ilvl w:val="3"/>
          <w:numId w:val="121"/>
        </w:numPr>
        <w:rPr>
          <w:rFonts w:ascii="Arial" w:cs="Arial" w:eastAsia="Arial" w:hAnsi="Arial"/>
          <w:sz w:val="18"/>
          <w:szCs w:val="18"/>
          <w:color w:val="auto"/>
        </w:rPr>
      </w:pPr>
      <w:r>
        <w:rPr>
          <w:rFonts w:ascii="Arial" w:cs="Arial" w:eastAsia="Arial" w:hAnsi="Arial"/>
          <w:sz w:val="18"/>
          <w:szCs w:val="18"/>
          <w:color w:val="auto"/>
        </w:rPr>
        <w:t>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52" w:lineRule="exact"/>
        <w:rPr>
          <w:sz w:val="20"/>
          <w:szCs w:val="20"/>
          <w:color w:val="auto"/>
        </w:rPr>
      </w:pPr>
    </w:p>
    <w:p>
      <w:pPr>
        <w:jc w:val="both"/>
        <w:ind w:left="1302" w:right="300"/>
        <w:spacing w:after="0" w:line="276"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2"/>
          </w:cols>
          <w:pgMar w:left="458" w:top="1282" w:right="379" w:bottom="1440" w:gutter="0" w:footer="0" w:header="0"/>
        </w:sectPr>
      </w:pPr>
    </w:p>
    <w:bookmarkStart w:id="144" w:name="page145"/>
    <w:bookmarkEnd w:id="144"/>
    <w:p>
      <w:pPr>
        <w:ind w:left="395" w:right="100"/>
        <w:spacing w:after="0" w:line="303" w:lineRule="auto"/>
        <w:rPr>
          <w:sz w:val="20"/>
          <w:szCs w:val="20"/>
          <w:color w:val="auto"/>
        </w:rPr>
      </w:pPr>
      <w:r>
        <w:rPr>
          <w:rFonts w:ascii="Arial" w:cs="Arial" w:eastAsia="Arial" w:hAnsi="Arial"/>
          <w:sz w:val="18"/>
          <w:szCs w:val="18"/>
          <w:color w:val="auto"/>
        </w:rPr>
        <w:t>failed to satisfy any Specified Transition Requirement. By way of example only, this could result from providing too short of notice or not providing an adequate amount of transition assistance.</w:t>
      </w:r>
    </w:p>
    <w:p>
      <w:pPr>
        <w:spacing w:after="0" w:line="139" w:lineRule="exact"/>
        <w:rPr>
          <w:sz w:val="20"/>
          <w:szCs w:val="20"/>
          <w:color w:val="auto"/>
        </w:rPr>
      </w:pPr>
    </w:p>
    <w:p>
      <w:pPr>
        <w:ind w:left="395" w:hanging="395"/>
        <w:spacing w:after="0"/>
        <w:tabs>
          <w:tab w:leader="none" w:pos="3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198" w:lineRule="exact"/>
        <w:rPr>
          <w:rFonts w:ascii="Arial" w:cs="Arial" w:eastAsia="Arial" w:hAnsi="Arial"/>
          <w:sz w:val="18"/>
          <w:szCs w:val="18"/>
          <w:color w:val="auto"/>
        </w:rPr>
      </w:pPr>
    </w:p>
    <w:p>
      <w:pPr>
        <w:ind w:left="775" w:right="120" w:hanging="386"/>
        <w:spacing w:after="0" w:line="276" w:lineRule="auto"/>
        <w:tabs>
          <w:tab w:leader="none" w:pos="77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176" w:lineRule="exact"/>
        <w:rPr>
          <w:rFonts w:ascii="Arial" w:cs="Arial" w:eastAsia="Arial" w:hAnsi="Arial"/>
          <w:sz w:val="18"/>
          <w:szCs w:val="18"/>
          <w:color w:val="auto"/>
        </w:rPr>
      </w:pPr>
    </w:p>
    <w:p>
      <w:pPr>
        <w:ind w:left="775" w:hanging="386"/>
        <w:spacing w:after="0" w:line="276" w:lineRule="auto"/>
        <w:tabs>
          <w:tab w:leader="none" w:pos="77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Sections 5 through 7 for the period set forth therein, while any portion of this Award remains unvested and until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76" w:lineRule="exact"/>
        <w:rPr>
          <w:rFonts w:ascii="Arial" w:cs="Arial" w:eastAsia="Arial" w:hAnsi="Arial"/>
          <w:sz w:val="18"/>
          <w:szCs w:val="18"/>
          <w:color w:val="auto"/>
        </w:rPr>
      </w:pPr>
    </w:p>
    <w:p>
      <w:pPr>
        <w:ind w:left="1195" w:hanging="418"/>
        <w:spacing w:after="0"/>
        <w:tabs>
          <w:tab w:leader="none" w:pos="119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38" w:lineRule="exact"/>
        <w:rPr>
          <w:rFonts w:ascii="Arial" w:cs="Arial" w:eastAsia="Arial" w:hAnsi="Arial"/>
          <w:sz w:val="18"/>
          <w:szCs w:val="18"/>
          <w:color w:val="auto"/>
        </w:rPr>
      </w:pPr>
    </w:p>
    <w:p>
      <w:pPr>
        <w:ind w:left="1195" w:hanging="418"/>
        <w:spacing w:after="0"/>
        <w:tabs>
          <w:tab w:leader="none" w:pos="119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(iv) below; or</w:t>
      </w:r>
    </w:p>
    <w:p>
      <w:pPr>
        <w:spacing w:after="0" w:line="225" w:lineRule="exact"/>
        <w:rPr>
          <w:rFonts w:ascii="Arial" w:cs="Arial" w:eastAsia="Arial" w:hAnsi="Arial"/>
          <w:sz w:val="18"/>
          <w:szCs w:val="18"/>
          <w:color w:val="auto"/>
        </w:rPr>
      </w:pPr>
    </w:p>
    <w:p>
      <w:pPr>
        <w:ind w:left="1175" w:right="400" w:hanging="398"/>
        <w:spacing w:after="0" w:line="303" w:lineRule="auto"/>
        <w:tabs>
          <w:tab w:leader="none" w:pos="1206" w:val="left"/>
        </w:tabs>
        <w:numPr>
          <w:ilvl w:val="2"/>
          <w:numId w:val="122"/>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highlight w:val="white"/>
        </w:rPr>
        <w: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395" w:right="200" w:hanging="395"/>
        <w:spacing w:after="0" w:line="318" w:lineRule="auto"/>
        <w:tabs>
          <w:tab w:leader="none" w:pos="4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Without limiting any other provision of this Agreement, including Sections 5 through 7 as applicable, if a Post-Retirement Violation occurs and if the Post-Retirement Violation was of the nature described in Section 9(b)(ii)(B)(1) or (3) above:</w:t>
      </w:r>
    </w:p>
    <w:p>
      <w:pPr>
        <w:spacing w:after="0" w:line="143" w:lineRule="exact"/>
        <w:rPr>
          <w:rFonts w:ascii="Arial" w:cs="Arial" w:eastAsia="Arial" w:hAnsi="Arial"/>
          <w:sz w:val="17"/>
          <w:szCs w:val="17"/>
          <w:color w:val="auto"/>
        </w:rPr>
      </w:pPr>
    </w:p>
    <w:p>
      <w:pPr>
        <w:ind w:left="835" w:hanging="446"/>
        <w:spacing w:after="0"/>
        <w:tabs>
          <w:tab w:leader="none" w:pos="83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38" w:lineRule="exact"/>
        <w:rPr>
          <w:rFonts w:ascii="Arial" w:cs="Arial" w:eastAsia="Arial" w:hAnsi="Arial"/>
          <w:sz w:val="18"/>
          <w:szCs w:val="18"/>
          <w:color w:val="auto"/>
        </w:rPr>
      </w:pPr>
    </w:p>
    <w:p>
      <w:pPr>
        <w:ind w:left="775" w:right="440" w:hanging="386"/>
        <w:spacing w:after="0" w:line="287" w:lineRule="auto"/>
        <w:tabs>
          <w:tab w:leader="none" w:pos="82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8, including recoupment of Shares, shall apply if the Post-Retirement Violation occurred during the first 12 months following Retirement; and</w:t>
      </w:r>
    </w:p>
    <w:p>
      <w:pPr>
        <w:spacing w:after="0" w:line="166" w:lineRule="exact"/>
        <w:rPr>
          <w:rFonts w:ascii="Arial" w:cs="Arial" w:eastAsia="Arial" w:hAnsi="Arial"/>
          <w:sz w:val="18"/>
          <w:szCs w:val="18"/>
          <w:color w:val="auto"/>
        </w:rPr>
      </w:pPr>
    </w:p>
    <w:p>
      <w:pPr>
        <w:ind w:left="775" w:right="280" w:hanging="386"/>
        <w:spacing w:after="0" w:line="303" w:lineRule="auto"/>
        <w:tabs>
          <w:tab w:leader="none" w:pos="83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Shares received upon vesting after your Retirement are subject to recoupment (either the actual shares or the current value thereof) if the Post-Retirement Violation occurred after the one-year anniversary of your Retirement.</w:t>
      </w:r>
    </w:p>
    <w:p>
      <w:pPr>
        <w:spacing w:after="0" w:line="138" w:lineRule="exact"/>
        <w:rPr>
          <w:rFonts w:ascii="Arial" w:cs="Arial" w:eastAsia="Arial" w:hAnsi="Arial"/>
          <w:sz w:val="18"/>
          <w:szCs w:val="18"/>
          <w:color w:val="auto"/>
        </w:rPr>
      </w:pPr>
    </w:p>
    <w:p>
      <w:pPr>
        <w:ind w:left="395" w:right="20" w:hanging="395"/>
        <w:spacing w:after="0" w:line="290" w:lineRule="auto"/>
        <w:tabs>
          <w:tab w:leader="none" w:pos="45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 If during the Restricted Period, you commence employment with or perform work for a non-Competitor where the role or responsibilities is similar to or greater than the those which you had while employed by Fiserv then vesting of any unvested portion of the Award shall immediately cease.</w:t>
      </w:r>
    </w:p>
    <w:p>
      <w:pPr>
        <w:spacing w:after="0" w:line="155" w:lineRule="exact"/>
        <w:rPr>
          <w:rFonts w:ascii="Arial" w:cs="Arial" w:eastAsia="Arial" w:hAnsi="Arial"/>
          <w:sz w:val="17"/>
          <w:szCs w:val="17"/>
          <w:color w:val="auto"/>
        </w:rPr>
      </w:pPr>
    </w:p>
    <w:p>
      <w:pPr>
        <w:ind w:left="395" w:right="40" w:hanging="395"/>
        <w:spacing w:after="0" w:line="284" w:lineRule="auto"/>
        <w:tabs>
          <w:tab w:leader="none" w:pos="41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95"/>
          </w:cols>
          <w:pgMar w:left="1365" w:top="1282" w:right="339" w:bottom="1440" w:gutter="0" w:footer="0" w:header="0"/>
        </w:sectPr>
      </w:pPr>
    </w:p>
    <w:bookmarkStart w:id="145" w:name="page146"/>
    <w:bookmarkEnd w:id="145"/>
    <w:p>
      <w:pPr>
        <w:ind w:left="784" w:right="1140" w:hanging="395"/>
        <w:spacing w:after="0" w:line="303" w:lineRule="auto"/>
        <w:tabs>
          <w:tab w:leader="none" w:pos="83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52" w:lineRule="exact"/>
        <w:rPr>
          <w:rFonts w:ascii="Arial" w:cs="Arial" w:eastAsia="Arial" w:hAnsi="Arial"/>
          <w:sz w:val="18"/>
          <w:szCs w:val="18"/>
          <w:color w:val="auto"/>
        </w:rPr>
      </w:pPr>
    </w:p>
    <w:p>
      <w:pPr>
        <w:ind w:left="784" w:right="280" w:hanging="395"/>
        <w:spacing w:after="0" w:line="287" w:lineRule="auto"/>
        <w:tabs>
          <w:tab w:leader="none" w:pos="88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166" w:lineRule="exact"/>
        <w:rPr>
          <w:rFonts w:ascii="Arial" w:cs="Arial" w:eastAsia="Arial" w:hAnsi="Arial"/>
          <w:sz w:val="18"/>
          <w:szCs w:val="18"/>
          <w:color w:val="auto"/>
        </w:rPr>
      </w:pPr>
    </w:p>
    <w:p>
      <w:pPr>
        <w:ind w:left="784" w:right="20" w:hanging="460"/>
        <w:spacing w:after="0" w:line="268" w:lineRule="auto"/>
        <w:tabs>
          <w:tab w:leader="none" w:pos="860"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No provision of Section 9(b) will apply to limit or restrict your conduct under this Agreement after your employment, nor will be deemed a Post-Retirement Violation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void or may limit or prohibit the enforceability of this Section 9(b) are set forth in the Addendum that will be provided and/or made available to you concurrently with this Agreement.</w:t>
      </w:r>
    </w:p>
    <w:p>
      <w:pPr>
        <w:spacing w:after="0" w:line="177" w:lineRule="exact"/>
        <w:rPr>
          <w:rFonts w:ascii="Arial" w:cs="Arial" w:eastAsia="Arial" w:hAnsi="Arial"/>
          <w:sz w:val="18"/>
          <w:szCs w:val="18"/>
          <w:color w:val="auto"/>
        </w:rPr>
      </w:pPr>
    </w:p>
    <w:p>
      <w:pPr>
        <w:ind w:left="784" w:right="120" w:hanging="395"/>
        <w:spacing w:after="0" w:line="267" w:lineRule="auto"/>
        <w:tabs>
          <w:tab w:leader="none" w:pos="84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YOU ACKNOWLEDGE THAT YOU HAVE READ THIS AGREEMENT, INCLUDING THIS SECTION 9(b), AND AGREE THAT THE CONSIDERATION PROVIDED BY THE COMPANY IS FAIR AND REASONABLE AND FURTHER AGREE THAT GIVEN THE IMPORTANCE TO THE COMPANY OF ITS CONFIDENTIAL AND PROPRIETARY INFORMATION, THE RESTRICTIONS ON YOUR ACTIVITIES, INCLUDING THOSE THAT APPLY POST-RETIREMENT, ARE LIKEWISE FAIR AND REASONABLE.</w:t>
      </w:r>
    </w:p>
    <w:p>
      <w:pPr>
        <w:spacing w:after="0" w:line="185" w:lineRule="exact"/>
        <w:rPr>
          <w:rFonts w:ascii="Arial" w:cs="Arial" w:eastAsia="Arial" w:hAnsi="Arial"/>
          <w:sz w:val="18"/>
          <w:szCs w:val="18"/>
          <w:color w:val="auto"/>
        </w:rPr>
      </w:pPr>
    </w:p>
    <w:p>
      <w:pPr>
        <w:ind w:left="404" w:hanging="404"/>
        <w:spacing w:after="0"/>
        <w:tabs>
          <w:tab w:leader="none" w:pos="404"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3-Year Performance Period, then:</w:t>
      </w:r>
    </w:p>
    <w:p>
      <w:pPr>
        <w:spacing w:after="0" w:line="225" w:lineRule="exact"/>
        <w:rPr>
          <w:rFonts w:ascii="Arial" w:cs="Arial" w:eastAsia="Arial" w:hAnsi="Arial"/>
          <w:sz w:val="18"/>
          <w:szCs w:val="18"/>
          <w:color w:val="auto"/>
        </w:rPr>
      </w:pPr>
    </w:p>
    <w:p>
      <w:pPr>
        <w:ind w:left="784" w:hanging="395"/>
        <w:spacing w:after="0" w:line="221" w:lineRule="auto"/>
        <w:tabs>
          <w:tab w:leader="none" w:pos="771" w:val="left"/>
        </w:tabs>
        <w:numPr>
          <w:ilvl w:val="2"/>
          <w:numId w:val="125"/>
        </w:numPr>
        <w:rPr>
          <w:rFonts w:ascii="Arial" w:cs="Arial" w:eastAsia="Arial" w:hAnsi="Arial"/>
          <w:sz w:val="18"/>
          <w:szCs w:val="18"/>
          <w:color w:val="auto"/>
        </w:rPr>
      </w:pPr>
      <w:r>
        <w:rPr>
          <w:rFonts w:ascii="Arial" w:cs="Arial" w:eastAsia="Arial" w:hAnsi="Arial"/>
          <w:sz w:val="18"/>
          <w:szCs w:val="18"/>
          <w:color w:val="auto"/>
        </w:rPr>
        <w:t>As of the date of the Change of Control, the number Performance Share Units that may be earned will be fixed and determined based on (A) the actual performance for any Performance Periods that have been completed as of the date of the Change of Control and (B) achievement of 150% of target (or where there is no target, assuming the Performance Goal had been met) for any other Performance Periods that have not been completed as of the date of the Change of Control (irrespective of the actual achievement of the Performance Goals as of such date); and</w:t>
      </w:r>
    </w:p>
    <w:p>
      <w:pPr>
        <w:spacing w:after="0" w:line="154" w:lineRule="exact"/>
        <w:rPr>
          <w:rFonts w:ascii="Arial" w:cs="Arial" w:eastAsia="Arial" w:hAnsi="Arial"/>
          <w:sz w:val="18"/>
          <w:szCs w:val="18"/>
          <w:color w:val="auto"/>
        </w:rPr>
      </w:pPr>
    </w:p>
    <w:p>
      <w:pPr>
        <w:ind w:left="784" w:right="440" w:hanging="395"/>
        <w:spacing w:after="0" w:line="233" w:lineRule="auto"/>
        <w:tabs>
          <w:tab w:leader="none" w:pos="784" w:val="left"/>
        </w:tabs>
        <w:numPr>
          <w:ilvl w:val="2"/>
          <w:numId w:val="125"/>
        </w:numPr>
        <w:rPr>
          <w:rFonts w:ascii="Arial" w:cs="Arial" w:eastAsia="Arial" w:hAnsi="Arial"/>
          <w:sz w:val="18"/>
          <w:szCs w:val="18"/>
          <w:color w:val="auto"/>
        </w:rPr>
      </w:pPr>
      <w:r>
        <w:rPr>
          <w:rFonts w:ascii="Arial" w:cs="Arial" w:eastAsia="Arial" w:hAnsi="Arial"/>
          <w:sz w:val="18"/>
          <w:szCs w:val="18"/>
          <w:color w:val="auto"/>
        </w:rPr>
        <w:t>Such Performance Shares Units will become vested as of the last day of the 3-Year Performance Period if you remain employed until such date, except as otherwise provided in clause (iii) below, and shall be settled in accordance with Section 11 in the year following the end of the 3-Year Performance Period; or</w:t>
      </w:r>
    </w:p>
    <w:p>
      <w:pPr>
        <w:spacing w:after="0" w:line="153" w:lineRule="exact"/>
        <w:rPr>
          <w:rFonts w:ascii="Arial" w:cs="Arial" w:eastAsia="Arial" w:hAnsi="Arial"/>
          <w:sz w:val="18"/>
          <w:szCs w:val="18"/>
          <w:color w:val="auto"/>
        </w:rPr>
      </w:pPr>
    </w:p>
    <w:p>
      <w:pPr>
        <w:ind w:left="784" w:right="40" w:hanging="395"/>
        <w:spacing w:after="0" w:line="221" w:lineRule="auto"/>
        <w:tabs>
          <w:tab w:leader="none" w:pos="783"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If your employment terminates before the end of the 3-Year Performance Period due to your Retirement (determined solely under Section 9(b)(i)(A)), death, Disability, termination by Fiserv without Cause or your termination of your employment for Good Reason (as hereinafter defined), then the Performance Share Units shall be vested upon such termination of employment and shall be settled in accordance with Section 11 in the year following the end of the 3-Year Performance Period.</w:t>
      </w:r>
    </w:p>
    <w:p>
      <w:pPr>
        <w:spacing w:after="0" w:line="181" w:lineRule="exact"/>
        <w:rPr>
          <w:sz w:val="20"/>
          <w:szCs w:val="20"/>
          <w:color w:val="auto"/>
        </w:rPr>
      </w:pPr>
    </w:p>
    <w:p>
      <w:pPr>
        <w:ind w:left="784" w:right="140" w:hanging="6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976" w:top="1282" w:right="359" w:bottom="1440" w:gutter="0" w:footer="0" w:header="0"/>
        </w:sectPr>
      </w:pPr>
    </w:p>
    <w:bookmarkStart w:id="146" w:name="page147"/>
    <w:bookmarkEnd w:id="146"/>
    <w:p>
      <w:pPr>
        <w:ind w:left="902" w:right="20" w:hanging="384"/>
        <w:spacing w:after="0" w:line="284" w:lineRule="auto"/>
        <w:tabs>
          <w:tab w:leader="none" w:pos="933" w:val="left"/>
        </w:tabs>
        <w:numPr>
          <w:ilvl w:val="1"/>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Fiserv,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56" w:lineRule="exact"/>
        <w:rPr>
          <w:rFonts w:ascii="Arial" w:cs="Arial" w:eastAsia="Arial" w:hAnsi="Arial"/>
          <w:sz w:val="18"/>
          <w:szCs w:val="18"/>
          <w:color w:val="auto"/>
        </w:rPr>
      </w:pPr>
    </w:p>
    <w:p>
      <w:pPr>
        <w:ind w:left="902" w:right="200" w:hanging="384"/>
        <w:spacing w:after="0" w:line="303" w:lineRule="auto"/>
        <w:tabs>
          <w:tab w:leader="none" w:pos="933" w:val="left"/>
        </w:tabs>
        <w:numPr>
          <w:ilvl w:val="1"/>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Fiserv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then this Award will forfeit immediately without vesting as of the date of such termination.</w:t>
      </w:r>
    </w:p>
    <w:p>
      <w:pPr>
        <w:spacing w:after="0" w:line="152" w:lineRule="exact"/>
        <w:rPr>
          <w:rFonts w:ascii="Arial" w:cs="Arial" w:eastAsia="Arial" w:hAnsi="Arial"/>
          <w:sz w:val="18"/>
          <w:szCs w:val="18"/>
          <w:color w:val="auto"/>
        </w:rPr>
      </w:pPr>
    </w:p>
    <w:p>
      <w:pPr>
        <w:ind w:left="902" w:right="220" w:hanging="384"/>
        <w:spacing w:after="0" w:line="287" w:lineRule="auto"/>
        <w:tabs>
          <w:tab w:leader="none" w:pos="883" w:val="left"/>
        </w:tabs>
        <w:numPr>
          <w:ilvl w:val="1"/>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6" w:lineRule="exact"/>
        <w:rPr>
          <w:rFonts w:ascii="Arial" w:cs="Arial" w:eastAsia="Arial" w:hAnsi="Arial"/>
          <w:sz w:val="18"/>
          <w:szCs w:val="18"/>
          <w:color w:val="auto"/>
        </w:rPr>
      </w:pPr>
    </w:p>
    <w:p>
      <w:pPr>
        <w:ind w:left="902" w:right="580" w:hanging="384"/>
        <w:spacing w:after="0" w:line="303" w:lineRule="auto"/>
        <w:tabs>
          <w:tab w:leader="none" w:pos="983" w:val="left"/>
        </w:tabs>
        <w:numPr>
          <w:ilvl w:val="1"/>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9 are subject to (and may be amended by) the terms of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entered into between you and the Company or any of its Subsidiaries.</w:t>
      </w:r>
    </w:p>
    <w:p>
      <w:pPr>
        <w:spacing w:after="0" w:line="138" w:lineRule="exact"/>
        <w:rPr>
          <w:rFonts w:ascii="Arial" w:cs="Arial" w:eastAsia="Arial" w:hAnsi="Arial"/>
          <w:sz w:val="18"/>
          <w:szCs w:val="18"/>
          <w:color w:val="auto"/>
        </w:rPr>
      </w:pPr>
    </w:p>
    <w:p>
      <w:pPr>
        <w:ind w:left="382" w:right="40" w:hanging="382"/>
        <w:spacing w:after="0" w:line="284" w:lineRule="auto"/>
        <w:tabs>
          <w:tab w:leader="none" w:pos="444"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56" w:lineRule="exact"/>
        <w:rPr>
          <w:rFonts w:ascii="Arial" w:cs="Arial" w:eastAsia="Arial" w:hAnsi="Arial"/>
          <w:sz w:val="18"/>
          <w:szCs w:val="18"/>
          <w:color w:val="auto"/>
        </w:rPr>
      </w:pPr>
    </w:p>
    <w:p>
      <w:pPr>
        <w:ind w:left="382" w:right="20" w:hanging="382"/>
        <w:spacing w:after="0" w:line="265" w:lineRule="auto"/>
        <w:tabs>
          <w:tab w:leader="none" w:pos="43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72" w:lineRule="exact"/>
        <w:rPr>
          <w:rFonts w:ascii="Arial" w:cs="Arial" w:eastAsia="Arial" w:hAnsi="Arial"/>
          <w:sz w:val="18"/>
          <w:szCs w:val="18"/>
          <w:color w:val="auto"/>
        </w:rPr>
      </w:pPr>
    </w:p>
    <w:p>
      <w:pPr>
        <w:ind w:left="382" w:hanging="382"/>
        <w:spacing w:after="0" w:line="267" w:lineRule="auto"/>
        <w:tabs>
          <w:tab w:leader="none" w:pos="444"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83" w:lineRule="exact"/>
        <w:rPr>
          <w:rFonts w:ascii="Arial" w:cs="Arial" w:eastAsia="Arial" w:hAnsi="Arial"/>
          <w:sz w:val="18"/>
          <w:szCs w:val="18"/>
          <w:color w:val="auto"/>
        </w:rPr>
      </w:pPr>
    </w:p>
    <w:p>
      <w:pPr>
        <w:ind w:left="382" w:right="40" w:hanging="382"/>
        <w:spacing w:after="0" w:line="267" w:lineRule="auto"/>
        <w:tabs>
          <w:tab w:leader="none" w:pos="444"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2"/>
          </w:cols>
          <w:pgMar w:left="458" w:top="1282" w:right="339" w:bottom="1440" w:gutter="0" w:footer="0" w:header="0"/>
        </w:sectPr>
      </w:pPr>
    </w:p>
    <w:bookmarkStart w:id="147" w:name="page148"/>
    <w:bookmarkEnd w:id="147"/>
    <w:p>
      <w:pPr>
        <w:ind w:left="382"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54" w:lineRule="exact"/>
        <w:rPr>
          <w:sz w:val="20"/>
          <w:szCs w:val="20"/>
          <w:color w:val="auto"/>
        </w:rPr>
      </w:pPr>
    </w:p>
    <w:p>
      <w:pPr>
        <w:ind w:left="382" w:right="20" w:hanging="382"/>
        <w:spacing w:after="0" w:line="267" w:lineRule="auto"/>
        <w:tabs>
          <w:tab w:leader="none" w:pos="444"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83" w:lineRule="exact"/>
        <w:rPr>
          <w:rFonts w:ascii="Arial" w:cs="Arial" w:eastAsia="Arial" w:hAnsi="Arial"/>
          <w:sz w:val="18"/>
          <w:szCs w:val="18"/>
          <w:color w:val="auto"/>
        </w:rPr>
      </w:pPr>
    </w:p>
    <w:p>
      <w:pPr>
        <w:ind w:left="382" w:right="40" w:hanging="382"/>
        <w:spacing w:after="0" w:line="273" w:lineRule="auto"/>
        <w:tabs>
          <w:tab w:leader="none" w:pos="444"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600 N. Vel R. Phillips Avenue, Milwaukee, WI 53203, or at such other address as the Company may hereafter designate in writing. Any notice to be given to you shall be addressed to you at the address set forth in the Company’s records from time to time.</w:t>
      </w:r>
    </w:p>
    <w:p>
      <w:pPr>
        <w:spacing w:after="0" w:line="178" w:lineRule="exact"/>
        <w:rPr>
          <w:rFonts w:ascii="Arial" w:cs="Arial" w:eastAsia="Arial" w:hAnsi="Arial"/>
          <w:sz w:val="18"/>
          <w:szCs w:val="18"/>
          <w:color w:val="auto"/>
        </w:rPr>
      </w:pPr>
    </w:p>
    <w:p>
      <w:pPr>
        <w:ind w:left="382" w:right="20" w:hanging="382"/>
        <w:spacing w:after="0" w:line="273" w:lineRule="auto"/>
        <w:tabs>
          <w:tab w:leader="none" w:pos="444"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65" w:lineRule="exact"/>
        <w:rPr>
          <w:rFonts w:ascii="Arial" w:cs="Arial" w:eastAsia="Arial" w:hAnsi="Arial"/>
          <w:sz w:val="18"/>
          <w:szCs w:val="18"/>
          <w:color w:val="auto"/>
        </w:rPr>
      </w:pPr>
    </w:p>
    <w:p>
      <w:pPr>
        <w:ind w:left="442" w:hanging="442"/>
        <w:spacing w:after="0"/>
        <w:tabs>
          <w:tab w:leader="none" w:pos="442"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38" w:lineRule="exact"/>
        <w:rPr>
          <w:rFonts w:ascii="Arial" w:cs="Arial" w:eastAsia="Arial" w:hAnsi="Arial"/>
          <w:sz w:val="18"/>
          <w:szCs w:val="18"/>
          <w:color w:val="auto"/>
        </w:rPr>
      </w:pPr>
    </w:p>
    <w:p>
      <w:pPr>
        <w:ind w:left="902" w:right="100" w:hanging="384"/>
        <w:spacing w:after="0" w:line="267" w:lineRule="auto"/>
        <w:tabs>
          <w:tab w:leader="none" w:pos="93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85" w:lineRule="exact"/>
        <w:rPr>
          <w:rFonts w:ascii="Arial" w:cs="Arial" w:eastAsia="Arial" w:hAnsi="Arial"/>
          <w:sz w:val="18"/>
          <w:szCs w:val="18"/>
          <w:color w:val="auto"/>
        </w:rPr>
      </w:pPr>
    </w:p>
    <w:p>
      <w:pPr>
        <w:ind w:left="902" w:hanging="384"/>
        <w:spacing w:after="0" w:line="266" w:lineRule="auto"/>
        <w:tabs>
          <w:tab w:leader="none" w:pos="93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2"/>
          </w:cols>
          <w:pgMar w:left="458" w:top="1282" w:right="359" w:bottom="1440" w:gutter="0" w:footer="0" w:header="0"/>
        </w:sectPr>
      </w:pPr>
    </w:p>
    <w:bookmarkStart w:id="148" w:name="page149"/>
    <w:bookmarkEnd w:id="148"/>
    <w:p>
      <w:pPr>
        <w:ind w:left="902" w:right="100"/>
        <w:spacing w:after="0" w:line="270" w:lineRule="auto"/>
        <w:rPr>
          <w:sz w:val="20"/>
          <w:szCs w:val="20"/>
          <w:color w:val="auto"/>
        </w:rPr>
      </w:pPr>
      <w:r>
        <w:rPr>
          <w:rFonts w:ascii="Arial" w:cs="Arial" w:eastAsia="Arial" w:hAnsi="Arial"/>
          <w:sz w:val="18"/>
          <w:szCs w:val="18"/>
          <w:color w:val="auto"/>
        </w:rPr>
        <w:t>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69" w:lineRule="exact"/>
        <w:rPr>
          <w:sz w:val="20"/>
          <w:szCs w:val="20"/>
          <w:color w:val="auto"/>
        </w:rPr>
      </w:pPr>
    </w:p>
    <w:p>
      <w:pPr>
        <w:ind w:left="382" w:hanging="382"/>
        <w:spacing w:after="0" w:line="266" w:lineRule="auto"/>
        <w:tabs>
          <w:tab w:leader="none" w:pos="444"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89" w:lineRule="exact"/>
        <w:rPr>
          <w:rFonts w:ascii="Arial" w:cs="Arial" w:eastAsia="Arial" w:hAnsi="Arial"/>
          <w:sz w:val="18"/>
          <w:szCs w:val="18"/>
          <w:color w:val="auto"/>
        </w:rPr>
      </w:pPr>
    </w:p>
    <w:p>
      <w:pPr>
        <w:ind w:left="442" w:hanging="442"/>
        <w:spacing w:after="0"/>
        <w:tabs>
          <w:tab w:leader="none" w:pos="442"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2" w:hanging="384"/>
        <w:spacing w:after="0" w:line="284" w:lineRule="auto"/>
        <w:tabs>
          <w:tab w:leader="none" w:pos="93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56" w:lineRule="exact"/>
        <w:rPr>
          <w:rFonts w:ascii="Arial" w:cs="Arial" w:eastAsia="Arial" w:hAnsi="Arial"/>
          <w:sz w:val="18"/>
          <w:szCs w:val="18"/>
          <w:color w:val="auto"/>
        </w:rPr>
      </w:pPr>
    </w:p>
    <w:p>
      <w:pPr>
        <w:ind w:left="902" w:hanging="384"/>
        <w:spacing w:after="0" w:line="284" w:lineRule="auto"/>
        <w:tabs>
          <w:tab w:leader="none" w:pos="93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56" w:lineRule="exact"/>
        <w:rPr>
          <w:rFonts w:ascii="Arial" w:cs="Arial" w:eastAsia="Arial" w:hAnsi="Arial"/>
          <w:sz w:val="18"/>
          <w:szCs w:val="18"/>
          <w:color w:val="auto"/>
        </w:rPr>
      </w:pPr>
    </w:p>
    <w:p>
      <w:pPr>
        <w:ind w:left="902" w:right="180" w:hanging="384"/>
        <w:spacing w:after="0" w:line="303" w:lineRule="auto"/>
        <w:tabs>
          <w:tab w:leader="none" w:pos="9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38" w:lineRule="exact"/>
        <w:rPr>
          <w:rFonts w:ascii="Arial" w:cs="Arial" w:eastAsia="Arial" w:hAnsi="Arial"/>
          <w:sz w:val="18"/>
          <w:szCs w:val="18"/>
          <w:color w:val="auto"/>
        </w:rPr>
      </w:pPr>
    </w:p>
    <w:p>
      <w:pPr>
        <w:ind w:left="902" w:right="200" w:hanging="384"/>
        <w:spacing w:after="0" w:line="284" w:lineRule="auto"/>
        <w:tabs>
          <w:tab w:leader="none" w:pos="93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56" w:lineRule="exact"/>
        <w:rPr>
          <w:rFonts w:ascii="Arial" w:cs="Arial" w:eastAsia="Arial" w:hAnsi="Arial"/>
          <w:sz w:val="18"/>
          <w:szCs w:val="18"/>
          <w:color w:val="auto"/>
        </w:rPr>
      </w:pPr>
    </w:p>
    <w:p>
      <w:pPr>
        <w:ind w:left="902" w:right="340" w:hanging="384"/>
        <w:spacing w:after="0" w:line="303" w:lineRule="auto"/>
        <w:tabs>
          <w:tab w:leader="none" w:pos="92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52" w:lineRule="exact"/>
        <w:rPr>
          <w:rFonts w:ascii="Arial" w:cs="Arial" w:eastAsia="Arial" w:hAnsi="Arial"/>
          <w:sz w:val="18"/>
          <w:szCs w:val="18"/>
          <w:color w:val="auto"/>
        </w:rPr>
      </w:pPr>
    </w:p>
    <w:p>
      <w:pPr>
        <w:ind w:left="902" w:right="80" w:hanging="384"/>
        <w:spacing w:after="0" w:line="267" w:lineRule="auto"/>
        <w:tabs>
          <w:tab w:leader="none" w:pos="8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its conflict of law provisions, except that Sections 5 through 7, 9(b)(ii)(B), and 9(b)(iv) of this Agreement and the Addendum shall be governed by and construed in accordance with the laws of the state in which you reside at the time your employment terminates with Fiserv as listed on the books and records of Fiserv without regard to that state’s conflict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2"/>
          </w:cols>
          <w:pgMar w:left="458" w:top="1282" w:right="339" w:bottom="1440" w:gutter="0" w:footer="0" w:header="0"/>
        </w:sectPr>
      </w:pPr>
    </w:p>
    <w:bookmarkStart w:id="149" w:name="page150"/>
    <w:bookmarkEnd w:id="149"/>
    <w:p>
      <w:pPr>
        <w:ind w:left="860" w:right="20" w:hanging="384"/>
        <w:spacing w:after="0" w:line="284" w:lineRule="auto"/>
        <w:tabs>
          <w:tab w:leader="none" w:pos="8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56" w:lineRule="exact"/>
        <w:rPr>
          <w:rFonts w:ascii="Arial" w:cs="Arial" w:eastAsia="Arial" w:hAnsi="Arial"/>
          <w:sz w:val="18"/>
          <w:szCs w:val="18"/>
          <w:color w:val="auto"/>
        </w:rPr>
      </w:pPr>
    </w:p>
    <w:p>
      <w:pPr>
        <w:jc w:val="both"/>
        <w:ind w:left="860" w:right="160" w:hanging="384"/>
        <w:spacing w:after="0" w:line="284" w:lineRule="auto"/>
        <w:tabs>
          <w:tab w:leader="none" w:pos="8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56" w:lineRule="exact"/>
        <w:rPr>
          <w:rFonts w:ascii="Arial" w:cs="Arial" w:eastAsia="Arial" w:hAnsi="Arial"/>
          <w:sz w:val="18"/>
          <w:szCs w:val="18"/>
          <w:color w:val="auto"/>
        </w:rPr>
      </w:pPr>
    </w:p>
    <w:p>
      <w:pPr>
        <w:ind w:left="860" w:right="340" w:hanging="384"/>
        <w:spacing w:after="0" w:line="303" w:lineRule="auto"/>
        <w:tabs>
          <w:tab w:leader="none" w:pos="8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52" w:lineRule="exact"/>
        <w:rPr>
          <w:sz w:val="20"/>
          <w:szCs w:val="20"/>
          <w:color w:val="auto"/>
        </w:rPr>
      </w:pPr>
    </w:p>
    <w:p>
      <w:pPr>
        <w:ind w:left="840" w:right="100" w:hanging="388"/>
        <w:spacing w:after="0" w:line="282" w:lineRule="auto"/>
        <w:tabs>
          <w:tab w:leader="none" w:pos="8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7"/>
          <w:szCs w:val="17"/>
          <w:color w:val="auto"/>
        </w:rPr>
        <w:t>In consideration of, among other things, your continued employment with the Company or a subsidiary of the Company, you acknowledge and agree that you are and will continue to be subject to the Fiserv, Inc. Compensation Recoupment Policy (“Policy”) and that the Policy will apply both during and after the termination of your employment with the Company or any subsidiary of the Company. You can access this Policy as currently in effect by visiting https://investors.fiserv.com/corporate-governance/governance-documents. Further, by signing below, you agree to abide by the terms of the Policy, including, without limitation, by returning any Excess Compensation (as defined in the Policy) to the Company to the extent required by, and in a manner consistent with, the Policy, regardless of the terms of, and whether or not consistent with, any other agreement, plan, policy or similar document to which the undersigned is a party or participant or to which the undersigned is subject</w:t>
      </w:r>
    </w:p>
    <w:p>
      <w:pPr>
        <w:spacing w:after="0" w:line="174" w:lineRule="exact"/>
        <w:rPr>
          <w:sz w:val="20"/>
          <w:szCs w:val="20"/>
          <w:color w:val="auto"/>
        </w:rPr>
      </w:pPr>
    </w:p>
    <w:p>
      <w:pPr>
        <w:ind w:right="100"/>
        <w:spacing w:after="0" w:line="312"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the Plan, and the Policy.</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Your acceptance of the terms of this Agreement, the Award Memorandum, the Plan, the Addendum, and the Policy through our administrative agent’s website is a condition to your receipt of Shares. You must log on to our administrative agent’s website and accept the terms and conditions of this Agreement, the Award Memorandum, the Plan, and the Policy within 120 calendar days of your Award Grant Date. If you do not accept the terms and conditions of this Agreement, the Award Memorandum, the Plan, and the Policy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500" w:top="1282"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FISERV,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TRADING POLICY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Purpose and Background</w:t>
      </w:r>
    </w:p>
    <w:p>
      <w:pPr>
        <w:spacing w:after="0" w:line="251"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21"/>
          <w:szCs w:val="21"/>
          <w:color w:val="auto"/>
        </w:rPr>
        <w:t>This policy is designed to prevent insider trading and protect Fiserv’s reputation for integrity and ethical conduct. 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on the basis of that information.</w:t>
      </w:r>
    </w:p>
    <w:p>
      <w:pPr>
        <w:spacing w:after="0" w:line="16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2"/>
          <w:szCs w:val="22"/>
          <w:color w:val="auto"/>
        </w:rPr>
        <w:t>It is important that each person subject to this policy understands the breadth of activities that constitute illegal insider trading and the consequences, which can be severe. The United States Securities and Exchange Commission (“SEC”) and the Financial Industry Regulatory Authority (“FINRA”) investigate and are very effective at detecting insider trading. The SEC and the Department of Justice (“DOJ”) pursue insider trading violations vigorously. The DOJ has successfully prosecuted cases involving insider trading by employees through foreign accounts, trading by family members and friends, and trading involving only a small number of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Scope</w:t>
      </w:r>
    </w:p>
    <w:p>
      <w:pPr>
        <w:spacing w:after="0" w:line="2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2"/>
          <w:szCs w:val="22"/>
          <w:color w:val="auto"/>
        </w:rPr>
        <w:t>This policy applies to Fiserv, Inc. (“Fiserv” or the “Company”) and all directors, officers and associates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Fiserv and its subsidiaries (collectively, “Fiserv Associates”). The addendum to this policy applies to directors and certain designated officers as further detailed below. The same restrictions that apply to Fiserv Associates apply to (i) family members and others who reside with Fiserv Associates and to any family members whose transactions in securities are directed by or subject to the influence or control of a Fiserv Associate (such as a parent or child who consults with a Fiserv Associate before he or she trades in securities) and (ii) entities that a Fiserv Associate influences or controls, including corporations, partnerships, limited liability companies or trusts. All Fiserv Associates are responsible for ensuring that the purchase or sale of any security covered by this policy by any such person complies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22631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firstLine="8"/>
        <w:spacing w:after="0" w:line="235" w:lineRule="auto"/>
        <w:tabs>
          <w:tab w:leader="none" w:pos="103"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used in this policy and/or standards, “associate” means an employee of a local Fiserv employing entity. The local employing entity or its parent, Fiserv, Inc., reserves the right to alter, amend, suspend, or terminate this policy and/or standards, or their contents, at any time, at its absolute discretion, in accordance with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b w:val="1"/>
          <w:bCs w:val="1"/>
          <w:color w:val="auto"/>
        </w:rPr>
        <w:t>3.  Policy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Material Non-Public Information</w:t>
      </w:r>
    </w:p>
    <w:p>
      <w:pPr>
        <w:spacing w:after="0" w:line="2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Information is material if there is a substantial likelihood that a reasonable investor would consider it important in deciding whether to buy, hold or sell a security. Any information that could reasonably be expected to affect the price of the security is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examples of material information are:</w:t>
      </w:r>
    </w:p>
    <w:p>
      <w:pPr>
        <w:spacing w:after="0" w:line="247" w:lineRule="exact"/>
        <w:rPr>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Projections of future earnings or losses or other guidance regarding the Company’s financial results</w:t>
      </w:r>
    </w:p>
    <w:p>
      <w:pPr>
        <w:spacing w:after="0" w:line="246"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Financial results that are inconsistent with the consensus expectations of the investment community</w:t>
      </w:r>
    </w:p>
    <w:p>
      <w:pPr>
        <w:spacing w:after="0" w:line="260"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Information regarding major contracts, orders, suppliers, customers or finance sources</w:t>
      </w:r>
    </w:p>
    <w:p>
      <w:pPr>
        <w:spacing w:after="0" w:line="246"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pending or proposed merger, acquisition or tender offer, or an acquisition or disposition of significant assets</w:t>
      </w:r>
    </w:p>
    <w:p>
      <w:pPr>
        <w:spacing w:after="0" w:line="260"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change in management</w:t>
      </w:r>
    </w:p>
    <w:p>
      <w:pPr>
        <w:spacing w:after="0" w:line="246"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occurrence of a known, significant cybersecurity event, incident or vulnerability</w:t>
      </w:r>
    </w:p>
    <w:p>
      <w:pPr>
        <w:spacing w:after="0" w:line="260" w:lineRule="exact"/>
        <w:rPr>
          <w:rFonts w:ascii="Times New Roman" w:cs="Times New Roman" w:eastAsia="Times New Roman" w:hAnsi="Times New Roman"/>
          <w:sz w:val="20"/>
          <w:szCs w:val="20"/>
          <w:color w:val="auto"/>
        </w:rPr>
      </w:pPr>
    </w:p>
    <w:p>
      <w:pPr>
        <w:ind w:left="720" w:right="280" w:hanging="323"/>
        <w:spacing w:after="0" w:line="296" w:lineRule="auto"/>
        <w:tabs>
          <w:tab w:leader="none" w:pos="70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events regarding the Company’s securities, such as the declaration of a dividend or a stock split, the offering of additional securities or the establishment of a repurchase program for securities</w:t>
      </w:r>
    </w:p>
    <w:p>
      <w:pPr>
        <w:spacing w:after="0" w:line="172"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47"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22"/>
          <w:szCs w:val="22"/>
          <w:color w:val="auto"/>
        </w:rPr>
        <w:t>Both positive and negative information can be material. And remember that even if information is not material to Fiserv, it may be material to another company involved in the relevant matter.</w:t>
      </w:r>
    </w:p>
    <w:p>
      <w:pPr>
        <w:spacing w:after="0" w:line="172"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22"/>
          <w:szCs w:val="22"/>
          <w:color w:val="auto"/>
        </w:rPr>
        <w:t>Because trading that receives scrutiny will be evaluated after the fact with the benefit of hindsight, questions concerning the materiality of particular information should be resolved in favor of materiality, and trading should be avoided.</w:t>
      </w:r>
    </w:p>
    <w:p>
      <w:pPr>
        <w:spacing w:after="0" w:line="15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xml:space="preserve">. Nonpublic information is information that is not generally known or available to the public. One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the investing public has had sufficient time to absorb the information fully. As a general rule, information is considered not fully absorbed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60"/>
          </w:cols>
          <w:pgMar w:left="320" w:top="1323" w:right="419" w:bottom="1440" w:gutter="0" w:footer="0" w:header="0"/>
        </w:sectPr>
      </w:pPr>
    </w:p>
    <w:bookmarkStart w:id="152" w:name="page153"/>
    <w:bookmarkEnd w:id="152"/>
    <w:p>
      <w:pPr>
        <w:ind w:right="300"/>
        <w:spacing w:after="0" w:line="289" w:lineRule="auto"/>
        <w:rPr>
          <w:sz w:val="20"/>
          <w:szCs w:val="20"/>
          <w:color w:val="auto"/>
        </w:rPr>
      </w:pPr>
      <w:r>
        <w:rPr>
          <w:rFonts w:ascii="Times New Roman" w:cs="Times New Roman" w:eastAsia="Times New Roman" w:hAnsi="Times New Roman"/>
          <w:sz w:val="22"/>
          <w:szCs w:val="22"/>
          <w:color w:val="auto"/>
        </w:rPr>
        <w:t>by the market until the day after the first full trading day after the information is released. For example, if the Company announces financial earnings before market hours on a Tuesday, the information would be regarded as fully absorbed as of the open of the market on the following Wednesday.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Prohibition on Insider Trading</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2"/>
          <w:szCs w:val="22"/>
          <w:u w:val="single" w:color="auto"/>
          <w:color w:val="auto"/>
        </w:rPr>
        <w:t>No Trading on Inside Information</w:t>
      </w:r>
      <w:r>
        <w:rPr>
          <w:rFonts w:ascii="Times New Roman" w:cs="Times New Roman" w:eastAsia="Times New Roman" w:hAnsi="Times New Roman"/>
          <w:sz w:val="22"/>
          <w:szCs w:val="22"/>
          <w:color w:val="auto"/>
        </w:rPr>
        <w:t>. Fiserv Associates (whether directly or through family members or other persons or entities) and the Company may not trade or engage in other transactions in the securities of the Company if aware of material nonpublic information relating to the Company. Similarly, Fiserv Associates and the Company may not trade or engage in other transactions in the securities of any other company – such as clients or suppliers of the Company and those with which the Company may be negotiating significant transactions, such as an acquisition, investment or sale – if aware of material nonpublic information about that company.</w:t>
      </w:r>
    </w:p>
    <w:p>
      <w:pPr>
        <w:spacing w:after="0" w:line="17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2"/>
          <w:szCs w:val="22"/>
          <w:u w:val="single" w:color="auto"/>
          <w:color w:val="auto"/>
        </w:rPr>
        <w:t>No Tipping</w:t>
      </w:r>
      <w:r>
        <w:rPr>
          <w:rFonts w:ascii="Times New Roman" w:cs="Times New Roman" w:eastAsia="Times New Roman" w:hAnsi="Times New Roman"/>
          <w:sz w:val="22"/>
          <w:szCs w:val="22"/>
          <w:color w:val="auto"/>
        </w:rPr>
        <w:t>. Fiserv Associates may not pass material nonpublic information on to others or recommend to anyone the purchase or sale of any securities when they are aware of such information. This practice, known as “tipping,” also violates the securities laws and can result in the same civil and criminal penalties that apply to insider trading, even though the “tipper” did not trade and did not gain any benefit from another’s trading. In addition, Fiserv Associates may not recommend the purchase or sale of any securities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 Exception for Hardship</w:t>
      </w:r>
      <w:r>
        <w:rPr>
          <w:rFonts w:ascii="Times New Roman" w:cs="Times New Roman" w:eastAsia="Times New Roman" w:hAnsi="Times New Roman"/>
          <w:sz w:val="22"/>
          <w:szCs w:val="22"/>
          <w:color w:val="auto"/>
        </w:rPr>
        <w:t>. The existence of a personal financial emergency does not excuse compliance with this policy.</w:t>
      </w:r>
    </w:p>
    <w:p>
      <w:pPr>
        <w:spacing w:after="0" w:line="260"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22"/>
          <w:szCs w:val="22"/>
          <w:u w:val="single" w:color="auto"/>
          <w:color w:val="auto"/>
        </w:rPr>
        <w:t>Certain Transactions</w:t>
      </w:r>
      <w:r>
        <w:rPr>
          <w:rFonts w:ascii="Times New Roman" w:cs="Times New Roman" w:eastAsia="Times New Roman" w:hAnsi="Times New Roman"/>
          <w:sz w:val="22"/>
          <w:szCs w:val="22"/>
          <w:color w:val="auto"/>
        </w:rPr>
        <w:t>. The transactions covered by this policy include purchases, sales, gifts of stock, and transactions involving derivative securities (such as put and call options and convertible debentures), preferred stock, and debt securities (debentures, bonds and notes). The following rules apply to gifts and certain transactions under Company plans:</w:t>
      </w:r>
    </w:p>
    <w:p>
      <w:pPr>
        <w:spacing w:after="0" w:line="171" w:lineRule="exact"/>
        <w:rPr>
          <w:sz w:val="20"/>
          <w:szCs w:val="20"/>
          <w:color w:val="auto"/>
        </w:rPr>
      </w:pPr>
    </w:p>
    <w:p>
      <w:pPr>
        <w:ind w:left="720" w:right="120" w:hanging="323"/>
        <w:spacing w:after="0" w:line="283" w:lineRule="auto"/>
        <w:tabs>
          <w:tab w:leader="none" w:pos="70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Gifts</w:t>
      </w:r>
      <w:r>
        <w:rPr>
          <w:rFonts w:ascii="Times New Roman" w:cs="Times New Roman" w:eastAsia="Times New Roman" w:hAnsi="Times New Roman"/>
          <w:sz w:val="22"/>
          <w:szCs w:val="22"/>
          <w:color w:val="auto"/>
        </w:rPr>
        <w:t>. A Fiserv Associate may not make a gift of Company securities while aware of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the Company if the Fiserv Associate knows or is reckless in not knowing the recipient of the gift would sell the securities prior to the Company’s disclosure of such information. Such a situation can arise with gifts of securities to charities, which are often required by their policies to sell securities soon after a gift.</w:t>
      </w:r>
    </w:p>
    <w:p>
      <w:pPr>
        <w:spacing w:after="0" w:line="183" w:lineRule="exact"/>
        <w:rPr>
          <w:rFonts w:ascii="Times New Roman" w:cs="Times New Roman" w:eastAsia="Times New Roman" w:hAnsi="Times New Roman"/>
          <w:sz w:val="20"/>
          <w:szCs w:val="20"/>
          <w:color w:val="auto"/>
        </w:rPr>
      </w:pPr>
    </w:p>
    <w:p>
      <w:pPr>
        <w:ind w:left="700" w:hanging="303"/>
        <w:spacing w:after="0"/>
        <w:tabs>
          <w:tab w:leader="none" w:pos="7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Stock Option Exercises</w:t>
      </w:r>
      <w:r>
        <w:rPr>
          <w:rFonts w:ascii="Times New Roman" w:cs="Times New Roman" w:eastAsia="Times New Roman" w:hAnsi="Times New Roman"/>
          <w:sz w:val="22"/>
          <w:szCs w:val="22"/>
          <w:color w:val="auto"/>
        </w:rPr>
        <w:t>. This policy’s trading restrictions do not apply to (i) the vesting or exercise of a stock option or</w:t>
      </w:r>
    </w:p>
    <w:p>
      <w:pPr>
        <w:spacing w:after="0" w:line="34" w:lineRule="exact"/>
        <w:rPr>
          <w:rFonts w:ascii="Times New Roman" w:cs="Times New Roman" w:eastAsia="Times New Roman" w:hAnsi="Times New Roman"/>
          <w:sz w:val="20"/>
          <w:szCs w:val="20"/>
          <w:color w:val="auto"/>
        </w:rPr>
      </w:pPr>
    </w:p>
    <w:p>
      <w:pPr>
        <w:ind w:left="720" w:firstLine="1"/>
        <w:spacing w:after="0" w:line="322" w:lineRule="auto"/>
        <w:tabs>
          <w:tab w:leader="none" w:pos="1038"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withholding stock to pay the exercise price of an option or to satisfy tax withholding requirements upon exercise of any option. The trading restrictions do apply, however, to any sale of the underlying stock, including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327" w:right="359" w:bottom="1440" w:gutter="0" w:footer="0" w:header="0"/>
        </w:sectPr>
      </w:pPr>
    </w:p>
    <w:bookmarkStart w:id="153" w:name="page154"/>
    <w:bookmarkEnd w:id="153"/>
    <w:p>
      <w:pPr>
        <w:ind w:left="720" w:right="40"/>
        <w:spacing w:after="0" w:line="309" w:lineRule="auto"/>
        <w:rPr>
          <w:sz w:val="20"/>
          <w:szCs w:val="20"/>
          <w:color w:val="auto"/>
        </w:rPr>
      </w:pPr>
      <w:r>
        <w:rPr>
          <w:rFonts w:ascii="Times New Roman" w:cs="Times New Roman" w:eastAsia="Times New Roman" w:hAnsi="Times New Roman"/>
          <w:sz w:val="22"/>
          <w:szCs w:val="22"/>
          <w:color w:val="auto"/>
        </w:rPr>
        <w:t>result of a cashless exercise of an option through a broker, as this involves selling a portion of the underlying stock in the open market to cover the costs of exercise.</w:t>
      </w:r>
    </w:p>
    <w:p>
      <w:pPr>
        <w:spacing w:after="0" w:line="141" w:lineRule="exact"/>
        <w:rPr>
          <w:sz w:val="20"/>
          <w:szCs w:val="20"/>
          <w:color w:val="auto"/>
        </w:rPr>
      </w:pPr>
    </w:p>
    <w:p>
      <w:pPr>
        <w:ind w:left="720" w:hanging="323"/>
        <w:spacing w:after="0" w:line="283" w:lineRule="auto"/>
        <w:tabs>
          <w:tab w:leader="none" w:pos="7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Restricted Stock Units and Performance Share Units</w:t>
      </w:r>
      <w:r>
        <w:rPr>
          <w:rFonts w:ascii="Times New Roman" w:cs="Times New Roman" w:eastAsia="Times New Roman" w:hAnsi="Times New Roman"/>
          <w:sz w:val="22"/>
          <w:szCs w:val="22"/>
          <w:color w:val="auto"/>
        </w:rPr>
        <w:t>. This policy’s trading restrictions do not apply to the receipt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upon vesting of restricted stock units or performance share units or to the Company withholding stock to satisfy tax withholding requirements upon vesting. The trading restrictions do apply, however, to any sale of stock subsequent to vesting.</w:t>
      </w:r>
    </w:p>
    <w:p>
      <w:pPr>
        <w:spacing w:after="0" w:line="170" w:lineRule="exact"/>
        <w:rPr>
          <w:rFonts w:ascii="Times New Roman" w:cs="Times New Roman" w:eastAsia="Times New Roman" w:hAnsi="Times New Roman"/>
          <w:sz w:val="20"/>
          <w:szCs w:val="20"/>
          <w:color w:val="auto"/>
        </w:rPr>
      </w:pPr>
    </w:p>
    <w:p>
      <w:pPr>
        <w:ind w:left="720" w:hanging="323"/>
        <w:spacing w:after="0" w:line="283" w:lineRule="auto"/>
        <w:tabs>
          <w:tab w:leader="none" w:pos="7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Employee Stock Purchase Plan</w:t>
      </w:r>
      <w:r>
        <w:rPr>
          <w:rFonts w:ascii="Times New Roman" w:cs="Times New Roman" w:eastAsia="Times New Roman" w:hAnsi="Times New Roman"/>
          <w:sz w:val="22"/>
          <w:szCs w:val="22"/>
          <w:color w:val="auto"/>
        </w:rPr>
        <w:t>. This policy’s trading restrictions do not apply to purchases of Company stock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stock purchase plan resulting from periodic payroll contributions to the plan under an election made at the time of enrollment in the plan. The trading restrictions do apply, however, to changes in elections relating to participation in the plan and to sales of stock purchased under the plan.</w:t>
      </w:r>
    </w:p>
    <w:p>
      <w:pPr>
        <w:spacing w:after="0" w:line="170" w:lineRule="exact"/>
        <w:rPr>
          <w:rFonts w:ascii="Times New Roman" w:cs="Times New Roman" w:eastAsia="Times New Roman" w:hAnsi="Times New Roman"/>
          <w:sz w:val="20"/>
          <w:szCs w:val="20"/>
          <w:color w:val="auto"/>
        </w:rPr>
      </w:pPr>
    </w:p>
    <w:p>
      <w:pPr>
        <w:ind w:left="720" w:hanging="323"/>
        <w:spacing w:after="0" w:line="278" w:lineRule="auto"/>
        <w:tabs>
          <w:tab w:leader="none" w:pos="70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401(k) Plan</w:t>
      </w:r>
      <w:r>
        <w:rPr>
          <w:rFonts w:ascii="Times New Roman" w:cs="Times New Roman" w:eastAsia="Times New Roman" w:hAnsi="Times New Roman"/>
          <w:sz w:val="22"/>
          <w:szCs w:val="22"/>
          <w:color w:val="auto"/>
        </w:rPr>
        <w:t>. This policy’s trading restrictions do not apply to purchases of Company stock in the 401(k) plan resulting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a Fiserv Associate’s periodic contribution of money to the plan pursuant to a payroll deduction election. The trading restrictions do apply, however, to elections made under the 401(k) plan (i) to increase or decrease the percentage of periodic contributions that will be allocated to the Company stock fund, (ii) to make an intra-plan transfer of an existing account balance into or out of the Fiserv stock fund, (iii) to borrow money against a 401(k) plan account if the loan will result in a liquidation of all or some of the Fiserv stock fund balance, and (iv) to pre-pay a plan loan if the pre-payment will result in allocation of loan proceeds to the Fiserv stock fund.</w:t>
      </w:r>
    </w:p>
    <w:p>
      <w:pPr>
        <w:spacing w:after="0" w:line="1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2"/>
          <w:szCs w:val="22"/>
          <w:u w:val="single" w:color="auto"/>
          <w:color w:val="auto"/>
        </w:rPr>
        <w:t>Blackout and Pre-Clearance Procedures</w:t>
      </w:r>
      <w:r>
        <w:rPr>
          <w:rFonts w:ascii="Times New Roman" w:cs="Times New Roman" w:eastAsia="Times New Roman" w:hAnsi="Times New Roman"/>
          <w:sz w:val="22"/>
          <w:szCs w:val="22"/>
          <w:color w:val="auto"/>
        </w:rPr>
        <w:t xml:space="preserve">. To help prevent inadvertent violations of the federal securities laws, and to avoid even the appearance of trading on the basis of inside information, the Company has adopted an </w:t>
      </w:r>
      <w:r>
        <w:rPr>
          <w:rFonts w:ascii="Times New Roman" w:cs="Times New Roman" w:eastAsia="Times New Roman" w:hAnsi="Times New Roman"/>
          <w:sz w:val="22"/>
          <w:szCs w:val="22"/>
          <w:i w:val="1"/>
          <w:iCs w:val="1"/>
          <w:color w:val="auto"/>
        </w:rPr>
        <w:t>Addendum to Securities Trading Policy</w:t>
      </w:r>
      <w:r>
        <w:rPr>
          <w:rFonts w:ascii="Times New Roman" w:cs="Times New Roman" w:eastAsia="Times New Roman" w:hAnsi="Times New Roman"/>
          <w:sz w:val="22"/>
          <w:szCs w:val="22"/>
          <w:color w:val="auto"/>
        </w:rPr>
        <w:t xml:space="preserve"> that applies to directors, executive officers subject to Section 16 of the Securities Exchange Act of 1934 (“executive officers”), and certain designated employees of the Company who have access to material nonpublic information about the Company. The executive officers and other employees subject to the addendum are referred to in this policy as the “designated officers.” The Company will notify you if you are a designated officer.</w:t>
      </w:r>
    </w:p>
    <w:p>
      <w:pPr>
        <w:spacing w:after="0" w:line="17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2"/>
          <w:szCs w:val="22"/>
          <w:color w:val="auto"/>
        </w:rPr>
        <w:t>The addendum, among other things, generally prohibits persons covered by it from trading in Company securities during quarterly blackout periods (which generally begin prior to the end of a fiscal quarter and end after the results of such quarter are announced and absorbed by the marketplace, as described above) and during certain event-specific blackouts. In addition, the addendum requires that directors and designated officers pre-clear all transactions in Company securities through the Chief Executive Officer and Chief Legal Officer, or their respective designees.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327"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b w:val="1"/>
          <w:bCs w:val="1"/>
          <w:i w:val="1"/>
          <w:iCs w:val="1"/>
          <w:color w:val="auto"/>
        </w:rPr>
        <w:t>Prohibited Transactions</w:t>
      </w:r>
    </w:p>
    <w:p>
      <w:pPr>
        <w:spacing w:after="0" w:line="266" w:lineRule="exact"/>
        <w:rPr>
          <w:sz w:val="20"/>
          <w:szCs w:val="20"/>
          <w:color w:val="auto"/>
        </w:rPr>
      </w:pPr>
    </w:p>
    <w:p>
      <w:pPr>
        <w:ind w:right="180"/>
        <w:spacing w:after="0" w:line="322" w:lineRule="auto"/>
        <w:rPr>
          <w:sz w:val="20"/>
          <w:szCs w:val="20"/>
          <w:color w:val="auto"/>
        </w:rPr>
      </w:pPr>
      <w:r>
        <w:rPr>
          <w:rFonts w:ascii="Times New Roman" w:cs="Times New Roman" w:eastAsia="Times New Roman" w:hAnsi="Times New Roman"/>
          <w:sz w:val="21"/>
          <w:szCs w:val="21"/>
          <w:color w:val="auto"/>
        </w:rPr>
        <w:t>The Company has determined that there is a heightened legal risk and/or the appearance of improper or inappropriate conduct if the persons subject to this policy engage in certain types of transactions. It has, therefore, established the following rules:</w:t>
      </w:r>
    </w:p>
    <w:p>
      <w:pPr>
        <w:spacing w:after="0" w:line="131" w:lineRule="exact"/>
        <w:rPr>
          <w:sz w:val="20"/>
          <w:szCs w:val="20"/>
          <w:color w:val="auto"/>
        </w:rPr>
      </w:pPr>
    </w:p>
    <w:p>
      <w:pPr>
        <w:ind w:left="720" w:hanging="323"/>
        <w:spacing w:after="0" w:line="277" w:lineRule="auto"/>
        <w:tabs>
          <w:tab w:leader="none" w:pos="7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Short Sales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Short sales may also reduce a seller’s incentive to seek to improve the Company’s performance. In addition, Section 16(c) of the Securities Exchange Act of 1934 prohibits executive officers and directors of the Company from engaging in short sales. For these reasons, short sales of Company securities are prohibited by directors, officers and all associates.</w:t>
      </w:r>
    </w:p>
    <w:p>
      <w:pPr>
        <w:spacing w:after="0" w:line="192" w:lineRule="exact"/>
        <w:rPr>
          <w:rFonts w:ascii="Times New Roman" w:cs="Times New Roman" w:eastAsia="Times New Roman" w:hAnsi="Times New Roman"/>
          <w:sz w:val="22"/>
          <w:szCs w:val="22"/>
          <w:color w:val="auto"/>
        </w:rPr>
      </w:pPr>
    </w:p>
    <w:p>
      <w:pPr>
        <w:ind w:left="720" w:right="20" w:hanging="323"/>
        <w:spacing w:after="0" w:line="277" w:lineRule="auto"/>
        <w:tabs>
          <w:tab w:leader="none" w:pos="7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Publicly-Traded Options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Given the relatively short term of publicly- traded options, transactions in options may create the appearance that a director or designated officer is trading based on material nonpublic information and focus a director’s or designated officer’s attention on short-term performance at the expense of the Company’s long-term objectives. Accordingly, directors and designated officers are prohibited from engaging in transactions in put options, call options or other derivatives in regards to Company securities, whether on an exchange or in any other organized market.</w:t>
      </w:r>
    </w:p>
    <w:p>
      <w:pPr>
        <w:spacing w:after="0" w:line="178" w:lineRule="exact"/>
        <w:rPr>
          <w:rFonts w:ascii="Times New Roman" w:cs="Times New Roman" w:eastAsia="Times New Roman" w:hAnsi="Times New Roman"/>
          <w:sz w:val="22"/>
          <w:szCs w:val="22"/>
          <w:color w:val="auto"/>
        </w:rPr>
      </w:pPr>
    </w:p>
    <w:p>
      <w:pPr>
        <w:jc w:val="both"/>
        <w:ind w:left="720" w:hanging="323"/>
        <w:spacing w:after="0" w:line="275" w:lineRule="auto"/>
        <w:tabs>
          <w:tab w:leader="none" w:pos="7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associate to continue to own Company securities, but without the full risks and rewards of ownership. When that occurs, the director, officer or associate may no longer have the same objectives as the Company’s other shareholders. Therefore, directors, officers and associates, and their designees, are prohibited from engaging in transactions that hedge or offset, or are designed to hedge or offset, any decrease in the value of Company securities granted to the director, officer or associate as part of their compensation; or held directly or indirectly by the director, officer or associate. A designee may include a person, including a family member of the Fiserv Associate, designated by a Fiserv Associate to engage in securities transactions on their behalf or a corporation, partnership, limited liability company, trust or other entity that is established by a Fiserv Associate to own or hold Company securities for the benefit of the Fiserv Associate.</w:t>
      </w:r>
    </w:p>
    <w:p>
      <w:pPr>
        <w:spacing w:after="0" w:line="186" w:lineRule="exact"/>
        <w:rPr>
          <w:rFonts w:ascii="Times New Roman" w:cs="Times New Roman" w:eastAsia="Times New Roman" w:hAnsi="Times New Roman"/>
          <w:sz w:val="22"/>
          <w:szCs w:val="22"/>
          <w:color w:val="auto"/>
        </w:rPr>
      </w:pPr>
    </w:p>
    <w:p>
      <w:pPr>
        <w:ind w:left="720" w:right="340" w:hanging="323"/>
        <w:spacing w:after="0" w:line="291" w:lineRule="auto"/>
        <w:tabs>
          <w:tab w:leader="none" w:pos="7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Margin Accounts and Pledged Securities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Securities held in a margin account as collateral for a margin loan may be sold by the broker without the customer’s consent if the customer fails to meet a margin call. Similarly, securities pledged (or hypothecated)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1" w:right="339" w:bottom="1440" w:gutter="0" w:footer="0" w:header="0"/>
        </w:sectPr>
      </w:pPr>
    </w:p>
    <w:bookmarkStart w:id="155" w:name="page156"/>
    <w:bookmarkEnd w:id="155"/>
    <w:p>
      <w:pPr>
        <w:ind w:left="720" w:right="100"/>
        <w:spacing w:after="0" w:line="295" w:lineRule="auto"/>
        <w:rPr>
          <w:sz w:val="20"/>
          <w:szCs w:val="20"/>
          <w:color w:val="auto"/>
        </w:rPr>
      </w:pPr>
      <w:r>
        <w:rPr>
          <w:rFonts w:ascii="Times New Roman" w:cs="Times New Roman" w:eastAsia="Times New Roman" w:hAnsi="Times New Roman"/>
          <w:sz w:val="21"/>
          <w:szCs w:val="21"/>
          <w:color w:val="auto"/>
        </w:rPr>
        <w:t>collateral for a loan may be sold in foreclosure if the borrower defaults on the loan. Because a margin sale or foreclosure sale may occur at a time when the pledgor is aware of material nonpublic information or otherwise is not permitted to trade in Company securities, directors and designated officers are prohibited from pledging, directly or indirectly, Company securities as collateral in a margin account or otherwise pledging Company securities as collateral for a loan. Although associates who are not designated officers may hold Company securities in a margin account or otherwise pledge securities, they should recognize the risks set forth above if there is a margin call or foreclosure sale.</w:t>
      </w:r>
    </w:p>
    <w:p>
      <w:pPr>
        <w:spacing w:after="0" w:line="163" w:lineRule="exact"/>
        <w:rPr>
          <w:sz w:val="20"/>
          <w:szCs w:val="20"/>
          <w:color w:val="auto"/>
        </w:rPr>
      </w:pPr>
    </w:p>
    <w:p>
      <w:pPr>
        <w:ind w:left="720" w:right="100" w:hanging="323"/>
        <w:spacing w:after="0" w:line="282" w:lineRule="auto"/>
        <w:tabs>
          <w:tab w:leader="none" w:pos="7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Standing Orders</w:t>
      </w:r>
      <w:r>
        <w:rPr>
          <w:rFonts w:ascii="Times New Roman" w:cs="Times New Roman" w:eastAsia="Times New Roman" w:hAnsi="Times New Roman"/>
          <w:sz w:val="22"/>
          <w:szCs w:val="22"/>
          <w:color w:val="auto"/>
        </w:rPr>
        <w:t>. Standing orders (except standing orders under approved Rule 10b5-1 plans) should be used only for a brief period of time. A standing order placed with a broker to sell or purchase stock at a specified price leaves no control over the timing of the transaction. A standing order transaction executed by the broker when a Fiserv Associate is aware of material nonpublic information may result in unlawful insider trading.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Rule 10b5-1 Plans</w:t>
      </w:r>
    </w:p>
    <w:p>
      <w:pPr>
        <w:spacing w:after="0" w:line="25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2"/>
          <w:szCs w:val="22"/>
          <w:color w:val="auto"/>
        </w:rPr>
        <w:t>Rule 10b5-1 of the Securities Exchange Act of 1934 provides a defense from insider trading liability. To be eligible to rely on this defense, a person must enter into a Rule 10b5-1 plan for transactions in securities of the Company that meets certain conditions specified in the Rule (a “Rule 10b5-1 Plan”). If the plan meets the requirements of Rule 10b5-1, securities of the Company may be purchased or sold without regard to certain insider trading restrictions. To comply with this policy, a Rule 10b5-1 Plan must be approved by the Chief Legal Officer or his designee and meet the requirements of Rule 10b5-1.</w:t>
      </w:r>
    </w:p>
    <w:p>
      <w:pPr>
        <w:spacing w:after="0" w:line="19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 xml:space="preserve">In general, a Rule 10b5-1 Plan must be entered into in good faith at a time when the person entering into the plan is not aware of material nonpublic information regarding the Company. Rule 10b5-1 (i) requires a person (other than a director or executive officer or the Company) wait to begin trading under a Rule 10b5-1 Plan until 30 days after the adoption of the plan, (ii) generally prohibits a person from having more than one plan in place at the same time and (iii) restricts persons from relying on a single-trade plan more than once during any 12-month period. Once the plan is adopted, the person must act in good faith with respect to the plan and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Additional requirements with respect to Rule 10b5-1 Plans for Fiserv directors and designated officers, including a longer waiting period, are described in the </w:t>
      </w:r>
      <w:r>
        <w:rPr>
          <w:rFonts w:ascii="Times New Roman" w:cs="Times New Roman" w:eastAsia="Times New Roman" w:hAnsi="Times New Roman"/>
          <w:sz w:val="21"/>
          <w:szCs w:val="21"/>
          <w:i w:val="1"/>
          <w:iCs w:val="1"/>
          <w:color w:val="auto"/>
        </w:rPr>
        <w:t>Addendum to Securities Trading Policy</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Post Termination Transactions</w:t>
      </w:r>
    </w:p>
    <w:p>
      <w:pPr>
        <w:spacing w:after="0" w:line="253"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employment or other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7" w:right="339" w:bottom="1440" w:gutter="0" w:footer="0" w:header="0"/>
        </w:sectPr>
      </w:pPr>
    </w:p>
    <w:bookmarkStart w:id="156" w:name="page157"/>
    <w:bookmarkEnd w:id="156"/>
    <w:p>
      <w:pPr>
        <w:ind w:right="400"/>
        <w:spacing w:after="0" w:line="309" w:lineRule="auto"/>
        <w:rPr>
          <w:sz w:val="20"/>
          <w:szCs w:val="20"/>
          <w:color w:val="auto"/>
        </w:rPr>
      </w:pPr>
      <w:r>
        <w:rPr>
          <w:rFonts w:ascii="Times New Roman" w:cs="Times New Roman" w:eastAsia="Times New Roman" w:hAnsi="Times New Roman"/>
          <w:sz w:val="22"/>
          <w:szCs w:val="22"/>
          <w:color w:val="auto"/>
        </w:rPr>
        <w:t>Accordingly, Fiserv Associates who are aware of material nonpublic information upon termination of their relationship with Fiserv may not trade in Company securities until that information has become public or is no longer material.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Unauthorized Disclosure</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2"/>
          <w:szCs w:val="22"/>
          <w:color w:val="auto"/>
        </w:rPr>
        <w:t>Maintaining the confidentiality of Company information is essential for competitive, security and other business reasons, as well as to comply with securities laws. All information learned about the Company or its business plans in connection with Fiserv employment, including information about its clients and suppliers, should be treated as confidential and proprietary to the Company. Inadvertent disclosure of confidential or inside information may expose the Company and the disclosing Fiserv Associate to significant risk of investigation and litigation.</w:t>
      </w:r>
    </w:p>
    <w:p>
      <w:pPr>
        <w:spacing w:after="0" w:line="1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auto"/>
        </w:rPr>
        <w:t>The timing and nature of the Company’s disclosure of material information to outsiders is subject to legal rules, the breach of which could result in substantial liability to the disclosing Fiserv Associate,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2"/>
          <w:szCs w:val="22"/>
          <w:color w:val="auto"/>
        </w:rPr>
        <w:t>Associates who are called upon to work on certain projects or plans on behalf of the Company may be required to enter into a nondisclosure agreement, which includes a prohibition on trading in Company securities. Fiserv Associates may not trade in Company securities if prohibited by such written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Governance</w:t>
      </w:r>
    </w:p>
    <w:p>
      <w:pPr>
        <w:spacing w:after="0" w:line="26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2"/>
          <w:szCs w:val="22"/>
          <w:color w:val="auto"/>
        </w:rPr>
        <w:t>The Company’s Chief Legal Officer has the authority to administer this policy, including the authority to interpret the provisions of the policy and to make all other determinations necessary or advisable for the administration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Escalation</w:t>
      </w:r>
    </w:p>
    <w:p>
      <w:pPr>
        <w:spacing w:after="0" w:line="251"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22"/>
          <w:szCs w:val="22"/>
          <w:color w:val="auto"/>
        </w:rPr>
        <w:t>Compliance with this policy is of the utmost importance. Contact the Chief Legal Officer at (262) 879-5000 with any questions about this policy or its application to any proposed transaction. Fiserv Associates should not resolve uncertainties on their own, as the rules relating to insider trading are often complex, not always intuitive and carry severe consequences.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Enforcement</w:t>
      </w:r>
    </w:p>
    <w:p>
      <w:pPr>
        <w:spacing w:after="0" w:line="25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22"/>
          <w:szCs w:val="22"/>
          <w:color w:val="auto"/>
        </w:rPr>
        <w:t>In addition to the penalties imposed by the government for violations of law relating to unlawful activities in connection with trading of securities, Fiserv Associates who fail to comply with this policy may be subject to disciplinary action, up to and including termination of employment and/or pursuit of legal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1327"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b w:val="1"/>
          <w:bCs w:val="1"/>
          <w:color w:val="auto"/>
        </w:rPr>
        <w:t>7.  Exceptions</w:t>
      </w:r>
    </w:p>
    <w:p>
      <w:pPr>
        <w:spacing w:after="0" w:line="264"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22"/>
          <w:szCs w:val="22"/>
          <w:color w:val="auto"/>
        </w:rPr>
        <w:t>There are no exceptions to this policy unless permitted by law and as approved by the Legal Department. Exceptions must be sought by contacting the Policy Owner named in the header of this policy.</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Addendum to Securities Trading Policy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2"/>
          <w:szCs w:val="22"/>
          <w:color w:val="auto"/>
        </w:rPr>
        <w:t xml:space="preserve">To help prevent inadvertent violations of the federal securities laws, and to avoid even the appearance of trading on the basis of inside information, the Company has adopted this </w:t>
      </w:r>
      <w:r>
        <w:rPr>
          <w:rFonts w:ascii="Times New Roman" w:cs="Times New Roman" w:eastAsia="Times New Roman" w:hAnsi="Times New Roman"/>
          <w:sz w:val="22"/>
          <w:szCs w:val="22"/>
          <w:i w:val="1"/>
          <w:iCs w:val="1"/>
          <w:color w:val="auto"/>
        </w:rPr>
        <w:t>Addendum to Securities Trading Policy</w:t>
      </w:r>
      <w:r>
        <w:rPr>
          <w:rFonts w:ascii="Times New Roman" w:cs="Times New Roman" w:eastAsia="Times New Roman" w:hAnsi="Times New Roman"/>
          <w:sz w:val="22"/>
          <w:szCs w:val="22"/>
          <w:color w:val="auto"/>
        </w:rPr>
        <w:t xml:space="preserve"> that applies to the covered persons detailed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Persons Covered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addendum applies to the Company’s directors and designated officers.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Pre-Clearance</w:t>
      </w:r>
    </w:p>
    <w:p>
      <w:pPr>
        <w:spacing w:after="0" w:line="25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22"/>
          <w:szCs w:val="22"/>
          <w:color w:val="auto"/>
        </w:rPr>
        <w:t>Prior to executing any of the transactions covered by the policy, a director or designated officer must pre-clear such transaction with the Chief Executive Officer and the Chief Legal Officer, or their respective designees. Directors and designated officers should allow enough time in their planning to obtain pre-clearance.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Blackout Periods</w:t>
      </w:r>
    </w:p>
    <w:p>
      <w:pPr>
        <w:spacing w:after="0" w:line="25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2"/>
          <w:szCs w:val="22"/>
          <w:color w:val="auto"/>
        </w:rPr>
        <w:t>Open market transactions involving Company securities by directors, designated officers and immediate members of their family are not permitted during certain periods immediately preceding and following the Company’s quarterly earnings announcements or as otherwise directed by management. The quarterly trading window closes (i) for the first three quarters of the year, as of the close of business on the second to last Friday of the month in which quarter ends and (ii) for the last quarter of the year, as of the close of business on the third to last Friday of the month in which the quarter ends, and, in all cases, re-opens on the day after the first full trading day after the Company’s quarterly earnings announcement.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10b5-1 Trading Plans</w:t>
      </w:r>
    </w:p>
    <w:p>
      <w:pPr>
        <w:spacing w:after="0" w:line="25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The Company has established the following additional procedures to ensure that directors and designated officers comply with Rule 10b5-1 of the Securities Exchange Act of 1934 when creating and executing trading plans thereunder; and to ensure that the Company is aware of the creation and terms of any such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80"/>
          </w:cols>
          <w:pgMar w:left="320" w:top="1323" w:right="399" w:bottom="1440" w:gutter="0" w:footer="0" w:header="0"/>
        </w:sectPr>
      </w:pPr>
    </w:p>
    <w:bookmarkStart w:id="158" w:name="page159"/>
    <w:bookmarkEnd w:id="158"/>
    <w:p>
      <w:pPr>
        <w:ind w:left="323" w:right="20" w:hanging="323"/>
        <w:spacing w:after="0" w:line="276" w:lineRule="auto"/>
        <w:tabs>
          <w:tab w:leader="none" w:pos="3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Pre-Approval; Legal Requirements</w:t>
      </w:r>
      <w:r>
        <w:rPr>
          <w:rFonts w:ascii="Times New Roman" w:cs="Times New Roman" w:eastAsia="Times New Roman" w:hAnsi="Times New Roman"/>
          <w:sz w:val="22"/>
          <w:szCs w:val="22"/>
          <w:color w:val="auto"/>
        </w:rPr>
        <w:t>. Any director or designated officer who desires to enter into a Rule 10b5-1 Plan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plan”) must first obtain approval from the Chief Executive Officer and the Chief Legal Officer of the Company, or their respective designees. Prior to approval, the Chief Legal Officer or his designee will consult with the person on the trading plan’s design, including, among other things, the duration of the plan and the timing of the first trade thereunder. All trading plans must comply with Rule 10b5-1; be in writing and acknowledged in writing by the Chief Legal Officer or his designee; and be entered into in good faith and when the person establishing the trading plan is not aware of any material nonpublic information about Fiserv. For directors and executive officers, the trading plan must also include a representation certifying that they are not aware of material nonpublic information about Fiserv and are adopting the trading plan in good faith and not as a scheme to evade the prohibitions of Rule 10b-5. In addition, a trading plan may be entered into only during an open trading window for Company common stock.</w:t>
      </w:r>
    </w:p>
    <w:p>
      <w:pPr>
        <w:spacing w:after="0" w:line="182" w:lineRule="exact"/>
        <w:rPr>
          <w:rFonts w:ascii="Times New Roman" w:cs="Times New Roman" w:eastAsia="Times New Roman" w:hAnsi="Times New Roman"/>
          <w:sz w:val="22"/>
          <w:szCs w:val="22"/>
          <w:color w:val="auto"/>
        </w:rPr>
      </w:pPr>
    </w:p>
    <w:p>
      <w:pPr>
        <w:ind w:left="323" w:right="320" w:hanging="323"/>
        <w:spacing w:after="0" w:line="291" w:lineRule="auto"/>
        <w:tabs>
          <w:tab w:leader="none" w:pos="3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Policies</w:t>
      </w:r>
      <w:r>
        <w:rPr>
          <w:rFonts w:ascii="Times New Roman" w:cs="Times New Roman" w:eastAsia="Times New Roman" w:hAnsi="Times New Roman"/>
          <w:sz w:val="22"/>
          <w:szCs w:val="22"/>
          <w:color w:val="auto"/>
        </w:rPr>
        <w:t>. If a trading plan is approved in accordance with this policy, all trades pursuant to such trading plan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“pre-cleared” transactions. No trading plan shall be designed in a manner that would cause a director or designated officer to not meet applicable Company share ownership requirements.</w:t>
      </w:r>
    </w:p>
    <w:p>
      <w:pPr>
        <w:spacing w:after="0" w:line="159" w:lineRule="exact"/>
        <w:rPr>
          <w:rFonts w:ascii="Times New Roman" w:cs="Times New Roman" w:eastAsia="Times New Roman" w:hAnsi="Times New Roman"/>
          <w:sz w:val="22"/>
          <w:szCs w:val="22"/>
          <w:color w:val="auto"/>
        </w:rPr>
      </w:pPr>
    </w:p>
    <w:p>
      <w:pPr>
        <w:ind w:left="323" w:right="120" w:hanging="323"/>
        <w:spacing w:after="0" w:line="284" w:lineRule="auto"/>
        <w:tabs>
          <w:tab w:leader="none" w:pos="3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Directors and designated officers shall consider and comply with the good faith compliance requirement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10b5-1 when determining whether to terminate a trading plan. Any director or designated officer who desires to terminate a trading plan must consult with the Chief Legal Officer or his designee prior to terminating the plan.</w:t>
      </w:r>
    </w:p>
    <w:p>
      <w:pPr>
        <w:spacing w:after="0" w:line="181" w:lineRule="exact"/>
        <w:rPr>
          <w:rFonts w:ascii="Times New Roman" w:cs="Times New Roman" w:eastAsia="Times New Roman" w:hAnsi="Times New Roman"/>
          <w:sz w:val="22"/>
          <w:szCs w:val="22"/>
          <w:color w:val="auto"/>
        </w:rPr>
      </w:pPr>
    </w:p>
    <w:p>
      <w:pPr>
        <w:ind w:left="323" w:right="120" w:hanging="323"/>
        <w:spacing w:after="0" w:line="279" w:lineRule="auto"/>
        <w:tabs>
          <w:tab w:leader="none" w:pos="3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Any amendment to an approved trading plan will be treated as a termination of an existing trading plan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entry into a new trading plan. Accordingly, the terms of any amendment must be approved in accordance with the terms of this policy and shall otherwise comply with the terms of this policy as if the amendment were a new trading plan.</w:t>
      </w:r>
    </w:p>
    <w:p>
      <w:pPr>
        <w:spacing w:after="0" w:line="187" w:lineRule="exact"/>
        <w:rPr>
          <w:rFonts w:ascii="Times New Roman" w:cs="Times New Roman" w:eastAsia="Times New Roman" w:hAnsi="Times New Roman"/>
          <w:sz w:val="22"/>
          <w:szCs w:val="22"/>
          <w:color w:val="auto"/>
        </w:rPr>
      </w:pPr>
    </w:p>
    <w:p>
      <w:pPr>
        <w:ind w:left="323" w:hanging="323"/>
        <w:spacing w:after="0"/>
        <w:tabs>
          <w:tab w:leader="none" w:pos="32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 Transaction</w:t>
      </w:r>
      <w:r>
        <w:rPr>
          <w:rFonts w:ascii="Times New Roman" w:cs="Times New Roman" w:eastAsia="Times New Roman" w:hAnsi="Times New Roman"/>
          <w:sz w:val="21"/>
          <w:szCs w:val="21"/>
          <w:color w:val="auto"/>
        </w:rPr>
        <w:t>. For directors and executive officers, the first trade may not occur under a trading plan until the later of</w:t>
      </w:r>
    </w:p>
    <w:p>
      <w:pPr>
        <w:spacing w:after="0" w:line="46" w:lineRule="exact"/>
        <w:rPr>
          <w:rFonts w:ascii="Times New Roman" w:cs="Times New Roman" w:eastAsia="Times New Roman" w:hAnsi="Times New Roman"/>
          <w:sz w:val="21"/>
          <w:szCs w:val="21"/>
          <w:color w:val="auto"/>
        </w:rPr>
      </w:pPr>
    </w:p>
    <w:p>
      <w:pPr>
        <w:ind w:left="323" w:right="20"/>
        <w:spacing w:after="0" w:line="28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90 days after the adoption of the plan or (ii) two business days following the disclosure of Fiserv’s financial results in a Form 10-Q or Form 10-K relating to the quarter in which the plan was adopted, subject to a maximum of 120 days after adoption of the plan. For designated officers who are not executive officers, the first transaction under a trading plan may not occur until 30 days after the date upon which the trading plan was established.</w:t>
      </w:r>
    </w:p>
    <w:p>
      <w:pPr>
        <w:spacing w:after="0" w:line="170" w:lineRule="exact"/>
        <w:rPr>
          <w:rFonts w:ascii="Times New Roman" w:cs="Times New Roman" w:eastAsia="Times New Roman" w:hAnsi="Times New Roman"/>
          <w:sz w:val="21"/>
          <w:szCs w:val="21"/>
          <w:color w:val="auto"/>
        </w:rPr>
      </w:pPr>
    </w:p>
    <w:p>
      <w:pPr>
        <w:ind w:left="323" w:hanging="323"/>
        <w:spacing w:after="0" w:line="300" w:lineRule="auto"/>
        <w:tabs>
          <w:tab w:leader="none" w:pos="3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 of Trading Plans</w:t>
      </w:r>
      <w:r>
        <w:rPr>
          <w:rFonts w:ascii="Times New Roman" w:cs="Times New Roman" w:eastAsia="Times New Roman" w:hAnsi="Times New Roman"/>
          <w:sz w:val="22"/>
          <w:szCs w:val="22"/>
          <w:color w:val="auto"/>
        </w:rPr>
        <w:t>. Unless expressly approved by the Chief Legal Officer or his designee and compliant with Rule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10b5-1, a director or designated officer may have only one trading plan in effect at a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843"/>
          </w:cols>
          <w:pgMar w:left="717" w:top="132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SIGNIFICANT SUBSIDIARIES OF FISERV,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under which Subsidiary does Business</w:t>
            </w:r>
          </w:p>
        </w:tc>
        <w:tc>
          <w:tcPr>
            <w:tcW w:w="2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218"/>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CardConnect, LLC</w:t>
            </w:r>
          </w:p>
        </w:tc>
        <w:tc>
          <w:tcPr>
            <w:tcW w:w="480" w:type="dxa"/>
            <w:vAlign w:val="bottom"/>
          </w:tcPr>
          <w:p>
            <w:pPr>
              <w:spacing w:after="0"/>
              <w:rPr>
                <w:sz w:val="18"/>
                <w:szCs w:val="18"/>
                <w:color w:val="auto"/>
              </w:rPr>
            </w:pPr>
          </w:p>
        </w:tc>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 Services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Concord EFS,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Hydra Holdings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International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Merchant Services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Resources,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Fiserv Funding,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Fiserv Solutions,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ITI of Nebraska,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r>
    </w:tbl>
    <w:p>
      <w:pPr>
        <w:sectPr>
          <w:pgSz w:w="11900" w:h="16838" w:orient="portrait"/>
          <w:cols w:equalWidth="0" w:num="1">
            <w:col w:w="10120"/>
          </w:cols>
          <w:pgMar w:left="1440" w:top="88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333-143191, 333-188795, 333-231868, and 333-235769 on Form S-8, No. 333-229689 on Post-Effective Amendment No. 1 on S-8 to S-4, and No. 333-277241 on Form S-3 of our reports dated February 20, 2025, relating to the financial statements of Fiserv, Inc. (the “Company”) and the effectiveness of the Company’s internal control over financial reporting appearing in this Annual Report on Form 10-K of the Company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887"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171"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Fiserv,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3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4"/>
        </w:trPr>
        <w:tc>
          <w:tcPr>
            <w:tcW w:w="3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8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171"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Fiserv,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20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Fiserv, Inc. (the “Company”) for the year ended December 31, 2024 as filed with the Securities and Exchange Commission on the date hereof (the “Report”), Frank J. Bisignano, as Chairman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53" w:lineRule="exact"/>
        <w:rPr>
          <w:sz w:val="20"/>
          <w:szCs w:val="20"/>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7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29"/>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2025</w:t>
            </w:r>
          </w:p>
        </w:tc>
      </w:tr>
      <w:tr>
        <w:trPr>
          <w:trHeight w:val="66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7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29"/>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1)"/>
      <w:numFmt w:val="decimal"/>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1)"/>
      <w:numFmt w:val="decimal"/>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decimal"/>
      <w:start w:val="1"/>
    </w:lvl>
  </w:abstractNum>
  <w:abstractNum w:abstractNumId="18">
    <w:nsid w:val="3B0FD379"/>
    <w:multiLevelType w:val="hybridMultilevel"/>
    <w:lvl w:ilvl="0">
      <w:lvlJc w:val="left"/>
      <w:lvlText w:val="(%1)"/>
      <w:numFmt w:val="decimal"/>
      <w:start w:val="1"/>
    </w:lvl>
  </w:abstractNum>
  <w:abstractNum w:abstractNumId="19">
    <w:nsid w:val="68EB2F63"/>
    <w:multiLevelType w:val="hybridMultilevel"/>
    <w:lvl w:ilvl="0">
      <w:lvlJc w:val="left"/>
      <w:lvlText w:val="(%1)"/>
      <w:numFmt w:val="decimal"/>
      <w:start w:val="1"/>
    </w:lvl>
  </w:abstractNum>
  <w:abstractNum w:abstractNumId="20">
    <w:nsid w:val="4962813B"/>
    <w:multiLevelType w:val="hybridMultilevel"/>
    <w:lvl w:ilvl="0">
      <w:lvlJc w:val="left"/>
      <w:lvlText w:val="(%1)"/>
      <w:numFmt w:val="decimal"/>
      <w:start w:val="1"/>
    </w:lvl>
  </w:abstractNum>
  <w:abstractNum w:abstractNumId="21">
    <w:nsid w:val="60B6DF70"/>
    <w:multiLevelType w:val="hybridMultilevel"/>
    <w:lvl w:ilvl="0">
      <w:lvlJc w:val="left"/>
      <w:lvlText w:val="(%1)"/>
      <w:numFmt w:val="decimal"/>
      <w:start w:val="1"/>
    </w:lvl>
  </w:abstractNum>
  <w:abstractNum w:abstractNumId="22">
    <w:nsid w:val="6A5EE64"/>
    <w:multiLevelType w:val="hybridMultilevel"/>
    <w:lvl w:ilvl="0">
      <w:lvlJc w:val="left"/>
      <w:lvlText w:val="(%1)"/>
      <w:numFmt w:val="decimal"/>
      <w:start w:val="1"/>
    </w:lvl>
  </w:abstractNum>
  <w:abstractNum w:abstractNumId="23">
    <w:nsid w:val="14330624"/>
    <w:multiLevelType w:val="hybridMultilevel"/>
    <w:lvl w:ilvl="0">
      <w:lvlJc w:val="left"/>
      <w:lvlText w:val="(%1)"/>
      <w:numFmt w:val="decimal"/>
      <w:start w:val="1"/>
    </w:lvl>
  </w:abstractNum>
  <w:abstractNum w:abstractNumId="24">
    <w:nsid w:val="7FFFCA11"/>
    <w:multiLevelType w:val="hybridMultilevel"/>
    <w:lvl w:ilvl="0">
      <w:lvlJc w:val="left"/>
      <w:lvlText w:val="(%1)"/>
      <w:numFmt w:val="decimal"/>
      <w:start w:val="1"/>
    </w:lvl>
  </w:abstractNum>
  <w:abstractNum w:abstractNumId="25">
    <w:nsid w:val="1A27709E"/>
    <w:multiLevelType w:val="hybridMultilevel"/>
    <w:lvl w:ilvl="0">
      <w:lvlJc w:val="left"/>
      <w:lvlText w:val="%1."/>
      <w:numFmt w:val="decimal"/>
      <w:start w:val="1"/>
    </w:lvl>
  </w:abstractNum>
  <w:abstractNum w:abstractNumId="26">
    <w:nsid w:val="71EA1109"/>
    <w:multiLevelType w:val="hybridMultilevel"/>
    <w:lvl w:ilvl="0">
      <w:lvlJc w:val="left"/>
      <w:lvlText w:val="(%1)"/>
      <w:numFmt w:val="decimal"/>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1."/>
      <w:numFmt w:val="decimal"/>
      <w:start w:val="3"/>
    </w:lvl>
  </w:abstractNum>
  <w:abstractNum w:abstractNumId="30">
    <w:nsid w:val="6F6DD9AC"/>
    <w:multiLevelType w:val="hybridMultilevel"/>
    <w:lvl w:ilvl="0">
      <w:lvlJc w:val="left"/>
      <w:lvlText w:val="%1"/>
      <w:numFmt w:val="decimal"/>
      <w:start w:val="1"/>
    </w:lvl>
    <w:lvl w:ilvl="1">
      <w:lvlJc w:val="left"/>
      <w:lvlText w:val="(%2)"/>
      <w:numFmt w:val="decimal"/>
      <w:start w:val="1"/>
    </w:lvl>
  </w:abstractNum>
  <w:abstractNum w:abstractNumId="31">
    <w:nsid w:val="94211F2"/>
    <w:multiLevelType w:val="hybridMultilevel"/>
    <w:lvl w:ilvl="0">
      <w:lvlJc w:val="left"/>
      <w:lvlText w:val="%1."/>
      <w:numFmt w:val="decimal"/>
      <w:start w:val="8"/>
    </w:lvl>
    <w:lvl w:ilvl="1">
      <w:lvlJc w:val="left"/>
      <w:lvlText w:val="%2"/>
      <w:numFmt w:val="decimal"/>
      <w:start w:val="1"/>
    </w:lvl>
  </w:abstractNum>
  <w:abstractNum w:abstractNumId="32">
    <w:nsid w:val="885E1B"/>
    <w:multiLevelType w:val="hybridMultilevel"/>
    <w:lvl w:ilvl="0">
      <w:lvlJc w:val="left"/>
      <w:lvlText w:val="(%1)"/>
      <w:numFmt w:val="decimal"/>
      <w:start w:val="1"/>
    </w:lvl>
  </w:abstractNum>
  <w:abstractNum w:abstractNumId="33">
    <w:nsid w:val="76272110"/>
    <w:multiLevelType w:val="hybridMultilevel"/>
    <w:lvl w:ilvl="0">
      <w:lvlJc w:val="left"/>
      <w:lvlText w:val="(%1)"/>
      <w:numFmt w:val="decimal"/>
      <w:start w:val="1"/>
    </w:lvl>
  </w:abstractNum>
  <w:abstractNum w:abstractNumId="34">
    <w:nsid w:val="4C04A8AF"/>
    <w:multiLevelType w:val="hybridMultilevel"/>
    <w:lvl w:ilvl="0">
      <w:lvlJc w:val="left"/>
      <w:lvlText w:val="(%1)"/>
      <w:numFmt w:val="decimal"/>
      <w:start w:val="1"/>
    </w:lvl>
  </w:abstractNum>
  <w:abstractNum w:abstractNumId="35">
    <w:nsid w:val="1716703B"/>
    <w:multiLevelType w:val="hybridMultilevel"/>
    <w:lvl w:ilvl="0">
      <w:lvlJc w:val="left"/>
      <w:lvlText w:val="(%1)"/>
      <w:numFmt w:val="decimal"/>
      <w:start w:val="1"/>
    </w:lvl>
  </w:abstractNum>
  <w:abstractNum w:abstractNumId="36">
    <w:nsid w:val="14E17E33"/>
    <w:multiLevelType w:val="hybridMultilevel"/>
    <w:lvl w:ilvl="0">
      <w:lvlJc w:val="left"/>
      <w:lvlText w:val="(%1)"/>
      <w:numFmt w:val="decimal"/>
      <w:start w:val="1"/>
    </w:lvl>
  </w:abstractNum>
  <w:abstractNum w:abstractNumId="37">
    <w:nsid w:val="3222E7CD"/>
    <w:multiLevelType w:val="hybridMultilevel"/>
    <w:lvl w:ilvl="0">
      <w:lvlJc w:val="left"/>
      <w:lvlText w:val="(%1)"/>
      <w:numFmt w:val="decimal"/>
      <w:start w:val="1"/>
    </w:lvl>
  </w:abstractNum>
  <w:abstractNum w:abstractNumId="38">
    <w:nsid w:val="74DE0EE3"/>
    <w:multiLevelType w:val="hybridMultilevel"/>
    <w:lvl w:ilvl="0">
      <w:lvlJc w:val="left"/>
      <w:lvlText w:val="(%1)"/>
      <w:numFmt w:val="decimal"/>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decimal"/>
      <w:start w:val="1"/>
    </w:lvl>
  </w:abstractNum>
  <w:abstractNum w:abstractNumId="41">
    <w:nsid w:val="46B7D447"/>
    <w:multiLevelType w:val="hybridMultilevel"/>
    <w:lvl w:ilvl="0">
      <w:lvlJc w:val="left"/>
      <w:lvlText w:val="(%1)"/>
      <w:numFmt w:val="decimal"/>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1)"/>
      <w:numFmt w:val="decimal"/>
      <w:start w:val="1"/>
    </w:lvl>
  </w:abstractNum>
  <w:abstractNum w:abstractNumId="45">
    <w:nsid w:val="CC1016F"/>
    <w:multiLevelType w:val="hybridMultilevel"/>
    <w:lvl w:ilvl="0">
      <w:lvlJc w:val="left"/>
      <w:lvlText w:val="(%1)"/>
      <w:numFmt w:val="decimal"/>
      <w:start w:val="7"/>
    </w:lvl>
  </w:abstractNum>
  <w:abstractNum w:abstractNumId="46">
    <w:nsid w:val="43F18422"/>
    <w:multiLevelType w:val="hybridMultilevel"/>
    <w:lvl w:ilvl="0">
      <w:lvlJc w:val="left"/>
      <w:lvlText w:val="(%1)"/>
      <w:numFmt w:val="decimal"/>
      <w:start w:val="1"/>
    </w:lvl>
  </w:abstractNum>
  <w:abstractNum w:abstractNumId="47">
    <w:nsid w:val="60EF0119"/>
    <w:multiLevelType w:val="hybridMultilevel"/>
    <w:lvl w:ilvl="0">
      <w:lvlJc w:val="left"/>
      <w:lvlText w:val="(%1)"/>
      <w:numFmt w:val="decimal"/>
      <w:start w:val="1"/>
    </w:lvl>
  </w:abstractNum>
  <w:abstractNum w:abstractNumId="48">
    <w:nsid w:val="26F324BA"/>
    <w:multiLevelType w:val="hybridMultilevel"/>
    <w:lvl w:ilvl="0">
      <w:lvlJc w:val="left"/>
      <w:lvlText w:val="•"/>
      <w:numFmt w:val="bullet"/>
      <w:start w:val="1"/>
    </w:lvl>
    <w:lvl w:ilvl="1">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1)"/>
      <w:numFmt w:val="lowerLetter"/>
      <w:start w:val="1"/>
    </w:lvl>
  </w:abstractNum>
  <w:abstractNum w:abstractNumId="51">
    <w:nsid w:val="7055A5F5"/>
    <w:multiLevelType w:val="hybridMultilevel"/>
    <w:lvl w:ilvl="0">
      <w:lvlJc w:val="left"/>
      <w:lvlText w:val="(%1)"/>
      <w:numFmt w:val="lowerLetter"/>
      <w:start w:val="2"/>
    </w:lvl>
  </w:abstractNum>
  <w:abstractNum w:abstractNumId="52">
    <w:nsid w:val="5FB8370B"/>
    <w:multiLevelType w:val="hybridMultilevel"/>
    <w:lvl w:ilvl="0">
      <w:lvlJc w:val="left"/>
      <w:lvlText w:val="(%1)"/>
      <w:numFmt w:val="decimal"/>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1"/>
    </w:lvl>
  </w:abstractNum>
  <w:abstractNum w:abstractNumId="55">
    <w:nsid w:val="5FB8011C"/>
    <w:multiLevelType w:val="hybridMultilevel"/>
    <w:lvl w:ilvl="0">
      <w:lvlJc w:val="left"/>
      <w:lvlText w:val="(%1)"/>
      <w:numFmt w:val="decimal"/>
      <w:start w:val="10"/>
    </w:lvl>
  </w:abstractNum>
  <w:abstractNum w:abstractNumId="56">
    <w:nsid w:val="6AA78F7F"/>
    <w:multiLevelType w:val="hybridMultilevel"/>
    <w:lvl w:ilvl="0">
      <w:lvlJc w:val="left"/>
      <w:lvlText w:val="%1."/>
      <w:numFmt w:val="decimal"/>
      <w:start w:val="1"/>
    </w:lvl>
    <w:lvl w:ilvl="1">
      <w:lvlJc w:val="left"/>
      <w:lvlText w:val="(%2)"/>
      <w:numFmt w:val="lowerLetter"/>
      <w:start w:val="1"/>
    </w:lvl>
  </w:abstractNum>
  <w:abstractNum w:abstractNumId="57">
    <w:nsid w:val="7672BD23"/>
    <w:multiLevelType w:val="hybridMultilevel"/>
    <w:lvl w:ilvl="0">
      <w:lvlJc w:val="left"/>
      <w:lvlText w:val="%1"/>
      <w:numFmt w:val="decimal"/>
      <w:start w:val="1"/>
    </w:lvl>
    <w:lvl w:ilvl="1">
      <w:lvlJc w:val="left"/>
      <w:lvlText w:val="(%2)"/>
      <w:numFmt w:val="lowerLetter"/>
      <w:start w:val="4"/>
    </w:lvl>
  </w:abstractNum>
  <w:abstractNum w:abstractNumId="58">
    <w:nsid w:val="6FC75AF8"/>
    <w:multiLevelType w:val="hybridMultilevel"/>
    <w:lvl w:ilvl="0">
      <w:lvlJc w:val="left"/>
      <w:lvlText w:val="%1."/>
      <w:numFmt w:val="decimal"/>
      <w:start w:val="5"/>
    </w:lvl>
    <w:lvl w:ilvl="1">
      <w:lvlJc w:val="left"/>
      <w:lvlText w:val="%2"/>
      <w:numFmt w:val="lowerLetter"/>
      <w:start w:val="1"/>
    </w:lvl>
  </w:abstractNum>
  <w:abstractNum w:abstractNumId="59">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7D5E18F8"/>
    <w:multiLevelType w:val="hybridMultilevel"/>
    <w:lvl w:ilvl="0">
      <w:lvlJc w:val="left"/>
      <w:lvlText w:val="(%1)"/>
      <w:numFmt w:val="lowerLetter"/>
      <w:start w:val="4"/>
    </w:lvl>
  </w:abstractNum>
  <w:abstractNum w:abstractNumId="61">
    <w:nsid w:val="5F3534A4"/>
    <w:multiLevelType w:val="hybridMultilevel"/>
    <w:lvl w:ilvl="0">
      <w:lvlJc w:val="left"/>
      <w:lvlText w:val="%1"/>
      <w:numFmt w:val="decimal"/>
      <w:start w:val="1"/>
    </w:lvl>
    <w:lvl w:ilvl="1">
      <w:lvlJc w:val="left"/>
      <w:lvlText w:val="(%2)"/>
      <w:numFmt w:val="lowerLetter"/>
      <w:start w:val="5"/>
    </w:lvl>
  </w:abstractNum>
  <w:abstractNum w:abstractNumId="62">
    <w:nsid w:val="73A1821B"/>
    <w:multiLevelType w:val="hybridMultilevel"/>
    <w:lvl w:ilvl="0">
      <w:lvlJc w:val="left"/>
      <w:lvlText w:val="%1."/>
      <w:numFmt w:val="decimal"/>
      <w:start w:val="6"/>
    </w:lvl>
    <w:lvl w:ilvl="1">
      <w:lvlJc w:val="left"/>
      <w:lvlText w:val="(%2)"/>
      <w:numFmt w:val="lowerLetter"/>
      <w:start w:val="1"/>
    </w:lvl>
  </w:abstractNum>
  <w:abstractNum w:abstractNumId="63">
    <w:nsid w:val="7DE67713"/>
    <w:multiLevelType w:val="hybridMultilevel"/>
    <w:lvl w:ilvl="0">
      <w:lvlJc w:val="left"/>
      <w:lvlText w:val="%1"/>
      <w:numFmt w:val="decimal"/>
      <w:start w:val="1"/>
    </w:lvl>
    <w:lvl w:ilvl="1">
      <w:lvlJc w:val="left"/>
      <w:lvlText w:val="(%2)"/>
      <w:numFmt w:val="lowerLetter"/>
      <w:start w:val="4"/>
    </w:lvl>
  </w:abstractNum>
  <w:abstractNum w:abstractNumId="64">
    <w:nsid w:val="555C55B5"/>
    <w:multiLevelType w:val="hybridMultilevel"/>
    <w:lvl w:ilvl="0">
      <w:lvlJc w:val="left"/>
      <w:lvlText w:val="%1."/>
      <w:numFmt w:val="decimal"/>
      <w:start w:val="8"/>
    </w:lvl>
    <w:lvl w:ilvl="1">
      <w:lvlJc w:val="left"/>
      <w:lvlText w:val="(%2)"/>
      <w:numFmt w:val="lowerLetter"/>
      <w:start w:val="1"/>
    </w:lvl>
  </w:abstractNum>
  <w:abstractNum w:abstractNumId="65">
    <w:nsid w:val="3FA62ACA"/>
    <w:multiLevelType w:val="hybridMultilevel"/>
    <w:lvl w:ilvl="0">
      <w:lvlJc w:val="left"/>
      <w:lvlText w:val="%1."/>
      <w:numFmt w:val="decimal"/>
      <w:start w:val="9"/>
    </w:lvl>
  </w:abstractNum>
  <w:abstractNum w:abstractNumId="66">
    <w:nsid w:val="14FCE74E"/>
    <w:multiLevelType w:val="hybridMultilevel"/>
    <w:lvl w:ilvl="0">
      <w:lvlJc w:val="left"/>
      <w:lvlText w:val="(%1)"/>
      <w:numFmt w:val="lowerLetter"/>
      <w:start w:val="1"/>
    </w:lvl>
  </w:abstractNum>
  <w:abstractNum w:abstractNumId="67">
    <w:nsid w:val="6A3DD3E8"/>
    <w:multiLevelType w:val="hybridMultilevel"/>
    <w:lvl w:ilvl="0">
      <w:lvlJc w:val="left"/>
      <w:lvlText w:val="(%1)"/>
      <w:numFmt w:val="lowerRoman"/>
      <w:start w:val="1"/>
    </w:lvl>
  </w:abstractNum>
  <w:abstractNum w:abstractNumId="68">
    <w:nsid w:val="71C9129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9">
    <w:nsid w:val="9DAF632"/>
    <w:multiLevelType w:val="hybridMultilevel"/>
    <w:lvl w:ilvl="0">
      <w:lvlJc w:val="left"/>
      <w:lvlText w:val="(%1)"/>
      <w:numFmt w:val="lowerRoman"/>
      <w:start w:val="2"/>
    </w:lvl>
    <w:lvl w:ilvl="1">
      <w:lvlJc w:val="left"/>
      <w:lvlText w:val="(%2)"/>
      <w:numFmt w:val="upperLetter"/>
      <w:start w:val="1"/>
    </w:lvl>
  </w:abstractNum>
  <w:abstractNum w:abstractNumId="70">
    <w:nsid w:val="5329993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71">
    <w:nsid w:val="1FBFE8E0"/>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72">
    <w:nsid w:val="5092CA79"/>
    <w:multiLevelType w:val="hybridMultilevel"/>
    <w:lvl w:ilvl="0">
      <w:lvlJc w:val="left"/>
      <w:lvlText w:val="%1"/>
      <w:numFmt w:val="lowerLetter"/>
      <w:start w:val="1"/>
    </w:lvl>
    <w:lvl w:ilvl="1">
      <w:lvlJc w:val="left"/>
      <w:lvlText w:val="(%2)"/>
      <w:numFmt w:val="lowerLetter"/>
      <w:start w:val="24"/>
    </w:lvl>
  </w:abstractNum>
  <w:abstractNum w:abstractNumId="73">
    <w:nsid w:val="1D545C4D"/>
    <w:multiLevelType w:val="hybridMultilevel"/>
    <w:lvl w:ilvl="0">
      <w:lvlJc w:val="left"/>
      <w:lvlText w:val="(%1)"/>
      <w:numFmt w:val="lowerLetter"/>
      <w:start w:val="3"/>
    </w:lvl>
    <w:lvl w:ilvl="1">
      <w:lvlJc w:val="left"/>
      <w:lvlText w:val="%2"/>
      <w:numFmt w:val="lowerLetter"/>
      <w:start w:val="1"/>
    </w:lvl>
  </w:abstractNum>
  <w:abstractNum w:abstractNumId="74">
    <w:nsid w:val="59ADEA3D"/>
    <w:multiLevelType w:val="hybridMultilevel"/>
    <w:lvl w:ilvl="0">
      <w:lvlJc w:val="left"/>
      <w:lvlText w:val="%1"/>
      <w:numFmt w:val="decimal"/>
      <w:start w:val="1"/>
    </w:lvl>
    <w:lvl w:ilvl="1">
      <w:lvlJc w:val="left"/>
      <w:lvlText w:val="(%2)"/>
      <w:numFmt w:val="lowerLetter"/>
      <w:start w:val="4"/>
    </w:lvl>
  </w:abstractNum>
  <w:abstractNum w:abstractNumId="75">
    <w:nsid w:val="288F1A34"/>
    <w:multiLevelType w:val="hybridMultilevel"/>
    <w:lvl w:ilvl="0">
      <w:lvlJc w:val="left"/>
      <w:lvlText w:val="%1."/>
      <w:numFmt w:val="decimal"/>
      <w:start w:val="10"/>
    </w:lvl>
    <w:lvl w:ilvl="1">
      <w:lvlJc w:val="left"/>
      <w:lvlText w:val="%2"/>
      <w:numFmt w:val="lowerLetter"/>
      <w:start w:val="1"/>
    </w:lvl>
  </w:abstractNum>
  <w:abstractNum w:abstractNumId="76">
    <w:nsid w:val="2A155DBC"/>
    <w:multiLevelType w:val="hybridMultilevel"/>
    <w:lvl w:ilvl="0">
      <w:lvlJc w:val="left"/>
      <w:lvlText w:val="%1."/>
      <w:numFmt w:val="decimal"/>
      <w:start w:val="12"/>
    </w:lvl>
  </w:abstractNum>
  <w:abstractNum w:abstractNumId="77">
    <w:nsid w:val="1D9F6E5F"/>
    <w:multiLevelType w:val="hybridMultilevel"/>
    <w:lvl w:ilvl="0">
      <w:lvlJc w:val="left"/>
      <w:lvlText w:val="%1."/>
      <w:numFmt w:val="decimal"/>
      <w:start w:val="15"/>
    </w:lvl>
    <w:lvl w:ilvl="1">
      <w:lvlJc w:val="left"/>
      <w:lvlText w:val="(%2)"/>
      <w:numFmt w:val="lowerLetter"/>
      <w:start w:val="1"/>
    </w:lvl>
  </w:abstractNum>
  <w:abstractNum w:abstractNumId="78">
    <w:nsid w:val="97E1B4E"/>
    <w:multiLevelType w:val="hybridMultilevel"/>
    <w:lvl w:ilvl="0">
      <w:lvlJc w:val="left"/>
      <w:lvlText w:val="(%1)"/>
      <w:numFmt w:val="lowerLetter"/>
      <w:start w:val="1"/>
    </w:lvl>
    <w:lvl w:ilvl="1">
      <w:lvlJc w:val="left"/>
      <w:lvlText w:val="(%2)"/>
      <w:numFmt w:val="lowerLetter"/>
      <w:start w:val="9"/>
    </w:lvl>
  </w:abstractNum>
  <w:abstractNum w:abstractNumId="79">
    <w:nsid w:val="51088277"/>
    <w:multiLevelType w:val="hybridMultilevel"/>
    <w:lvl w:ilvl="0">
      <w:lvlJc w:val="left"/>
      <w:lvlText w:val="%1."/>
      <w:numFmt w:val="decimal"/>
      <w:start w:val="1"/>
    </w:lvl>
    <w:lvl w:ilvl="1">
      <w:lvlJc w:val="left"/>
      <w:lvlText w:val="%2."/>
      <w:numFmt w:val="decimal"/>
      <w:start w:val="3"/>
    </w:lvl>
  </w:abstractNum>
  <w:abstractNum w:abstractNumId="80">
    <w:nsid w:val="1CA0C5FA"/>
    <w:multiLevelType w:val="hybridMultilevel"/>
    <w:lvl w:ilvl="0">
      <w:lvlJc w:val="left"/>
      <w:lvlText w:val="%1."/>
      <w:numFmt w:val="decimal"/>
      <w:start w:val="4"/>
    </w:lvl>
    <w:lvl w:ilvl="1">
      <w:lvlJc w:val="left"/>
      <w:lvlText w:val="(%2)"/>
      <w:numFmt w:val="lowerLetter"/>
      <w:start w:val="1"/>
    </w:lvl>
  </w:abstractNum>
  <w:abstractNum w:abstractNumId="81">
    <w:nsid w:val="53584BCB"/>
    <w:multiLevelType w:val="hybridMultilevel"/>
    <w:lvl w:ilvl="0">
      <w:lvlJc w:val="left"/>
      <w:lvlText w:val="%1"/>
      <w:numFmt w:val="decimal"/>
      <w:start w:val="1"/>
    </w:lvl>
    <w:lvl w:ilvl="1">
      <w:lvlJc w:val="left"/>
      <w:lvlText w:val="(%2)"/>
      <w:numFmt w:val="lowerLetter"/>
      <w:start w:val="4"/>
    </w:lvl>
  </w:abstractNum>
  <w:abstractNum w:abstractNumId="82">
    <w:nsid w:val="415E286C"/>
    <w:multiLevelType w:val="hybridMultilevel"/>
    <w:lvl w:ilvl="0">
      <w:lvlJc w:val="left"/>
      <w:lvlText w:val="%1."/>
      <w:numFmt w:val="decimal"/>
      <w:start w:val="5"/>
    </w:lvl>
    <w:lvl w:ilvl="1">
      <w:lvlJc w:val="left"/>
      <w:lvlText w:val="%2"/>
      <w:numFmt w:val="lowerLetter"/>
      <w:start w:val="1"/>
    </w:lvl>
  </w:abstractNum>
  <w:abstractNum w:abstractNumId="83">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lvl w:ilvl="4">
      <w:lvlJc w:val="left"/>
      <w:lvlText w:val="(%5)"/>
      <w:numFmt w:val="upperLetter"/>
      <w:start w:val="35"/>
    </w:lvl>
  </w:abstractNum>
  <w:abstractNum w:abstractNumId="84">
    <w:nsid w:val="23D86AAC"/>
    <w:multiLevelType w:val="hybridMultilevel"/>
    <w:lvl w:ilvl="0">
      <w:lvlJc w:val="left"/>
      <w:lvlText w:val="(%1)"/>
      <w:numFmt w:val="lowerLetter"/>
      <w:start w:val="4"/>
    </w:lvl>
  </w:abstractNum>
  <w:abstractNum w:abstractNumId="85">
    <w:nsid w:val="45E6D486"/>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86">
    <w:nsid w:val="5C10FE21"/>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87">
    <w:nsid w:val="E7FFA2B"/>
    <w:multiLevelType w:val="hybridMultilevel"/>
    <w:lvl w:ilvl="0">
      <w:lvlJc w:val="left"/>
      <w:lvlText w:val="%1"/>
      <w:numFmt w:val="decimal"/>
      <w:start w:val="1"/>
    </w:lvl>
    <w:lvl w:ilvl="1">
      <w:lvlJc w:val="left"/>
      <w:lvlText w:val="(%2)"/>
      <w:numFmt w:val="lowerLetter"/>
      <w:start w:val="3"/>
    </w:lvl>
  </w:abstractNum>
  <w:abstractNum w:abstractNumId="88">
    <w:nsid w:val="3C5991AA"/>
    <w:multiLevelType w:val="hybridMultilevel"/>
    <w:lvl w:ilvl="0">
      <w:lvlJc w:val="left"/>
      <w:lvlText w:val="%1."/>
      <w:numFmt w:val="decimal"/>
      <w:start w:val="8"/>
    </w:lvl>
    <w:lvl w:ilvl="1">
      <w:lvlJc w:val="left"/>
      <w:lvlText w:val="(%2)"/>
      <w:numFmt w:val="lowerLetter"/>
      <w:start w:val="1"/>
    </w:lvl>
  </w:abstractNum>
  <w:abstractNum w:abstractNumId="89">
    <w:nsid w:val="4BD8591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
    <w:nsid w:val="78DF6A5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1">
    <w:nsid w:val="39B7AAA2"/>
    <w:multiLevelType w:val="hybridMultilevel"/>
    <w:lvl w:ilvl="0">
      <w:lvlJc w:val="left"/>
      <w:lvlText w:val="(%1)"/>
      <w:numFmt w:val="lowerRoman"/>
      <w:start w:val="2"/>
    </w:lvl>
    <w:lvl w:ilvl="1">
      <w:lvlJc w:val="left"/>
      <w:lvlText w:val="(%2)"/>
      <w:numFmt w:val="upperLetter"/>
      <w:start w:val="1"/>
    </w:lvl>
  </w:abstractNum>
  <w:abstractNum w:abstractNumId="92">
    <w:nsid w:val="2B0D8DB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93">
    <w:nsid w:val="6C80EC70"/>
    <w:multiLevelType w:val="hybridMultilevel"/>
    <w:lvl w:ilvl="0">
      <w:lvlJc w:val="left"/>
      <w:lvlText w:val="(%1)"/>
      <w:numFmt w:val="lowerRoman"/>
      <w:start w:val="4"/>
    </w:lvl>
    <w:lvl w:ilvl="1">
      <w:lvlJc w:val="left"/>
      <w:lvlText w:val="(%2)"/>
      <w:numFmt w:val="lowerRoman"/>
      <w:start w:val="10"/>
    </w:lvl>
    <w:lvl w:ilvl="2">
      <w:lvlJc w:val="left"/>
      <w:lvlText w:val="(%3)"/>
      <w:numFmt w:val="upperLetter"/>
      <w:start w:val="1"/>
    </w:lvl>
  </w:abstractNum>
  <w:abstractNum w:abstractNumId="94">
    <w:nsid w:val="379E21B5"/>
    <w:multiLevelType w:val="hybridMultilevel"/>
    <w:lvl w:ilvl="0">
      <w:lvlJc w:val="left"/>
      <w:lvlText w:val="(%1)"/>
      <w:numFmt w:val="lowerLetter"/>
      <w:start w:val="3"/>
    </w:lvl>
  </w:abstractNum>
  <w:abstractNum w:abstractNumId="95">
    <w:nsid w:val="69E373"/>
    <w:multiLevelType w:val="hybridMultilevel"/>
    <w:lvl w:ilvl="0">
      <w:lvlJc w:val="left"/>
      <w:lvlText w:val="%1"/>
      <w:numFmt w:val="decimal"/>
      <w:start w:val="1"/>
    </w:lvl>
    <w:lvl w:ilvl="1">
      <w:lvlJc w:val="left"/>
      <w:lvlText w:val="(%2)"/>
      <w:numFmt w:val="lowerLetter"/>
      <w:start w:val="4"/>
    </w:lvl>
  </w:abstractNum>
  <w:abstractNum w:abstractNumId="96">
    <w:nsid w:val="2C27173B"/>
    <w:multiLevelType w:val="hybridMultilevel"/>
    <w:lvl w:ilvl="0">
      <w:lvlJc w:val="left"/>
      <w:lvlText w:val="%1."/>
      <w:numFmt w:val="decimal"/>
      <w:start w:val="10"/>
    </w:lvl>
    <w:lvl w:ilvl="1">
      <w:lvlJc w:val="left"/>
      <w:lvlText w:val="%2"/>
      <w:numFmt w:val="lowerLetter"/>
      <w:start w:val="1"/>
    </w:lvl>
  </w:abstractNum>
  <w:abstractNum w:abstractNumId="97">
    <w:nsid w:val="4C9B0904"/>
    <w:multiLevelType w:val="hybridMultilevel"/>
    <w:lvl w:ilvl="0">
      <w:lvlJc w:val="left"/>
      <w:lvlText w:val="%1."/>
      <w:numFmt w:val="decimal"/>
      <w:start w:val="12"/>
    </w:lvl>
  </w:abstractNum>
  <w:abstractNum w:abstractNumId="98">
    <w:nsid w:val="6AA7B75C"/>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99">
    <w:nsid w:val="1DF029D3"/>
    <w:multiLevelType w:val="hybridMultilevel"/>
    <w:lvl w:ilvl="0">
      <w:lvlJc w:val="left"/>
      <w:lvlText w:val="%1."/>
      <w:numFmt w:val="decimal"/>
      <w:start w:val="18"/>
    </w:lvl>
    <w:lvl w:ilvl="1">
      <w:lvlJc w:val="left"/>
      <w:lvlText w:val="%2"/>
      <w:numFmt w:val="decimal"/>
      <w:start w:val="1"/>
    </w:lvl>
    <w:lvl w:ilvl="2">
      <w:lvlJc w:val="left"/>
      <w:lvlText w:val="%3"/>
      <w:numFmt w:val="lowerLetter"/>
      <w:start w:val="1"/>
    </w:lvl>
  </w:abstractNum>
  <w:abstractNum w:abstractNumId="100">
    <w:nsid w:val="5675FF36"/>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101">
    <w:nsid w:val="3DD15094"/>
    <w:multiLevelType w:val="hybridMultilevel"/>
    <w:lvl w:ilvl="0">
      <w:lvlJc w:val="left"/>
      <w:lvlText w:val="%1."/>
      <w:numFmt w:val="upperLetter"/>
      <w:start w:val="1"/>
    </w:lvl>
    <w:lvl w:ilvl="1">
      <w:lvlJc w:val="left"/>
      <w:lvlText w:val="*"/>
      <w:numFmt w:val="bullet"/>
      <w:start w:val="1"/>
    </w:lvl>
  </w:abstractNum>
  <w:abstractNum w:abstractNumId="102">
    <w:nsid w:val="3DB012B3"/>
    <w:multiLevelType w:val="hybridMultilevel"/>
    <w:lvl w:ilvl="0">
      <w:lvlJc w:val="left"/>
      <w:lvlText w:val="%1."/>
      <w:numFmt w:val="upperLetter"/>
      <w:start w:val="1"/>
    </w:lvl>
  </w:abstractNum>
  <w:abstractNum w:abstractNumId="103">
    <w:nsid w:val="2708C9AF"/>
    <w:multiLevelType w:val="hybridMultilevel"/>
    <w:lvl w:ilvl="0">
      <w:lvlJc w:val="left"/>
      <w:lvlText w:val="•"/>
      <w:numFmt w:val="bullet"/>
      <w:start w:val="1"/>
    </w:lvl>
  </w:abstractNum>
  <w:abstractNum w:abstractNumId="104">
    <w:nsid w:val="5B25ACE2"/>
    <w:multiLevelType w:val="hybridMultilevel"/>
    <w:lvl w:ilvl="0">
      <w:lvlJc w:val="left"/>
      <w:lvlText w:val="%1."/>
      <w:numFmt w:val="upperLetter"/>
      <w:start w:val="1"/>
    </w:lvl>
    <w:lvl w:ilvl="1">
      <w:lvlJc w:val="left"/>
      <w:lvlText w:val="*"/>
      <w:numFmt w:val="bullet"/>
      <w:start w:val="1"/>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1."/>
      <w:numFmt w:val="upperLetter"/>
      <w:start w:val="2"/>
    </w:lvl>
    <w:lvl w:ilvl="1">
      <w:lvlJc w:val="left"/>
      <w:lvlText w:val="**"/>
      <w:numFmt w:val="bullet"/>
      <w:start w:val="1"/>
    </w:lvl>
  </w:abstractNum>
  <w:abstractNum w:abstractNumId="107">
    <w:nsid w:val="53B0A9E"/>
    <w:multiLevelType w:val="hybridMultilevel"/>
    <w:lvl w:ilvl="0">
      <w:lvlJc w:val="left"/>
      <w:lvlText w:val="*"/>
      <w:numFmt w:val="bullet"/>
      <w:start w:val="1"/>
    </w:lvl>
  </w:abstractNum>
  <w:abstractNum w:abstractNumId="108">
    <w:nsid w:val="34FD6B4F"/>
    <w:multiLevelType w:val="hybridMultilevel"/>
    <w:lvl w:ilvl="0">
      <w:lvlJc w:val="left"/>
      <w:lvlText w:val="**"/>
      <w:numFmt w:val="bullet"/>
      <w:start w:val="1"/>
    </w:lvl>
  </w:abstractNum>
  <w:abstractNum w:abstractNumId="109">
    <w:nsid w:val="5915FF32"/>
    <w:multiLevelType w:val="hybridMultilevel"/>
    <w:lvl w:ilvl="0">
      <w:lvlJc w:val="left"/>
      <w:lvlText w:val="%1."/>
      <w:numFmt w:val="decimal"/>
      <w:start w:val="1"/>
    </w:lvl>
    <w:lvl w:ilvl="1">
      <w:lvlJc w:val="left"/>
      <w:lvlText w:val="(%2)"/>
      <w:numFmt w:val="lowerLetter"/>
      <w:start w:val="1"/>
    </w:lvl>
  </w:abstractNum>
  <w:abstractNum w:abstractNumId="110">
    <w:nsid w:val="56438D15"/>
    <w:multiLevelType w:val="hybridMultilevel"/>
    <w:lvl w:ilvl="0">
      <w:lvlJc w:val="left"/>
      <w:lvlText w:val="%1"/>
      <w:numFmt w:val="decimal"/>
      <w:start w:val="1"/>
    </w:lvl>
    <w:lvl w:ilvl="1">
      <w:lvlJc w:val="left"/>
      <w:lvlText w:val="(%2)"/>
      <w:numFmt w:val="lowerLetter"/>
      <w:start w:val="4"/>
    </w:lvl>
  </w:abstractNum>
  <w:abstractNum w:abstractNumId="111">
    <w:nsid w:val="519E3149"/>
    <w:multiLevelType w:val="hybridMultilevel"/>
    <w:lvl w:ilvl="0">
      <w:lvlJc w:val="left"/>
      <w:lvlText w:val="%1."/>
      <w:numFmt w:val="decimal"/>
      <w:start w:val="5"/>
    </w:lvl>
    <w:lvl w:ilvl="1">
      <w:lvlJc w:val="left"/>
      <w:lvlText w:val="%2"/>
      <w:numFmt w:val="lowerLetter"/>
      <w:start w:val="1"/>
    </w:lvl>
  </w:abstractNum>
  <w:abstractNum w:abstractNumId="112">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5"/>
    </w:lvl>
  </w:abstractNum>
  <w:abstractNum w:abstractNumId="113">
    <w:nsid w:val="17A1B582"/>
    <w:multiLevelType w:val="hybridMultilevel"/>
    <w:lvl w:ilvl="0">
      <w:lvlJc w:val="left"/>
      <w:lvlText w:val="(%1)"/>
      <w:numFmt w:val="lowerLetter"/>
      <w:start w:val="4"/>
    </w:lvl>
  </w:abstractNum>
  <w:abstractNum w:abstractNumId="114">
    <w:nsid w:val="4DF72E4E"/>
    <w:multiLevelType w:val="hybridMultilevel"/>
    <w:lvl w:ilvl="0">
      <w:lvlJc w:val="left"/>
      <w:lvlText w:val="%1"/>
      <w:numFmt w:val="decimal"/>
      <w:start w:val="1"/>
    </w:lvl>
    <w:lvl w:ilvl="1">
      <w:lvlJc w:val="left"/>
      <w:lvlText w:val="(%2)"/>
      <w:numFmt w:val="lowerLetter"/>
      <w:start w:val="5"/>
    </w:lvl>
  </w:abstractNum>
  <w:abstractNum w:abstractNumId="115">
    <w:nsid w:val="5046B5A9"/>
    <w:multiLevelType w:val="hybridMultilevel"/>
    <w:lvl w:ilvl="0">
      <w:lvlJc w:val="left"/>
      <w:lvlText w:val="%1."/>
      <w:numFmt w:val="decimal"/>
      <w:start w:val="6"/>
    </w:lvl>
    <w:lvl w:ilvl="1">
      <w:lvlJc w:val="left"/>
      <w:lvlText w:val="(%2)"/>
      <w:numFmt w:val="lowerLetter"/>
      <w:start w:val="1"/>
    </w:lvl>
  </w:abstractNum>
  <w:abstractNum w:abstractNumId="116">
    <w:nsid w:val="5D888A08"/>
    <w:multiLevelType w:val="hybridMultilevel"/>
    <w:lvl w:ilvl="0">
      <w:lvlJc w:val="left"/>
      <w:lvlText w:val="%1"/>
      <w:numFmt w:val="decimal"/>
      <w:start w:val="1"/>
    </w:lvl>
    <w:lvl w:ilvl="1">
      <w:lvlJc w:val="left"/>
      <w:lvlText w:val="(%2)"/>
      <w:numFmt w:val="lowerLetter"/>
      <w:start w:val="2"/>
    </w:lvl>
  </w:abstractNum>
  <w:abstractNum w:abstractNumId="117">
    <w:nsid w:val="2A082C70"/>
    <w:multiLevelType w:val="hybridMultilevel"/>
    <w:lvl w:ilvl="0">
      <w:lvlJc w:val="left"/>
      <w:lvlText w:val="%1."/>
      <w:numFmt w:val="decimal"/>
      <w:start w:val="8"/>
    </w:lvl>
    <w:lvl w:ilvl="1">
      <w:lvlJc w:val="left"/>
      <w:lvlText w:val="(%2)"/>
      <w:numFmt w:val="lowerLetter"/>
      <w:start w:val="1"/>
    </w:lvl>
  </w:abstractNum>
  <w:abstractNum w:abstractNumId="118">
    <w:nsid w:val="5EC6AFD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9">
    <w:nsid w:val="19E21BB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0">
    <w:nsid w:val="75E0858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1">
    <w:nsid w:val="57A61A29"/>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2">
    <w:nsid w:val="5399C65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123">
    <w:nsid w:val="20EE1348"/>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9"/>
    </w:lvl>
  </w:abstractNum>
  <w:abstractNum w:abstractNumId="124">
    <w:nsid w:val="4427069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25">
    <w:nsid w:val="B37E80A"/>
    <w:multiLevelType w:val="hybridMultilevel"/>
    <w:lvl w:ilvl="0">
      <w:lvlJc w:val="left"/>
      <w:lvlText w:val="%1"/>
      <w:numFmt w:val="decimal"/>
      <w:start w:val="1"/>
    </w:lvl>
    <w:lvl w:ilvl="1">
      <w:lvlJc w:val="left"/>
      <w:lvlText w:val="(%2)"/>
      <w:numFmt w:val="lowerLetter"/>
      <w:start w:val="4"/>
    </w:lvl>
  </w:abstractNum>
  <w:abstractNum w:abstractNumId="126">
    <w:nsid w:val="2157F6BC"/>
    <w:multiLevelType w:val="hybridMultilevel"/>
    <w:lvl w:ilvl="0">
      <w:lvlJc w:val="left"/>
      <w:lvlText w:val="%1."/>
      <w:numFmt w:val="decimal"/>
      <w:start w:val="10"/>
    </w:lvl>
    <w:lvl w:ilvl="1">
      <w:lvlJc w:val="left"/>
      <w:lvlText w:val="%2"/>
      <w:numFmt w:val="lowerLetter"/>
      <w:start w:val="1"/>
    </w:lvl>
  </w:abstractNum>
  <w:abstractNum w:abstractNumId="127">
    <w:nsid w:val="704E1DD5"/>
    <w:multiLevelType w:val="hybridMultilevel"/>
    <w:lvl w:ilvl="0">
      <w:lvlJc w:val="left"/>
      <w:lvlText w:val="%1."/>
      <w:numFmt w:val="decimal"/>
      <w:start w:val="14"/>
    </w:lvl>
    <w:lvl w:ilvl="1">
      <w:lvlJc w:val="left"/>
      <w:lvlText w:val="(%2)"/>
      <w:numFmt w:val="lowerLetter"/>
      <w:start w:val="1"/>
    </w:lvl>
  </w:abstractNum>
  <w:abstractNum w:abstractNumId="128">
    <w:nsid w:val="57D2F10E"/>
    <w:multiLevelType w:val="hybridMultilevel"/>
    <w:lvl w:ilvl="0">
      <w:lvlJc w:val="left"/>
      <w:lvlText w:val="%1."/>
      <w:numFmt w:val="decimal"/>
      <w:start w:val="18"/>
    </w:lvl>
    <w:lvl w:ilvl="1">
      <w:lvlJc w:val="left"/>
      <w:lvlText w:val="(%2)"/>
      <w:numFmt w:val="lowerLetter"/>
      <w:start w:val="1"/>
    </w:lvl>
  </w:abstractNum>
  <w:abstractNum w:abstractNumId="129">
    <w:nsid w:val="BFFAE18"/>
    <w:multiLevelType w:val="hybridMultilevel"/>
    <w:lvl w:ilvl="0">
      <w:lvlJc w:val="left"/>
      <w:lvlText w:val="(%1)"/>
      <w:numFmt w:val="lowerLetter"/>
      <w:start w:val="7"/>
    </w:lvl>
  </w:abstractNum>
  <w:abstractNum w:abstractNumId="130">
    <w:nsid w:val="E3E47A8"/>
    <w:multiLevelType w:val="hybridMultilevel"/>
    <w:lvl w:ilvl="0">
      <w:lvlJc w:val="left"/>
      <w:lvlText w:val="1"/>
      <w:numFmt w:val="bullet"/>
      <w:start w:val="1"/>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
      <w:numFmt w:val="bullet"/>
      <w:start w:val="1"/>
    </w:lvl>
    <w:lvl w:ilvl="1">
      <w:lvlJc w:val="left"/>
      <w:lvlText w:val="(%2)"/>
      <w:numFmt w:val="lowerRoman"/>
      <w:start w:val="2"/>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1."/>
      <w:numFmt w:val="decimal"/>
      <w:start w:val="1"/>
    </w:lvl>
  </w:abstractNum>
  <w:abstractNum w:abstractNumId="135">
    <w:nsid w:val="24F6AB8E"/>
    <w:multiLevelType w:val="hybridMultilevel"/>
    <w:lvl w:ilvl="0">
      <w:lvlJc w:val="left"/>
      <w:lvlText w:val="%1."/>
      <w:numFmt w:val="decimal"/>
      <w:start w:val="5"/>
    </w:lvl>
  </w:abstractNum>
  <w:abstractNum w:abstractNumId="136">
    <w:nsid w:val="634C574C"/>
    <w:multiLevelType w:val="hybridMultilevel"/>
    <w:lvl w:ilvl="0">
      <w:lvlJc w:val="left"/>
      <w:lvlText w:val="%1."/>
      <w:numFmt w:val="decimal"/>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lvl w:ilvl="1">
      <w:lvlJc w:val="left"/>
      <w:lvlText w:val="%2."/>
      <w:numFmt w:val="lowerLetter"/>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4" Type="http://schemas.openxmlformats.org/officeDocument/2006/relationships/image" Target="media/image116.png"/><Relationship Id="rId177"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23" Type="http://schemas.openxmlformats.org/officeDocument/2006/relationships/hyperlink" Target="https://www.sec.gov/Archives/edgar/data/798354/000119312518061085/d640937dex32.htm" TargetMode="External"/><Relationship Id="rId124" Type="http://schemas.openxmlformats.org/officeDocument/2006/relationships/hyperlink" Target="https://www.sec.gov/Archives/edgar/data/798354/000119312522290040/d606620dex31.htm" TargetMode="External"/><Relationship Id="rId125" Type="http://schemas.openxmlformats.org/officeDocument/2006/relationships/hyperlink" Target="https://www.sec.gov/Archives/edgar/data/798354/000079835424000037/ex41descriptionofsecuritie.htm" TargetMode="External"/><Relationship Id="rId126" Type="http://schemas.openxmlformats.org/officeDocument/2006/relationships/hyperlink" Target="https://www.sec.gov/Archives/edgar/data/798354/000119312507244247/dex48.htm" TargetMode="External"/><Relationship Id="rId127" Type="http://schemas.openxmlformats.org/officeDocument/2006/relationships/hyperlink" Target="https://www.sec.gov/Archives/edgar/data/798354/000119312515198024/d932504dex42.htm" TargetMode="External"/><Relationship Id="rId128" Type="http://schemas.openxmlformats.org/officeDocument/2006/relationships/hyperlink" Target="https://www.sec.gov/Archives/edgar/data/798354/000119312518282141/d628443dex42.htm" TargetMode="External"/><Relationship Id="rId129" Type="http://schemas.openxmlformats.org/officeDocument/2006/relationships/hyperlink" Target="https://www.sec.gov/Archives/edgar/data/798354/000119312519179870/d760882dex42.htm" TargetMode="External"/><Relationship Id="rId130" Type="http://schemas.openxmlformats.org/officeDocument/2006/relationships/hyperlink" Target="https://www.sec.gov/Archives/edgar/data/798354/000119312519179870/d760882dex43.htm" TargetMode="External"/><Relationship Id="rId131" Type="http://schemas.openxmlformats.org/officeDocument/2006/relationships/hyperlink" Target="https://www.sec.gov/Archives/edgar/data/798354/000119312519179870/d760882dex44.htm" TargetMode="External"/><Relationship Id="rId132" Type="http://schemas.openxmlformats.org/officeDocument/2006/relationships/hyperlink" Target="https://www.sec.gov/Archives/edgar/data/798354/000119312519186646/d15278dex42.htm" TargetMode="External"/><Relationship Id="rId133" Type="http://schemas.openxmlformats.org/officeDocument/2006/relationships/hyperlink" Target="https://www.sec.gov/Archives/edgar/data/798354/000119312519186646/d15278dex43.htm" TargetMode="External"/><Relationship Id="rId134" Type="http://schemas.openxmlformats.org/officeDocument/2006/relationships/hyperlink" Target="https://www.sec.gov/Archives/edgar/data/798354/000119312519186646/d15278dex44.htm" TargetMode="External"/><Relationship Id="rId135" Type="http://schemas.openxmlformats.org/officeDocument/2006/relationships/hyperlink" Target="https://www.sec.gov/Archives/edgar/data/798354/000119312519186646/d15278dex45.htm" TargetMode="External"/><Relationship Id="rId136" Type="http://schemas.openxmlformats.org/officeDocument/2006/relationships/hyperlink" Target="https://www.sec.gov/Archives/edgar/data/0000798354/000119312520141688/d930141dex41.htm" TargetMode="External"/><Relationship Id="rId137" Type="http://schemas.openxmlformats.org/officeDocument/2006/relationships/hyperlink" Target="https://www.sec.gov/Archives/edgar/data/0000798354/000119312520141688/d930141dex42.htm" TargetMode="External"/><Relationship Id="rId138" Type="http://schemas.openxmlformats.org/officeDocument/2006/relationships/hyperlink" Target="https://www.sec.gov/Archives/edgar/data/798354/000119312523058245/d450329dex41.htm" TargetMode="External"/><Relationship Id="rId139" Type="http://schemas.openxmlformats.org/officeDocument/2006/relationships/hyperlink" Target="https://www.sec.gov/Archives/edgar/data/798354/000119312523058245/d450329dex42.htm" TargetMode="External"/><Relationship Id="rId140" Type="http://schemas.openxmlformats.org/officeDocument/2006/relationships/hyperlink" Target="https://www.sec.gov/Archives/edgar/data/798354/000119312523153026/d504361dex41.htm" TargetMode="External"/><Relationship Id="rId141" Type="http://schemas.openxmlformats.org/officeDocument/2006/relationships/hyperlink" Target="https://www.sec.gov/Archives/edgar/data/798354/000119312523217069/d521991dex41.htm" TargetMode="External"/><Relationship Id="rId142" Type="http://schemas.openxmlformats.org/officeDocument/2006/relationships/hyperlink" Target="https://www.sec.gov/Archives/edgar/data/798354/000119312523217069/d521991dex42.htm" TargetMode="External"/><Relationship Id="rId143" Type="http://schemas.openxmlformats.org/officeDocument/2006/relationships/hyperlink" Target="https://www.sec.gov/Archives/edgar/data/798354/000119312524058013/d20683dex41.htm" TargetMode="External"/><Relationship Id="rId145" Type="http://schemas.openxmlformats.org/officeDocument/2006/relationships/hyperlink" Target="https://www.sec.gov/Archives/edgar/data/798354/000119312524058013/d20683dex42.htm" TargetMode="External"/><Relationship Id="rId146" Type="http://schemas.openxmlformats.org/officeDocument/2006/relationships/hyperlink" Target="https://www.sec.gov/Archives/edgar/data/798354/000119312524058013/d20683dex43.htm" TargetMode="External"/><Relationship Id="rId147" Type="http://schemas.openxmlformats.org/officeDocument/2006/relationships/hyperlink" Target="https://www.sec.gov/Archives/edgar/data/798354/000119312524198881/d811685dex41.htm" TargetMode="External"/><Relationship Id="rId148" Type="http://schemas.openxmlformats.org/officeDocument/2006/relationships/hyperlink" Target="https://www.sec.gov/Archives/edgar/data/798354/000119312524198881/d811685dex42.htm" TargetMode="External"/><Relationship Id="rId149" Type="http://schemas.openxmlformats.org/officeDocument/2006/relationships/hyperlink" Target="https://www.sec.gov/Archives/edgar/data/798354/000119312519186646/d15278dex46.htm" TargetMode="External"/><Relationship Id="rId150" Type="http://schemas.openxmlformats.org/officeDocument/2006/relationships/hyperlink" Target="https://www.sec.gov/Archives/edgar/data/798354/000119312523153026/d504361dex42.htm" TargetMode="External"/><Relationship Id="rId151" Type="http://schemas.openxmlformats.org/officeDocument/2006/relationships/hyperlink" Target="https://www.sec.gov/Archives/edgar/data/798354/000079835418000009/ex10103312018.htm" TargetMode="External"/><Relationship Id="rId152" Type="http://schemas.openxmlformats.org/officeDocument/2006/relationships/hyperlink" Target="https://www.sec.gov/Archives/edgar/data/798354/000119312512077375/d271809dex1011.htm" TargetMode="External"/><Relationship Id="rId153" Type="http://schemas.openxmlformats.org/officeDocument/2006/relationships/hyperlink" Target="https://www.sec.gov/Archives/edgar/data/798354/000079835423000004/ex106rsuagreementstandard-.htm" TargetMode="External"/><Relationship Id="rId154" Type="http://schemas.openxmlformats.org/officeDocument/2006/relationships/hyperlink" Target="https://www.sec.gov/Archives/edgar/data/798354/000119312512077375/d271809dex1013.htm" TargetMode="External"/><Relationship Id="rId155" Type="http://schemas.openxmlformats.org/officeDocument/2006/relationships/hyperlink" Target="https://www.sec.gov/Archives/edgar/data/798354/000079835417000019/ex10106302017.htm" TargetMode="External"/><Relationship Id="rId156" Type="http://schemas.openxmlformats.org/officeDocument/2006/relationships/hyperlink" Target="https://www.sec.gov/Archives/edgar/data/798354/000079835417000019/ex10206302017.htm" TargetMode="External"/><Relationship Id="rId157" Type="http://schemas.openxmlformats.org/officeDocument/2006/relationships/hyperlink" Target="https://www.sec.gov/Archives/edgar/data/798354/000119312517358902/d475289dex103.htm" TargetMode="External"/><Relationship Id="rId158" Type="http://schemas.openxmlformats.org/officeDocument/2006/relationships/hyperlink" Target="https://www.sec.gov/Archives/edgar/data/798354/000079835417000006/ex10812312016.htm" TargetMode="External"/><Relationship Id="rId159" Type="http://schemas.openxmlformats.org/officeDocument/2006/relationships/hyperlink" Target="https://www.sec.gov/Archives/edgar/data/798354/000119312515056319/d825180dex1014.htm" TargetMode="External"/><Relationship Id="rId160" Type="http://schemas.openxmlformats.org/officeDocument/2006/relationships/hyperlink" Target="https://www.sec.gov/Archives/edgar/data/798354/000079835417000006/ex101012312016.htm" TargetMode="External"/><Relationship Id="rId161" Type="http://schemas.openxmlformats.org/officeDocument/2006/relationships/hyperlink" Target="https://www.sec.gov/Archives/edgar/data/798354/000079835423000004/ex1014optionagreementsenio.htm" TargetMode="External"/><Relationship Id="rId162" Type="http://schemas.openxmlformats.org/officeDocument/2006/relationships/hyperlink" Target="https://www.sec.gov/Archives/edgar/data/798354/000079835423000004/ex1015optionagreementstand.htm" TargetMode="External"/><Relationship Id="rId163" Type="http://schemas.openxmlformats.org/officeDocument/2006/relationships/hyperlink" Target="https://www.sec.gov/Archives/edgar/data/798354/000079835423000004/ex1017fiservpsuagreementst.htm" TargetMode="External"/><Relationship Id="rId164" Type="http://schemas.openxmlformats.org/officeDocument/2006/relationships/hyperlink" Target="https://www.sec.gov/Archives/edgar/data/798354/000119312519205649/d769818dex991.htm" TargetMode="External"/><Relationship Id="rId165" Type="http://schemas.openxmlformats.org/officeDocument/2006/relationships/hyperlink" Target="https://www.sec.gov/Archives/edgar/data/798354/000079835419000025/ex10409302019.htm" TargetMode="External"/><Relationship Id="rId166" Type="http://schemas.openxmlformats.org/officeDocument/2006/relationships/hyperlink" Target="https://www.sec.gov/Archives/edgar/data/798354/000079835419000025/ex10509302019.htm" TargetMode="External"/><Relationship Id="rId167" Type="http://schemas.openxmlformats.org/officeDocument/2006/relationships/hyperlink" Target="https://www.sec.gov/Archives/edgar/data/798354/000119312519205649/d769818dex992.htm" TargetMode="External"/><Relationship Id="rId168" Type="http://schemas.openxmlformats.org/officeDocument/2006/relationships/hyperlink" Target="https://www.sec.gov/Archives/edgar/data/798354/000079835419000025/ex10709302019.htm" TargetMode="External"/><Relationship Id="rId169" Type="http://schemas.openxmlformats.org/officeDocument/2006/relationships/hyperlink" Target="https://www.sec.gov/Archives/edgar/data/798354/000079835419000025/ex10809302019.htm" TargetMode="External"/><Relationship Id="rId170" Type="http://schemas.openxmlformats.org/officeDocument/2006/relationships/hyperlink" Target="https://www.sec.gov/Archives/edgar/data/0000798354/000119312521244723/d115852dex101.htm" TargetMode="External"/><Relationship Id="rId171" Type="http://schemas.openxmlformats.org/officeDocument/2006/relationships/hyperlink" Target="https://www.sec.gov/Archives/edgar/data/798354/000119312522290040/d606620dex101.htm" TargetMode="External"/><Relationship Id="rId172" Type="http://schemas.openxmlformats.org/officeDocument/2006/relationships/hyperlink" Target="https://www.sec.gov/Archives/edgar/data/798354/000119312522310467/d421577dex101.htm" TargetMode="External"/><Relationship Id="rId173" Type="http://schemas.openxmlformats.org/officeDocument/2006/relationships/hyperlink" Target="https://www.sec.gov/Archives/edgar/data/798354/000119312525011514/d878275dex101.htm" TargetMode="External"/><Relationship Id="rId174" Type="http://schemas.openxmlformats.org/officeDocument/2006/relationships/hyperlink" Target="https://www.sec.gov/Archives/edgar/data/0000798354/000079835420000006/ex105112312019.htm" TargetMode="External"/><Relationship Id="rId175" Type="http://schemas.openxmlformats.org/officeDocument/2006/relationships/hyperlink" Target="https://www.sec.gov/Archives/edgar/data/798354/000119312508041891/dex1037.htm" TargetMode="External"/><Relationship Id="rId176" Type="http://schemas.openxmlformats.org/officeDocument/2006/relationships/hyperlink" Target="https://www.sec.gov/Archives/edgar/data/798354/000119312517358902/d475289dex102.htm" TargetMode="External"/><Relationship Id="rId178" Type="http://schemas.openxmlformats.org/officeDocument/2006/relationships/hyperlink" Target="https://www.sec.gov/Archives/edgar/data/798354/000079835424000156/ex10106302024.htm" TargetMode="External"/><Relationship Id="rId179" Type="http://schemas.openxmlformats.org/officeDocument/2006/relationships/hyperlink" Target="https://www.sec.gov/Archives/edgar/data/798354/000119312522177734/d369546dex101.htm" TargetMode="External"/><Relationship Id="rId180" Type="http://schemas.openxmlformats.org/officeDocument/2006/relationships/hyperlink" Target="https://www.sec.gov/Archives/edgar/data/798354/000079835424000037/ex971fiservinccompens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2025-02-20T06:44:41Z</dcterms:created>
  <dcterms:modified xsi:type="dcterms:W3CDTF">2025-02-20T06:44:41Z</dcterms:modified>
</cp:coreProperties>
</file>