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_______________________________</w:t>
      </w:r>
    </w:p>
    <w:p>
      <w:pPr>
        <w:spacing w:after="0" w:line="2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11-K</w:t>
      </w:r>
    </w:p>
    <w:p>
      <w:pPr>
        <w:spacing w:after="0" w:line="4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_______________________________</w:t>
      </w:r>
    </w:p>
    <w:p>
      <w:pPr>
        <w:spacing w:after="0" w:line="200" w:lineRule="exact"/>
        <w:rPr>
          <w:sz w:val="24"/>
          <w:szCs w:val="24"/>
          <w:color w:val="auto"/>
        </w:rPr>
      </w:pPr>
    </w:p>
    <w:p>
      <w:pPr>
        <w:spacing w:after="0" w:line="264" w:lineRule="exact"/>
        <w:rPr>
          <w:sz w:val="24"/>
          <w:szCs w:val="24"/>
          <w:color w:val="auto"/>
        </w:rPr>
      </w:pPr>
    </w:p>
    <w:p>
      <w:pPr>
        <w:ind w:left="3760" w:right="679" w:hanging="3752"/>
        <w:spacing w:after="0" w:line="500" w:lineRule="auto"/>
        <w:tabs>
          <w:tab w:leader="none" w:pos="399"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20"/>
          <w:szCs w:val="20"/>
          <w:b w:val="1"/>
          <w:bCs w:val="1"/>
          <w:color w:val="auto"/>
        </w:rPr>
        <w:t>ANNUAL REPORT PURSUANT TO SECTION 15(d) OF THE SECURITIES EXCHANGE ACT OF 1934 For the fiscal year ended December 31, 2025</w:t>
      </w:r>
    </w:p>
    <w:p>
      <w:pPr>
        <w:ind w:left="5480"/>
        <w:spacing w:after="0"/>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20"/>
          <w:szCs w:val="20"/>
          <w:b w:val="1"/>
          <w:bCs w:val="1"/>
          <w:color w:val="auto"/>
        </w:rPr>
        <w:t>OR</w:t>
      </w:r>
    </w:p>
    <w:p>
      <w:pPr>
        <w:spacing w:after="0" w:line="256"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9"/>
          <w:szCs w:val="19"/>
          <w:b w:val="1"/>
          <w:bCs w:val="1"/>
          <w:color w:val="auto"/>
        </w:rPr>
        <w:t>TRANSITION REPORT PURSUANT TO SECTION 15(d) OF THE SECURITIES EXCHANGE ACT OF 1934</w:t>
      </w:r>
    </w:p>
    <w:p>
      <w:pPr>
        <w:spacing w:after="0" w:line="268"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__________ to __________</w:t>
      </w:r>
    </w:p>
    <w:p>
      <w:pPr>
        <w:spacing w:after="0" w:line="2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Commission file number: 1-38962</w:t>
      </w:r>
    </w:p>
    <w:p>
      <w:pPr>
        <w:spacing w:after="0" w:line="32"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_______________________________</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Full title of the plan and the address of the plan, if different from that of the issuer named below:</w:t>
      </w:r>
    </w:p>
    <w:p>
      <w:pPr>
        <w:spacing w:after="0" w:line="25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FISERV 401(k) SAVINGS PLAN</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Name of issuer of the securities held pursuant to the plan and the address of its principal executive office:</w:t>
      </w:r>
    </w:p>
    <w:p>
      <w:pPr>
        <w:spacing w:after="0" w:line="252"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Fiserv, Inc.</w:t>
      </w:r>
    </w:p>
    <w:p>
      <w:pPr>
        <w:spacing w:after="0" w:line="3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600 N. Vel R. Phillips Avenue</w:t>
      </w:r>
    </w:p>
    <w:p>
      <w:pPr>
        <w:spacing w:after="0" w:line="6"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Milwaukee, Wisconsin 53203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1393190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146050</wp:posOffset>
            </wp:positionV>
            <wp:extent cx="6866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85725</wp:posOffset>
            </wp:positionV>
            <wp:extent cx="6866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REQUIRED INFORMATION</w:t>
      </w:r>
    </w:p>
    <w:p>
      <w:pPr>
        <w:spacing w:after="0" w:line="2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Fiserv 401(k) Savings Plan (the “Plan”) is subject to the Employee Retirement Income Security Act of 1974, as amended (“ERISA”). Therefore, in lieu of the requirements of Items 1-3 of Form 11-K, the financial statements of the Plan as of December 31, 2025 and 2024 and for the fiscal year ended December 31, 2025 and supplemental schedule of the Plan as of December 31, 2025, which have been prepared in accordance with the financial reporting requirements of ERISA, are attached hereto as Appendix 1 and incorporated herein by this reference.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EXHIBIT INDEX</w:t>
            </w:r>
          </w:p>
        </w:tc>
      </w:tr>
      <w:tr>
        <w:trPr>
          <w:trHeight w:val="553"/>
        </w:trPr>
        <w:tc>
          <w:tcPr>
            <w:tcW w:w="2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360" w:type="dxa"/>
            <w:vAlign w:val="bottom"/>
          </w:tcPr>
          <w:p>
            <w:pPr>
              <w:spacing w:after="0"/>
              <w:rPr>
                <w:sz w:val="24"/>
                <w:szCs w:val="24"/>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1998"/>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3420" w:type="dxa"/>
            <w:vAlign w:val="bottom"/>
            <w:tcBorders>
              <w:top w:val="single" w:sz="8" w:color="0000FF"/>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agent for the Plan has duly caused this annual report to be signed on its behalf by the undersigned hereunto duly authorized.</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5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Fiserv 401(k) Savings Plan</w:t>
            </w:r>
          </w:p>
        </w:tc>
      </w:tr>
      <w:tr>
        <w:trPr>
          <w:trHeight w:val="76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June 25, 2026</w:t>
            </w: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M. Todd</w:t>
            </w:r>
          </w:p>
        </w:tc>
      </w:tr>
      <w:tr>
        <w:trPr>
          <w:trHeight w:val="218"/>
        </w:trPr>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M. Todd</w:t>
            </w:r>
          </w:p>
        </w:tc>
      </w:tr>
      <w:tr>
        <w:trPr>
          <w:trHeight w:val="234"/>
        </w:trPr>
        <w:tc>
          <w:tcPr>
            <w:tcW w:w="6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behalf of the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June 25, 2026</w:t>
            </w: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Kenneth F. Best</w:t>
            </w:r>
          </w:p>
        </w:tc>
      </w:tr>
      <w:tr>
        <w:trPr>
          <w:trHeight w:val="218"/>
        </w:trPr>
        <w:tc>
          <w:tcPr>
            <w:tcW w:w="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F. Best</w:t>
            </w:r>
          </w:p>
        </w:tc>
      </w:tr>
      <w:tr>
        <w:trPr>
          <w:trHeight w:val="234"/>
        </w:trPr>
        <w:tc>
          <w:tcPr>
            <w:tcW w:w="6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behalf of the Plan</w:t>
            </w:r>
          </w:p>
        </w:tc>
      </w:tr>
      <w:tr>
        <w:trPr>
          <w:trHeight w:val="1951"/>
        </w:trPr>
        <w:tc>
          <w:tcPr>
            <w:tcW w:w="6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FISERV 401(k) SAVINGS PLAN</w:t>
      </w:r>
    </w:p>
    <w:p>
      <w:pPr>
        <w:spacing w:after="0" w:line="256"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Financial Statements as of December 31, 2025 and 2024 and for the Year Ended December 31, 2025, Supplemental Schedule as of December 31, 2025, 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1344930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FISERV 401(k) SAVINGS PLAN</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560" w:type="dxa"/>
            <w:vAlign w:val="bottom"/>
          </w:tcPr>
          <w:p>
            <w:pPr>
              <w:spacing w:after="0"/>
              <w:rPr>
                <w:sz w:val="20"/>
                <w:szCs w:val="20"/>
                <w:color w:val="auto"/>
              </w:rPr>
            </w:pP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80"/>
        </w:trPr>
        <w:tc>
          <w:tcPr>
            <w:tcW w:w="10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499"/>
        </w:trPr>
        <w:tc>
          <w:tcPr>
            <w:tcW w:w="10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760" w:type="dxa"/>
            <w:vAlign w:val="bottom"/>
          </w:tcPr>
          <w:p>
            <w:pPr>
              <w:spacing w:after="0"/>
              <w:rPr>
                <w:sz w:val="24"/>
                <w:szCs w:val="24"/>
                <w:color w:val="auto"/>
              </w:rPr>
            </w:pPr>
          </w:p>
        </w:tc>
      </w:tr>
      <w:tr>
        <w:trPr>
          <w:trHeight w:val="716"/>
        </w:trPr>
        <w:tc>
          <w:tcPr>
            <w:tcW w:w="10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Statements of Net Assets Available for Benefits as of December 31, 2025 and 2024</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499"/>
        </w:trPr>
        <w:tc>
          <w:tcPr>
            <w:tcW w:w="10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Statement of Changes in Net Assets Available for Benefits for the Year Ended December 31, 2025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99"/>
        </w:trPr>
        <w:tc>
          <w:tcPr>
            <w:tcW w:w="10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Notes to Financial Statements as of December 31, 2025 and 2024 and for the Year Ended December 31, 2025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500"/>
        </w:trPr>
        <w:tc>
          <w:tcPr>
            <w:tcW w:w="10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SCHEDULE FURNISHED PURSUANT TO DEPARTMENT OF LABOR’S RULES AND REGULATIONS</w:t>
            </w:r>
          </w:p>
        </w:tc>
        <w:tc>
          <w:tcPr>
            <w:tcW w:w="760" w:type="dxa"/>
            <w:vAlign w:val="bottom"/>
          </w:tcPr>
          <w:p>
            <w:pPr>
              <w:spacing w:after="0"/>
              <w:rPr>
                <w:sz w:val="24"/>
                <w:szCs w:val="24"/>
                <w:color w:val="auto"/>
              </w:rPr>
            </w:pPr>
          </w:p>
        </w:tc>
      </w:tr>
      <w:tr>
        <w:trPr>
          <w:trHeight w:val="499"/>
        </w:trPr>
        <w:tc>
          <w:tcPr>
            <w:tcW w:w="10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 5500, Schedule H, Part IV, Line 4i - Schedule of Assets (Held at End of Year) as of December 31, 2025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445"/>
        </w:trPr>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 other schedules required by Section 2520.103-10 of the Department of Labor’s Rules and Regulations for Reporting and</w:t>
            </w:r>
          </w:p>
        </w:tc>
        <w:tc>
          <w:tcPr>
            <w:tcW w:w="76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Disclosure under the Employee Retirement Income Security Act of 1974 have been omitted because they are not applicable.</w:t>
            </w:r>
          </w:p>
        </w:tc>
        <w:tc>
          <w:tcPr>
            <w:tcW w:w="760" w:type="dxa"/>
            <w:vAlign w:val="bottom"/>
          </w:tcPr>
          <w:p>
            <w:pPr>
              <w:spacing w:after="0"/>
              <w:rPr>
                <w:sz w:val="20"/>
                <w:szCs w:val="20"/>
                <w:color w:val="auto"/>
              </w:rPr>
            </w:pPr>
          </w:p>
        </w:tc>
      </w:tr>
      <w:tr>
        <w:trPr>
          <w:trHeight w:val="2378"/>
        </w:trPr>
        <w:tc>
          <w:tcPr>
            <w:tcW w:w="92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5040"/>
        <w:spacing w:after="0" w:line="43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Plan Participants and Plan Administrator of Fiserv 401(k) Savings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Fiserv 401(k) Savings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Supplemental Schedule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supplemental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auditor of the Plan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FISERV 401(k) SAVINGS PLAN</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tcBorders>
              <w:bottom w:val="single" w:sz="8" w:color="auto"/>
            </w:tcBorders>
          </w:tcPr>
          <w:p>
            <w:pPr>
              <w:spacing w:after="0"/>
              <w:rPr>
                <w:sz w:val="20"/>
                <w:szCs w:val="20"/>
                <w:color w:val="auto"/>
              </w:rPr>
            </w:pPr>
          </w:p>
        </w:tc>
      </w:tr>
      <w:tr>
        <w:trPr>
          <w:trHeight w:val="223"/>
        </w:trPr>
        <w:tc>
          <w:tcPr>
            <w:tcW w:w="368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w:t>
            </w:r>
          </w:p>
        </w:tc>
        <w:tc>
          <w:tcPr>
            <w:tcW w:w="3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3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5,113,927</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4,862,002</w:t>
            </w:r>
          </w:p>
        </w:tc>
      </w:tr>
      <w:tr>
        <w:trPr>
          <w:trHeight w:val="229"/>
        </w:trPr>
        <w:tc>
          <w:tcPr>
            <w:tcW w:w="36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Investments at contract value</w:t>
            </w:r>
          </w:p>
        </w:tc>
        <w:tc>
          <w:tcPr>
            <w:tcW w:w="38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231,203</w:t>
            </w: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244,029</w:t>
            </w:r>
          </w:p>
        </w:tc>
      </w:tr>
      <w:tr>
        <w:trPr>
          <w:trHeight w:val="223"/>
        </w:trPr>
        <w:tc>
          <w:tcPr>
            <w:tcW w:w="3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investments</w:t>
            </w:r>
          </w:p>
        </w:tc>
        <w:tc>
          <w:tcPr>
            <w:tcW w:w="3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5,345,130</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5,106,031</w:t>
            </w:r>
          </w:p>
        </w:tc>
      </w:tr>
      <w:tr>
        <w:trPr>
          <w:trHeight w:val="229"/>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w:t>
            </w:r>
          </w:p>
        </w:tc>
        <w:tc>
          <w:tcPr>
            <w:tcW w:w="3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49,539</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48,302</w:t>
            </w:r>
          </w:p>
        </w:tc>
      </w:tr>
      <w:tr>
        <w:trPr>
          <w:trHeight w:val="229"/>
        </w:trPr>
        <w:tc>
          <w:tcPr>
            <w:tcW w:w="36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Employer contributions, net of forfeitures</w:t>
            </w:r>
          </w:p>
        </w:tc>
        <w:tc>
          <w:tcPr>
            <w:tcW w:w="38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23"/>
        </w:trPr>
        <w:tc>
          <w:tcPr>
            <w:tcW w:w="3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receivables</w:t>
            </w:r>
          </w:p>
        </w:tc>
        <w:tc>
          <w:tcPr>
            <w:tcW w:w="38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51,024</w:t>
            </w:r>
          </w:p>
        </w:tc>
        <w:tc>
          <w:tcPr>
            <w:tcW w:w="1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49,418</w:t>
            </w:r>
          </w:p>
        </w:tc>
      </w:tr>
      <w:tr>
        <w:trPr>
          <w:trHeight w:val="223"/>
        </w:trPr>
        <w:tc>
          <w:tcPr>
            <w:tcW w:w="36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Total assets</w:t>
            </w:r>
          </w:p>
        </w:tc>
        <w:tc>
          <w:tcPr>
            <w:tcW w:w="3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5,396,154</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5,155,449</w:t>
            </w:r>
          </w:p>
        </w:tc>
      </w:tr>
      <w:tr>
        <w:trPr>
          <w:trHeight w:val="270"/>
        </w:trPr>
        <w:tc>
          <w:tcPr>
            <w:tcW w:w="3680" w:type="dxa"/>
            <w:vAlign w:val="bottom"/>
            <w:shd w:val="clear" w:color="auto" w:fill="CCEEFF"/>
          </w:tcPr>
          <w:p>
            <w:pPr>
              <w:spacing w:after="0"/>
              <w:rPr>
                <w:sz w:val="23"/>
                <w:szCs w:val="23"/>
                <w:color w:val="auto"/>
              </w:rPr>
            </w:pPr>
          </w:p>
        </w:tc>
        <w:tc>
          <w:tcPr>
            <w:tcW w:w="38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administrative expenses</w:t>
            </w:r>
          </w:p>
        </w:tc>
        <w:tc>
          <w:tcPr>
            <w:tcW w:w="38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50"/>
        </w:trPr>
        <w:tc>
          <w:tcPr>
            <w:tcW w:w="368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5,395,826</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5,155,088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514"/>
        </w:trPr>
        <w:tc>
          <w:tcPr>
            <w:tcW w:w="3680" w:type="dxa"/>
            <w:vAlign w:val="bottom"/>
          </w:tcPr>
          <w:p>
            <w:pPr>
              <w:spacing w:after="0"/>
              <w:rPr>
                <w:sz w:val="24"/>
                <w:szCs w:val="24"/>
                <w:color w:val="auto"/>
              </w:rPr>
            </w:pPr>
          </w:p>
        </w:tc>
        <w:tc>
          <w:tcPr>
            <w:tcW w:w="4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FISERV 401(k) SAVINGS PLAN</w:t>
      </w:r>
    </w:p>
    <w:p>
      <w:pPr>
        <w:spacing w:after="0" w:line="387" w:lineRule="exact"/>
        <w:rPr>
          <w:sz w:val="20"/>
          <w:szCs w:val="20"/>
          <w:color w:val="auto"/>
        </w:rPr>
      </w:pPr>
    </w:p>
    <w:p>
      <w:pPr>
        <w:ind w:left="20" w:right="5080"/>
        <w:spacing w:after="0" w:line="302" w:lineRule="auto"/>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41"/>
        </w:trPr>
        <w:tc>
          <w:tcPr>
            <w:tcW w:w="88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30"/>
        </w:trPr>
        <w:tc>
          <w:tcPr>
            <w:tcW w:w="8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CONTRIBUTIONS:</w:t>
            </w:r>
          </w:p>
        </w:tc>
        <w:tc>
          <w:tcPr>
            <w:tcW w:w="16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29"/>
        </w:trPr>
        <w:tc>
          <w:tcPr>
            <w:tcW w:w="8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221,604</w:t>
            </w:r>
          </w:p>
        </w:tc>
      </w:tr>
      <w:tr>
        <w:trPr>
          <w:trHeight w:val="230"/>
        </w:trPr>
        <w:tc>
          <w:tcPr>
            <w:tcW w:w="8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Employer contributions, net of forfeitures</w:t>
            </w:r>
          </w:p>
        </w:tc>
        <w:tc>
          <w:tcPr>
            <w:tcW w:w="1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66,574</w:t>
            </w:r>
          </w:p>
        </w:tc>
      </w:tr>
      <w:tr>
        <w:trPr>
          <w:trHeight w:val="229"/>
        </w:trPr>
        <w:tc>
          <w:tcPr>
            <w:tcW w:w="8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Rollover contributions</w:t>
            </w:r>
          </w:p>
        </w:tc>
        <w:tc>
          <w:tcPr>
            <w:tcW w:w="16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22,685</w:t>
            </w:r>
          </w:p>
        </w:tc>
      </w:tr>
      <w:tr>
        <w:trPr>
          <w:trHeight w:val="223"/>
        </w:trPr>
        <w:tc>
          <w:tcPr>
            <w:tcW w:w="88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contributions</w:t>
            </w:r>
          </w:p>
        </w:tc>
        <w:tc>
          <w:tcPr>
            <w:tcW w:w="1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310,863</w:t>
            </w:r>
          </w:p>
        </w:tc>
      </w:tr>
      <w:tr>
        <w:trPr>
          <w:trHeight w:val="229"/>
        </w:trPr>
        <w:tc>
          <w:tcPr>
            <w:tcW w:w="8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16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r>
      <w:tr>
        <w:trPr>
          <w:trHeight w:val="229"/>
        </w:trPr>
        <w:tc>
          <w:tcPr>
            <w:tcW w:w="8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1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658,675</w:t>
            </w:r>
          </w:p>
        </w:tc>
      </w:tr>
      <w:tr>
        <w:trPr>
          <w:trHeight w:val="230"/>
        </w:trPr>
        <w:tc>
          <w:tcPr>
            <w:tcW w:w="8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Dividends and interest</w:t>
            </w:r>
          </w:p>
        </w:tc>
        <w:tc>
          <w:tcPr>
            <w:tcW w:w="1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w:t>
            </w:r>
          </w:p>
        </w:tc>
      </w:tr>
      <w:tr>
        <w:trPr>
          <w:trHeight w:val="229"/>
        </w:trPr>
        <w:tc>
          <w:tcPr>
            <w:tcW w:w="8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on notes receivable from participants</w:t>
            </w:r>
          </w:p>
        </w:tc>
        <w:tc>
          <w:tcPr>
            <w:tcW w:w="1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r>
      <w:tr>
        <w:trPr>
          <w:trHeight w:val="229"/>
        </w:trPr>
        <w:tc>
          <w:tcPr>
            <w:tcW w:w="8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23"/>
        </w:trPr>
        <w:tc>
          <w:tcPr>
            <w:tcW w:w="88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investment and other income</w:t>
            </w: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677,211</w:t>
            </w:r>
          </w:p>
        </w:tc>
      </w:tr>
      <w:tr>
        <w:trPr>
          <w:trHeight w:val="223"/>
        </w:trPr>
        <w:tc>
          <w:tcPr>
            <w:tcW w:w="8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additions</w:t>
            </w:r>
          </w:p>
        </w:tc>
        <w:tc>
          <w:tcPr>
            <w:tcW w:w="1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988,074</w:t>
            </w:r>
          </w:p>
        </w:tc>
      </w:tr>
      <w:tr>
        <w:trPr>
          <w:trHeight w:val="229"/>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16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8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1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745,970</w:t>
            </w:r>
          </w:p>
        </w:tc>
      </w:tr>
      <w:tr>
        <w:trPr>
          <w:trHeight w:val="229"/>
        </w:trPr>
        <w:tc>
          <w:tcPr>
            <w:tcW w:w="8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23"/>
        </w:trPr>
        <w:tc>
          <w:tcPr>
            <w:tcW w:w="8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deductions</w:t>
            </w:r>
          </w:p>
        </w:tc>
        <w:tc>
          <w:tcPr>
            <w:tcW w:w="16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747,336</w:t>
            </w:r>
          </w:p>
        </w:tc>
      </w:tr>
      <w:tr>
        <w:trPr>
          <w:trHeight w:val="223"/>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NET ASSETS</w:t>
            </w:r>
          </w:p>
        </w:tc>
        <w:tc>
          <w:tcPr>
            <w:tcW w:w="1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240,738</w:t>
            </w:r>
          </w:p>
        </w:tc>
      </w:tr>
      <w:tr>
        <w:trPr>
          <w:trHeight w:val="256"/>
        </w:trPr>
        <w:tc>
          <w:tcPr>
            <w:tcW w:w="8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6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8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16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5,155,088</w:t>
            </w:r>
          </w:p>
        </w:tc>
      </w:tr>
      <w:tr>
        <w:trPr>
          <w:trHeight w:val="223"/>
        </w:trPr>
        <w:tc>
          <w:tcPr>
            <w:tcW w:w="8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End of year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5,395,826</w:t>
            </w:r>
          </w:p>
        </w:tc>
      </w:tr>
      <w:tr>
        <w:trPr>
          <w:trHeight w:val="20"/>
        </w:trPr>
        <w:tc>
          <w:tcPr>
            <w:tcW w:w="8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FISERV 401(k) SAVINGS PLAN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2025 AND 2024 AND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PLAN DESCRIPTION</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amended and restated Fiserv 401(k) Savings Plan (the “Plan”) is provided for informational purposes only. Participants should refer to the Plan document for a complete description of the Plan’s provisions.</w:t>
      </w:r>
    </w:p>
    <w:p>
      <w:pPr>
        <w:spacing w:after="0" w:line="104"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—The Plan, which was established effective July 1, 1990 as a defined contribution plan, is maintained by Fiserv, Inc. (the “Company”) in order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aid eligible employees to accumulate savings for their retirement, and is subject to the provisions of the Employee Retirement Income Security Act of 1974 (“ERISA”), as amended. Employees who (i) are not subject to a collective bargaining agreement; (ii) receive compensation payable in U.S. dollars; (iii) are not leased employees, independent contractors or interns with less than one year of service; (iv) are not residents of Puerto Rico; and (v) are classified as a full-time or part-time employee on the U.S. payroll and personnel records with participating employers are eligible to participate in the Plan.</w:t>
      </w:r>
    </w:p>
    <w:p>
      <w:pPr>
        <w:spacing w:after="0" w:line="125"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Administration </w:t>
      </w:r>
      <w:r>
        <w:rPr>
          <w:rFonts w:ascii="Times New Roman" w:cs="Times New Roman" w:eastAsia="Times New Roman" w:hAnsi="Times New Roman"/>
          <w:sz w:val="18"/>
          <w:szCs w:val="18"/>
          <w:color w:val="auto"/>
        </w:rPr>
        <w:t>— The Plan is administered by Fiserv Solutions, LLC (the “Plan Sponsor”), a wholly-owned subsidiary of Fiserv, Inc. Merrill Lynch,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of America company (“Merrill”), is the third-party recordkeeper of the Plan, and administrator of the self-directed brokerage accounts within the Plan. Bank of America, N.A. (the “Trustee”) acts as the custodian and trustee of the Plan.</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Contributions </w:t>
      </w:r>
      <w:r>
        <w:rPr>
          <w:rFonts w:ascii="Times New Roman" w:cs="Times New Roman" w:eastAsia="Times New Roman" w:hAnsi="Times New Roman"/>
          <w:sz w:val="18"/>
          <w:szCs w:val="18"/>
          <w:color w:val="auto"/>
        </w:rPr>
        <w:t>— Participants under the Plan may elect to make salary reduction contributions, subject to federal tax limitations, of not less than 1%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greater than 75% of their eligible compensation. New participants are automatically enrolled in the Plan at a 5% pre-tax savings rate which is increased 1% annually, up to a maximum of 15% of compensation, unless the participant elects a different percentage. Effective January 1, 2026, new participants are automatically enrolled in the Plan at a 6% pre-tax savings rate which is increased 1% annually, up to the maximum of 15% of compensation, unless the participant elects a different percentage. Participants may also roll over distributions from other qualified plans into the Plan, including personal individual retirement accounts. Participants who have attained age 50 before the close of the Plan year are eligible to make an additional tax-deferred payroll catch-up contribution. All of the above participant contributions and elections are subject to regulatory and Plan limitations.</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Prior to January 1, 2026, eligible participants under the Plan received an employer matching contribution equal to 100% of the first 1% and 50% of the next 4% of a participant’s contributions, for a maximum possible matching contribution of 3% of the participant’s eligible compensation. Effective January 1, 2026, the employer matching contribution was increased to equal 100% of the first 2% and 50% of the next 4% of a participant’s contributions, for a maximum possible matching contribution of 4% of the participant’s eligible compensation. However, to the extent permitted by ERISA and the Internal Revenue Code (“IRC”), the Company may elect to decrease or eliminate the Company’s matching contribution. Effective January 1, 2026, members of the Company’s senior executive group, as defined by the Plan, are not eligible (and prior to January 1, 2026, employees in a position of senior vice president or higher were not eligible) to receive employer matching contributions. Based upon the level of employer matching contributions, the Plan is not considered to be a safe harbor plan. The Company remits participant and employer matching contributions to the Trustee in the period in which payroll deductions are made.</w:t>
      </w:r>
    </w:p>
    <w:p>
      <w:pPr>
        <w:spacing w:after="0" w:line="13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 may make a special contribution to participants who are eligible employees on the last day of the Plan year or are eligible employees during the Plan year who terminated employment due to death, disability, or retirement (defined as attaining age 65). Any special contributions are allocated based upon the ratio of a participant’s compensation to the compensation of all eligible participants and may be made in the form of the Fiserv Stock Fund, cash, or any combination thereof. The Company did not make a special contribution for the 2025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contributions are invested as directed by Plan participants. Participants may irrevocably designate all or any part of their elective deferrals to the Plan as Roth 401(k) deferrals, provided the eligibility requirements have been met. The Roth 401(k) deferrals are contributed to the Plan on an after-tax basis and are included in the computation of the participant’s personal income. Because the amounts are contributed on an after-tax basis, the deferrals and, in most cases, earnings on the deferrals, are not subject to federal income taxes when distributed to participants as long as the distributions are considered to be qualified. The combined total of pre-tax deferrals and Roth 401(k) deferrals may not exceed the maximum dollar limitation allowable under law.</w:t>
      </w:r>
    </w:p>
    <w:p>
      <w:pPr>
        <w:spacing w:after="0" w:line="125"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Participant Accounts </w:t>
      </w:r>
      <w:r>
        <w:rPr>
          <w:rFonts w:ascii="Times New Roman" w:cs="Times New Roman" w:eastAsia="Times New Roman" w:hAnsi="Times New Roman"/>
          <w:sz w:val="18"/>
          <w:szCs w:val="18"/>
          <w:color w:val="auto"/>
        </w:rPr>
        <w:t>— Individual accounts are maintained for each Plan participant. Each participant’s account reflects participant contributions,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employer contributions, transfers into and out of the Plan, benefits paid to participants, forfeitures and allocations of investment income, and losses and administrative expenses. Allocations to each participant’s account are based on the proportion that the balance of each participant’s account bears to the total balance of all participants in each investment fund. The benefit to which a participant is entitled is the benefit that can be provided from the participant’s vested account.</w:t>
      </w:r>
    </w:p>
    <w:p>
      <w:pPr>
        <w:spacing w:after="0" w:line="12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Vesting </w:t>
      </w:r>
      <w:r>
        <w:rPr>
          <w:rFonts w:ascii="Times New Roman" w:cs="Times New Roman" w:eastAsia="Times New Roman" w:hAnsi="Times New Roman"/>
          <w:sz w:val="18"/>
          <w:szCs w:val="18"/>
          <w:color w:val="auto"/>
        </w:rPr>
        <w:t>— Plan participants are entitled to the vested balance in their respective accounts as of their respective termination date, 65th birthday, death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permanent disability. Participant, rollover and special contributions vest immediately. Employer contributions vest 100% after two years of employment with the Company. In the event of a corporate divestiture, death, disability or retirement at or after age 65, all amounts allocated to a participant’s account under the Plan are 100% vested.</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Forfeitures </w:t>
      </w:r>
      <w:r>
        <w:rPr>
          <w:rFonts w:ascii="Times New Roman" w:cs="Times New Roman" w:eastAsia="Times New Roman" w:hAnsi="Times New Roman"/>
          <w:sz w:val="18"/>
          <w:szCs w:val="18"/>
          <w:color w:val="auto"/>
        </w:rPr>
        <w:t>— The Plan provides for restoration of forfeited funds upon re-employment of former participants in specified circumstances. Forfeited non-vested accounts are used to reduce future employer matching contributions and pay administrative expenses of the Plan. Unallocated forfeitures totaled $3,160 thousand and $3,188 thousand at December 31, 2025 and 2024, respectively. During 2025, employer contributions were reduced by $3,188 thousand from forfeited non-vested accounts. The $1,485 thousand employer contribution receivable at December 31, 2025 represents an employer match contribution made in March 2026 for the 2025 Plan year, reduced by the unallocated forfeiture balance of $3,160 thousand. The $1,116 thousand employer contribution receivable at December 31, 2024 represents an employer match contribution made in March 2025 for the 2024 Plan year, reduced by the unallocated forfeiture balance of $3,188 thousand.</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Options </w:t>
      </w:r>
      <w:r>
        <w:rPr>
          <w:rFonts w:ascii="Times New Roman" w:cs="Times New Roman" w:eastAsia="Times New Roman" w:hAnsi="Times New Roman"/>
          <w:sz w:val="18"/>
          <w:szCs w:val="18"/>
          <w:color w:val="auto"/>
        </w:rPr>
        <w:t>— Participants direct the investment of their account balance into the investment options of the Plan in 1% increments. The Plan offers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 registered investment companies, collective investment trusts, the Fiserv Stock Fund, and a separately managed stable value fund. The collective investment trusts held by the Plan are primarily comprised of target funds which invest in mutual funds using an asset allocation strategy designed for investors planning to retire or leave the workplace in or within a few years of the target year and index funds designed to track the performance of certain benchmark indices. The Fiserv Stock Fund is limited, in general, to no more than 25% of the participant’s account balance. The stable value fund holds guaranteed investment contracts comprised of underlying investments in common collective trusts and fixed income securities plus fully-benefit responsive wrapper contracts.</w:t>
      </w:r>
    </w:p>
    <w:p>
      <w:pPr>
        <w:spacing w:after="0" w:line="1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Participants may also direct the investment of their account balance into a Self-Directed Brokerage Account (“SDBA”), which allows participants to buy and sell almost any registered investment company or other public security available. If a participant does not affirmatively elect an investment allocation, the participant’s account balance will be invested in the applicable target retirement trust based on the participant’s projected retirement age of 65. The investment options in the Plan are reviewed and modified as deemed appropriate by the Fiserv Investment Committee. While direct exchanges from the stable value fund into a competing fund are prohibited, participants may otherwise redeem their investments held by the Plan without restriction. A participant may change their investment elections daily.</w:t>
      </w:r>
    </w:p>
    <w:p>
      <w:pPr>
        <w:spacing w:after="0" w:line="129"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Notes Receivable from Participants </w:t>
      </w:r>
      <w:r>
        <w:rPr>
          <w:rFonts w:ascii="Times New Roman" w:cs="Times New Roman" w:eastAsia="Times New Roman" w:hAnsi="Times New Roman"/>
          <w:sz w:val="18"/>
          <w:szCs w:val="18"/>
          <w:color w:val="auto"/>
        </w:rPr>
        <w:t>— Participants under the Plan may request loans, subject to consideration for adequate collateral, in a minimum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$1 thousand and up to a maximum amount of the lesser of the following: (i) $50 thousand (reduced by the excess, if any, of the participant’s highest outstanding loan balance during the previous twelve months over the outstanding loan balance on the date of the loan); or (ii) 50% of the current market value of the participant’s vested and non-forfeitable account balances. The rate of interest charged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participant loans (4.25% to 10.50% at December 31, 2025) is based on the prime rate published in the Wall Street Journal on the first business day of the calendar quarter during which the loan is processed, plus 2%, unless otherwise determined by the Plan Sponsor, and is fixed at the borrowing date for the term of the loan. Generally, loans require repayment within five years; however, primary residence loan maturities can be up to 15 years, subject to certain requirements. Loans with maturities exceeding these limits may be transferred into the Plan and continue to be repaid according to their original terms when plans sponsored by entities acquired by the Company are merged into the Plan. A maximum of two loans per participant, one residential and one other, are allowed to be outstanding at a time.</w:t>
      </w:r>
    </w:p>
    <w:p>
      <w:pPr>
        <w:spacing w:after="0" w:line="12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Payment of Benefits </w:t>
      </w:r>
      <w:r>
        <w:rPr>
          <w:rFonts w:ascii="Times New Roman" w:cs="Times New Roman" w:eastAsia="Times New Roman" w:hAnsi="Times New Roman"/>
          <w:sz w:val="17"/>
          <w:szCs w:val="17"/>
          <w:color w:val="auto"/>
        </w:rPr>
        <w:t>— Upon termination of employment for any reason, including death or disability, a participant may elect to receive a distribution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vested portion of his or her account in a lump sum or as a direct rollover. If no such election is made within 90 days and the participant’s vested interest in the Plan is more than $1 thousand but not more than $7 thousand, it will automatically be rolled over to a new individual retirement account designated by the Plan Sponsor. If the vested interest is $1 thousand or less, a lump sum cash distribution will be made. If a participant’s vested interest exceeds</w:t>
      </w:r>
    </w:p>
    <w:p>
      <w:pPr>
        <w:ind w:right="180"/>
        <w:spacing w:after="0" w:line="255" w:lineRule="auto"/>
        <w:rPr>
          <w:sz w:val="20"/>
          <w:szCs w:val="20"/>
          <w:color w:val="auto"/>
        </w:rPr>
      </w:pPr>
      <w:r>
        <w:rPr>
          <w:rFonts w:ascii="Times New Roman" w:cs="Times New Roman" w:eastAsia="Times New Roman" w:hAnsi="Times New Roman"/>
          <w:sz w:val="18"/>
          <w:szCs w:val="18"/>
          <w:color w:val="auto"/>
        </w:rPr>
        <w:t>$7 thousand, the vested portion of his or her account will remain in the Plan until the participant or the participant’s representative elects to receive a distribution. Upon termination of employment, a participant may request that amounts invested in the Fiserv Stock Fund be distributed entirely in cash or stock as part of a lump sum distribution.</w:t>
      </w:r>
    </w:p>
    <w:p>
      <w:pPr>
        <w:spacing w:after="0" w:line="13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An in-service withdrawal of all or a portion of a participant’s account may be made under certain conditions, including election by the participant after attaining age 59½. Upon experiencing severe financial hardship, a participant may request a hardship withdrawal if certain criteria are met. Hardship withdrawals are made in cash. The Plan contains special rules prescribed by the IRC regarding the commencement of distributions to participants who attain age 73.</w:t>
      </w:r>
    </w:p>
    <w:p>
      <w:pPr>
        <w:spacing w:after="0" w:line="122"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Administrative Expenses </w:t>
      </w:r>
      <w:r>
        <w:rPr>
          <w:rFonts w:ascii="Times New Roman" w:cs="Times New Roman" w:eastAsia="Times New Roman" w:hAnsi="Times New Roman"/>
          <w:sz w:val="18"/>
          <w:szCs w:val="18"/>
          <w:color w:val="auto"/>
        </w:rPr>
        <w:t>— Expenses of administering the Plan are shared between the Plan and Plan participants. Recordkeeping fees are paid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participant accounts, whereas investment advisory and other fees are paid by the Plan. The Plan may also use forfeited non-vested accounts to pay such administrative expenses. Certain investment management fees are included as a reduction of investment income and are recorded within net appreciation in fair value of investments in the statement of changes in net assets available for benefits. Administrative expenses totaled $1,366 thousand during the year ended December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Accounting </w:t>
      </w:r>
      <w:r>
        <w:rPr>
          <w:rFonts w:ascii="Times New Roman" w:cs="Times New Roman" w:eastAsia="Times New Roman" w:hAnsi="Times New Roman"/>
          <w:sz w:val="18"/>
          <w:szCs w:val="18"/>
          <w:color w:val="auto"/>
        </w:rPr>
        <w:t>— The accompanying financial statements have been prepared on the accrual basis of accounting in accordance with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principles generally accepted in the United States of America.</w:t>
      </w:r>
    </w:p>
    <w:p>
      <w:pPr>
        <w:spacing w:after="0" w:line="10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accounting principles generally accepted in the United States of America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management to make estimates and assumptions that affect the reported amounts of assets and liabilities and changes therein, and disclosure of contingent assets and liabilities. Actual results could differ materially from those estimates and are subject to change in the near term.</w:t>
      </w:r>
    </w:p>
    <w:p>
      <w:pPr>
        <w:spacing w:after="0" w:line="11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Valuation </w:t>
      </w:r>
      <w:r>
        <w:rPr>
          <w:rFonts w:ascii="Times New Roman" w:cs="Times New Roman" w:eastAsia="Times New Roman" w:hAnsi="Times New Roman"/>
          <w:sz w:val="18"/>
          <w:szCs w:val="18"/>
          <w:color w:val="auto"/>
        </w:rPr>
        <w:t>— The Plan’s investments are stated at fair value (see Note 3), except for fully benefit-responsive investment contracts which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at contract value (see Note 4). Fair value is the price that would be received to sell an asset or paid to transfer a liability in an orderly transaction between market participants at the measurement date.</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Recognition </w:t>
      </w:r>
      <w:r>
        <w:rPr>
          <w:rFonts w:ascii="Times New Roman" w:cs="Times New Roman" w:eastAsia="Times New Roman" w:hAnsi="Times New Roman"/>
          <w:sz w:val="18"/>
          <w:szCs w:val="18"/>
          <w:color w:val="auto"/>
        </w:rPr>
        <w:t>— Purchases and sales of investments are recorded on a trade-date basis. Interest income is accrued when earned. Dividend income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recorded on the ex-dividend date. Capital gains and losses are recorded within net appreciation in fair value of investments in the statement of changes in net assets available for benefits. Net appreciation in fair value of investments includes the Plan’s gains and losses on investments bought and sold as well as held during the year.</w:t>
      </w:r>
    </w:p>
    <w:p>
      <w:pPr>
        <w:spacing w:after="0" w:line="12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Notes Receivable from Participants </w:t>
      </w:r>
      <w:r>
        <w:rPr>
          <w:rFonts w:ascii="Times New Roman" w:cs="Times New Roman" w:eastAsia="Times New Roman" w:hAnsi="Times New Roman"/>
          <w:sz w:val="18"/>
          <w:szCs w:val="18"/>
          <w:color w:val="auto"/>
        </w:rPr>
        <w:t>— Notes receivable from participants are measured at their unpaid principal balance plus any accrued but unpaid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Interest income is recorded on the accrual basis. Related fees are recorded as administrative expenses and are expensed when they are incurred. No allowance for credit losses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been recorded as of December 31, 2025 or 2024. If a participant ceases to make loan repayments and the Plan Sponsor deems the participant loan to be in default, the participant loan balance is reduced and a benefit payment is recorded.</w:t>
      </w:r>
    </w:p>
    <w:p>
      <w:pPr>
        <w:spacing w:after="0" w:line="10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of Benefits </w:t>
      </w:r>
      <w:r>
        <w:rPr>
          <w:rFonts w:ascii="Times New Roman" w:cs="Times New Roman" w:eastAsia="Times New Roman" w:hAnsi="Times New Roman"/>
          <w:sz w:val="18"/>
          <w:szCs w:val="18"/>
          <w:color w:val="auto"/>
        </w:rPr>
        <w:t>— Benefit payments to participants are recorded upon distribution. At December 31, 2025 and 2024, approved and unpaid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were $3,413 thousand and $2,845 thousand, respectively.</w:t>
      </w:r>
    </w:p>
    <w:p>
      <w:pPr>
        <w:spacing w:after="0" w:line="10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Risks and Uncertainties </w:t>
      </w:r>
      <w:r>
        <w:rPr>
          <w:rFonts w:ascii="Times New Roman" w:cs="Times New Roman" w:eastAsia="Times New Roman" w:hAnsi="Times New Roman"/>
          <w:sz w:val="18"/>
          <w:szCs w:val="18"/>
          <w:color w:val="auto"/>
        </w:rPr>
        <w:t>— The Plan invests in various investments. Investments, in general, are exposed to various risks, such as interest rate risk,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risk and overall market volatility. Global macroeconomic conditions, including international conflicts, could also impact the value of investment securities. Due to the level of risk associated with investments, it is reasonably possible that changes in the values of investments will occur in the near term and that such changes could materially affect the amounts reported in the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Subsequent Events </w:t>
      </w:r>
      <w:r>
        <w:rPr>
          <w:rFonts w:ascii="Times New Roman" w:cs="Times New Roman" w:eastAsia="Times New Roman" w:hAnsi="Times New Roman"/>
          <w:sz w:val="18"/>
          <w:szCs w:val="18"/>
          <w:color w:val="auto"/>
        </w:rPr>
        <w:t>— Subsequent events have been evaluated through the issuance date of this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Fair value represents the price that would be received to sell an asset or paid to transfer a liability in an orderly transaction between market participants at the measurement date. When determining the fair value measurements for assets and liabilities, the Plan uses the hierarchy prescribed in Accounting Standards Codification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and considers the principal or most advantageous market and the market-based risk measurements or assumptions that market participants would use in pricing the asset or liability. The three levels in the hierarchy are as follows:</w:t>
      </w:r>
    </w:p>
    <w:p>
      <w:pPr>
        <w:spacing w:after="0" w:line="12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Level 1 -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660" w:right="20" w:hanging="328"/>
        <w:spacing w:after="0" w:line="265" w:lineRule="auto"/>
        <w:tabs>
          <w:tab w:leader="none" w:pos="65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Level 2 - Inputs other than quoted prices within Level 1 that are observable either directly or indirectly, including but not limited to quoted prices in markets that are not active, quoted prices in active markets for similar assets or liabilities and observable inputs other than quoted prices such as interest rates or yield curves.</w:t>
      </w:r>
    </w:p>
    <w:p>
      <w:pPr>
        <w:spacing w:after="0" w:line="12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Level 3 - Unobservable inputs reflecting the Plan’s own judgments about the assumptions that market participants would use in pricing the asset or liability, including assumptions about risk.</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Plan maximizes the use of relevant observable inputs and minimizes the use of unobservable inputs. Financial instruments carried and measured at fair value on a recurring basis are classified as follows according to the fair value hierarchy described above: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18"/>
                <w:szCs w:val="18"/>
                <w:color w:val="auto"/>
              </w:rPr>
            </w:pP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0" w:type="dxa"/>
            <w:vAlign w:val="bottom"/>
          </w:tcPr>
          <w:p>
            <w:pPr>
              <w:spacing w:after="0"/>
              <w:rPr>
                <w:sz w:val="18"/>
                <w:szCs w:val="18"/>
                <w:color w:val="auto"/>
              </w:rPr>
            </w:pP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40" w:type="dxa"/>
            <w:vAlign w:val="bottom"/>
          </w:tcPr>
          <w:p>
            <w:pPr>
              <w:spacing w:after="0"/>
              <w:rPr>
                <w:sz w:val="18"/>
                <w:szCs w:val="18"/>
                <w:color w:val="auto"/>
              </w:rPr>
            </w:pPr>
          </w:p>
        </w:tc>
        <w:tc>
          <w:tcPr>
            <w:tcW w:w="15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Fiserv Stock Fund:</w:t>
            </w: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Fiserv, Inc. common stock</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76,604</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84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investments in fair value hierarchy table</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380,991</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23,439</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Collective investment trusts</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17"/>
                <w:szCs w:val="17"/>
                <w:color w:val="auto"/>
              </w:rPr>
            </w:pP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0" w:type="dxa"/>
            <w:vAlign w:val="bottom"/>
          </w:tcPr>
          <w:p>
            <w:pPr>
              <w:spacing w:after="0"/>
              <w:rPr>
                <w:sz w:val="17"/>
                <w:szCs w:val="17"/>
                <w:color w:val="auto"/>
              </w:rPr>
            </w:pP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40" w:type="dxa"/>
            <w:vAlign w:val="bottom"/>
          </w:tcPr>
          <w:p>
            <w:pPr>
              <w:spacing w:after="0"/>
              <w:rPr>
                <w:sz w:val="17"/>
                <w:szCs w:val="17"/>
                <w:color w:val="auto"/>
              </w:rPr>
            </w:pPr>
          </w:p>
        </w:tc>
        <w:tc>
          <w:tcPr>
            <w:tcW w:w="15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Fiserv Stock Fund:</w:t>
            </w: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Fiserv, Inc. common stock</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Self-directed brokerage accounts</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86,105</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84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investments in fair value hierarchy table</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479,882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Collective investment trusts</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Plan’s investments in collective investment trusts are measured using the net asset value (“NAV”) per share (or its equivalent) practical expedient in accordance with ASC 820, and therefore such investments have not been classified in the fair value hierarchy above. The fair value amounts presented in the table are intended to permit reconciliation of the fair value hierarchy to the amounts presented within the statements of net assets available for benefits. The following table provides summarized information related to investments measured at fair value based on NAV per share at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Unfunded</w:t>
            </w: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Redemption Notice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13"/>
                <w:szCs w:val="13"/>
                <w:color w:val="auto"/>
              </w:rPr>
            </w:pPr>
          </w:p>
        </w:tc>
        <w:tc>
          <w:tcPr>
            <w:tcW w:w="12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Commitments</w:t>
            </w:r>
          </w:p>
        </w:tc>
        <w:tc>
          <w:tcPr>
            <w:tcW w:w="16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Frequency</w:t>
            </w:r>
          </w:p>
        </w:tc>
        <w:tc>
          <w:tcPr>
            <w:tcW w:w="15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Period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Collective investment trusts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4,709,497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4,364,436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Same Day</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there were no significant transfers between Levels 1 and 2 and no transfers in or out of Level 3. The Plan’s investments were segregated into the following major categories and levels for determining their fair value at December 31, 2025 and 2024:</w:t>
      </w:r>
    </w:p>
    <w:p>
      <w:pPr>
        <w:spacing w:after="0" w:line="10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Money Market Fund </w:t>
      </w:r>
      <w:r>
        <w:rPr>
          <w:rFonts w:ascii="Times New Roman" w:cs="Times New Roman" w:eastAsia="Times New Roman" w:hAnsi="Times New Roman"/>
          <w:sz w:val="18"/>
          <w:szCs w:val="18"/>
          <w:color w:val="auto"/>
        </w:rPr>
        <w:t>– The money market fund consists primarily of the BlackRock Liquidity Fund. The fund intends to maintain a net asset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$1 per share. The fund has been valued using Level 1 inputs as these are quoted prices in active markets.</w:t>
      </w:r>
    </w:p>
    <w:p>
      <w:pPr>
        <w:spacing w:after="0" w:line="101"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Fiserv Stock Fund </w:t>
      </w:r>
      <w:r>
        <w:rPr>
          <w:rFonts w:ascii="Times New Roman" w:cs="Times New Roman" w:eastAsia="Times New Roman" w:hAnsi="Times New Roman"/>
          <w:sz w:val="17"/>
          <w:szCs w:val="17"/>
          <w:color w:val="auto"/>
        </w:rPr>
        <w:t>– The Fiserv Stock Fund consists of Fiserv, Inc. common stock, which is valued at the quoted market price from an active market,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cash equivalents which provide liquidity for trading. These investments have been valued using Level 1 inputs as these are quoted prices in active markets.</w:t>
      </w:r>
    </w:p>
    <w:p>
      <w:pPr>
        <w:spacing w:after="0" w:line="7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Self-Directed Brokerage Accounts </w:t>
      </w:r>
      <w:r>
        <w:rPr>
          <w:rFonts w:ascii="Times New Roman" w:cs="Times New Roman" w:eastAsia="Times New Roman" w:hAnsi="Times New Roman"/>
          <w:sz w:val="18"/>
          <w:szCs w:val="18"/>
          <w:color w:val="auto"/>
        </w:rPr>
        <w:t>– Plan participants can invest in almost any publicly traded securities, registered investment companies and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securities through a self-directed brokerage account. The underlying investments are valued as follows:</w:t>
      </w:r>
    </w:p>
    <w:p>
      <w:pPr>
        <w:spacing w:after="0" w:line="101" w:lineRule="exact"/>
        <w:rPr>
          <w:sz w:val="20"/>
          <w:szCs w:val="20"/>
          <w:color w:val="auto"/>
        </w:rPr>
      </w:pPr>
    </w:p>
    <w:p>
      <w:pPr>
        <w:ind w:left="660" w:right="600" w:hanging="328"/>
        <w:spacing w:after="0" w:line="317"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Registered investment companies</w:t>
      </w:r>
      <w:r>
        <w:rPr>
          <w:rFonts w:ascii="Times New Roman" w:cs="Times New Roman" w:eastAsia="Times New Roman" w:hAnsi="Times New Roman"/>
          <w:sz w:val="17"/>
          <w:szCs w:val="17"/>
          <w:color w:val="auto"/>
        </w:rPr>
        <w:t>: The fair value is based on the reported NAV at December 31. Consistent with the registered investment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companies discussed below, these investments have been valued using Level 1 inputs as these are quoted prices in active markets.</w:t>
      </w:r>
    </w:p>
    <w:p>
      <w:pPr>
        <w:spacing w:after="0" w:line="77" w:lineRule="exact"/>
        <w:rPr>
          <w:rFonts w:ascii="Times New Roman" w:cs="Times New Roman" w:eastAsia="Times New Roman" w:hAnsi="Times New Roman"/>
          <w:sz w:val="17"/>
          <w:szCs w:val="17"/>
          <w:color w:val="auto"/>
        </w:rPr>
      </w:pPr>
    </w:p>
    <w:p>
      <w:pPr>
        <w:jc w:val="both"/>
        <w:ind w:left="660" w:right="1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Publicly traded equities and exchange traded funds (includes common stock and preferred stock)</w:t>
      </w:r>
      <w:r>
        <w:rPr>
          <w:rFonts w:ascii="Times New Roman" w:cs="Times New Roman" w:eastAsia="Times New Roman" w:hAnsi="Times New Roman"/>
          <w:sz w:val="18"/>
          <w:szCs w:val="18"/>
          <w:color w:val="auto"/>
        </w:rPr>
        <w:t>: Values for shares of publicly traded equities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exchange traded funds are the per share prices listed by the exchange. These investments have been valued using Level 1 inputs as these are quoted prices in active markets.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right="22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 income securities (includes certificates of deposit, government obligations and corporate bonds)</w:t>
      </w:r>
      <w:r>
        <w:rPr>
          <w:rFonts w:ascii="Times New Roman" w:cs="Times New Roman" w:eastAsia="Times New Roman" w:hAnsi="Times New Roman"/>
          <w:sz w:val="18"/>
          <w:szCs w:val="18"/>
          <w:color w:val="auto"/>
        </w:rPr>
        <w:t>: The fair value of the fixed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are obtained with the assistance of a third-party pricing vendor. The third-party pricing vendor utilizes evaluated pricing models that vary by asset class and incorporate available market data. Because many fixed income securities do not trade on a daily basis, the evaluated pricing applications apply available information through processes such as benchmark curves, benchmarking of like securities, sector groupings and matrix pricing. The pricing models vary by asset class but all rely on observable standard market inputs such as benchmark yields, reported trades, broker/dealer quotes, issuer spreads, two-sided markets, benchmark securities, bids, offers and reference data including market research publications. These securities have been valued using Level 2 inputs.</w:t>
      </w:r>
    </w:p>
    <w:p>
      <w:pPr>
        <w:spacing w:after="0" w:line="12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Registered Investment Companies – </w:t>
      </w:r>
      <w:r>
        <w:rPr>
          <w:rFonts w:ascii="Times New Roman" w:cs="Times New Roman" w:eastAsia="Times New Roman" w:hAnsi="Times New Roman"/>
          <w:sz w:val="18"/>
          <w:szCs w:val="18"/>
          <w:color w:val="auto"/>
        </w:rPr>
        <w:t>The Plan is invested in shares of several registered investment companies that are registered with the Securities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Commission. Prices of these funds are based on the NAV calculated by the funds and are publicly reported on national exchanges. Although the prices are listed on national exchanges, exiting the investment is generally only accomplished through redemption with the fund itself. Thus, redemption with the fund is the principal market in which the Plan could exit the investments. The funds redeem shares at the NAV with few restrictions and redemption with the funds is an active market. These investments are classified as Level 1 in the fair value hierarchy.</w:t>
      </w:r>
    </w:p>
    <w:p>
      <w:pPr>
        <w:spacing w:after="0" w:line="1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Collective Investment Trusts – </w:t>
      </w:r>
      <w:r>
        <w:rPr>
          <w:rFonts w:ascii="Times New Roman" w:cs="Times New Roman" w:eastAsia="Times New Roman" w:hAnsi="Times New Roman"/>
          <w:sz w:val="18"/>
          <w:szCs w:val="18"/>
          <w:color w:val="auto"/>
        </w:rPr>
        <w:t>Target retirement trusts and certain index funds managed by Vanguard Fiduciary Trust Company are organized as collective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trusts (“CITs”). Each target retirement trust invests in investments using an asset allocation strategy designed for investors planning to retire and leave the workforce within a few years of the target year. The BlackRock Government Short-Term Investment Fund, which is a component of the Stable Value Fund as further described below within Note 4, is organized as a CIT. The fund’s strategy is to generate income while preserving principal and to maintain a net asset value of approximately $1 per unit. Prices of these pooled groups of assets are valued at the NAV (as a practical expedient) which is based on the fair value of the underlying investments held by each CIT less its liabilities. This practical expedient is not used when it is determined to be probable that the CIT will sell the investment for an amount different than the reported net asset value. Participant transactions (purchases and sales) may occur daily. Were the Plan to initiate a full redemption of the CITs, the investment advisor reserves the right to temporarily delay withdrawal from the trusts in order to confirm that securities liquidations will be carried out in an orderly business manner.</w:t>
      </w:r>
    </w:p>
    <w:p>
      <w:pPr>
        <w:spacing w:after="0" w:line="1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FULLY BENEFIT-RESPONSIVE INVESTMENT CONTRACTS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Plan holds a portfolio of investments (the “Stable Value Fund”) that is comprised of a short term investment fund and a portfolio of guaranteed investment contracts. The portfolio of guaranteed investment contracts meets the fully benefit-responsive investment contract criteria and, therefore, is reported at contract value in the statements of net assets available for benefits. Contract value is the relevant measurement because it is the amount participants would receive if they were to initiate permitted transactions under the terms of the Plan. The Plan invests in these investment contracts through the separately managed account strategy.</w:t>
      </w:r>
    </w:p>
    <w:p>
      <w:pPr>
        <w:spacing w:after="0" w:line="1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Guaranteed Investment Contracts </w:t>
      </w:r>
      <w:r>
        <w:rPr>
          <w:rFonts w:ascii="Times New Roman" w:cs="Times New Roman" w:eastAsia="Times New Roman" w:hAnsi="Times New Roman"/>
          <w:sz w:val="18"/>
          <w:szCs w:val="18"/>
          <w:color w:val="auto"/>
        </w:rPr>
        <w:t>– The Plan’s portfolio includes insurance company separate account guaranteed investment contracts (“GICs”), fixed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maturity synthetic guaranteed investment contracts (“SGICs”) and constant duration SGICs. Separate account GICs are investments in a segregated account of assets maintained by an insurance company for the benefit of the investors. Fixed maturity SGICs consist of an asset or collection of assets and a benefit responsive, book value wrap contract purchased for the portfolio. Constant duration SGICs consist of a portfolio of securities and a benefit responsive, book value wrap contract purchased for the portfolio. The Plan owns the assets underlying the investment of the SGICs, and the bank, insurance company or other financial institution issues a contract, referred to as a “wrapper” that maintains the contract value of the underlying investments for the duration of the SGICs. The wrapper contract is an agreement for the wrap issuer, such as a bank or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company, to make payments to the Plan in certain circumstances. The wrapper contract typically includes certain conditions and limitations on the underlying assets owned by the Plan and provides a guarantee that the crediting rate will not fall below 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the bifurcation of contract value between investments in the Stable Value Fund at December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17"/>
                <w:szCs w:val="17"/>
                <w:color w:val="auto"/>
              </w:rPr>
            </w:pPr>
          </w:p>
        </w:tc>
        <w:tc>
          <w:tcPr>
            <w:tcW w:w="1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Separate account GICs</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maturity SGICs</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31,706</w:t>
            </w: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Constant duration SGICs</w:t>
            </w: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178,689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212,323</w:t>
            </w:r>
          </w:p>
        </w:tc>
      </w:tr>
      <w:tr>
        <w:trPr>
          <w:trHeight w:val="223"/>
        </w:trPr>
        <w:tc>
          <w:tcPr>
            <w:tcW w:w="20" w:type="dxa"/>
            <w:vAlign w:val="bottom"/>
          </w:tcPr>
          <w:p>
            <w:pPr>
              <w:spacing w:after="0"/>
              <w:rPr>
                <w:sz w:val="19"/>
                <w:szCs w:val="19"/>
                <w:color w:val="auto"/>
              </w:rPr>
            </w:pPr>
          </w:p>
        </w:tc>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231,203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244,029</w:t>
            </w: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following events will limit the ability of the fund to transact at contract value: (i) employer communications designed to induce participants to transfer from the fund; (ii) employer-initiated events or events within the control of the Plan or the Plan Sponsor which would have a material and adverse impact on the fund; or (iii) changes of qualification status of the employer or the Plan. Instead, market value will likely be used in determining the payouts to the participants in these circumstances. In general, issuers may terminate the contract and settle at other than contract value if the qualification status of the employer or the Plan changes, breach of material obligations under the contract and misrepresentation by the contract holder, or failure of the underlying portfolio to conform to the pre-established investment guidelines. The Company is not aware of any events which may occur that might limit the ability of the Plan to transact at contract value with the contract issuers and that would also limit the ability of the Plan to transact at contract value with the participants.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PARTY-IN-INTEREST AND RELATED-PARTY TRANSACTIONS</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Plan invests in shares or units of certain funds managed by the Trustee and certain Plan investments are in self-directed brokerage accounts managed by Merrill; therefore, these transactions are party-in-interest transactions. Notes receivable from participants are also considered party-in-interest transactions. The Plan held $49,539 thousand and $48,302 thousand in notes receivable from Plan participants at December 31, 2025 and 2024, respectively.</w:t>
      </w:r>
    </w:p>
    <w:p>
      <w:pPr>
        <w:spacing w:after="0" w:line="12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Plan also offers the Fiserv Stock Fund, which primarily consists of Fiserv, Inc. common stock, as an investment option. Fiserv Solutions, LLC is the sponsoring employer and therefore a related party of the Plan. At December 31, 2025, the Plan held 831,143 shares of Fiserv, Inc. common stock, with a cost basis of $163,297 thousand, and at December 31, 2024, the Plan held 842,087 shares of Fiserv, Inc. common stock, with a cost basis of $122,233 thousand.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RISKS AND UNCERTAINTIES</w:t>
      </w:r>
    </w:p>
    <w:p>
      <w:pPr>
        <w:spacing w:after="0" w:line="17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Plan holds various investments in registered investment companies, collective investment trusts, a stable value fund, common stock, and other investments through the SDBA. Investments, in general, are exposed to various risks, such as interest rate risk, credit risk and overall market volatility which could materially affect the value of assets held by the Plan. The following table provides details on investments that represent a concentration of 10% or greater of the Plan’s net assets at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183"/>
        </w:trPr>
        <w:tc>
          <w:tcPr>
            <w:tcW w:w="20" w:type="dxa"/>
            <w:vAlign w:val="bottom"/>
          </w:tcPr>
          <w:p>
            <w:pPr>
              <w:spacing w:after="0"/>
              <w:rPr>
                <w:sz w:val="15"/>
                <w:szCs w:val="15"/>
                <w:color w:val="auto"/>
              </w:rPr>
            </w:pPr>
          </w:p>
        </w:tc>
        <w:tc>
          <w:tcPr>
            <w:tcW w:w="19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840" w:type="dxa"/>
            <w:vAlign w:val="bottom"/>
          </w:tcPr>
          <w:p>
            <w:pPr>
              <w:jc w:val="right"/>
              <w:ind w:right="210"/>
              <w:spacing w:after="0" w:line="182" w:lineRule="exact"/>
              <w:rPr>
                <w:sz w:val="20"/>
                <w:szCs w:val="20"/>
                <w:color w:val="auto"/>
              </w:rPr>
            </w:pPr>
            <w:r>
              <w:rPr>
                <w:rFonts w:ascii="Times New Roman" w:cs="Times New Roman" w:eastAsia="Times New Roman" w:hAnsi="Times New Roman"/>
                <w:sz w:val="18"/>
                <w:szCs w:val="18"/>
                <w:b w:val="1"/>
                <w:bCs w:val="1"/>
                <w:color w:val="auto"/>
              </w:rPr>
              <w:t>% of Net Assets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86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 of Net Assets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 Target Retirement Trust Select 2030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650,967</w:t>
            </w: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629,371</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Vanguard Target Retirement Trust Select 2035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652,284</w:t>
            </w:r>
          </w:p>
        </w:tc>
        <w:tc>
          <w:tcPr>
            <w:tcW w:w="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579,826</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 Target Retirement Trust Select 2040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545,668</w:t>
            </w: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29"/>
        </w:trPr>
        <w:tc>
          <w:tcPr>
            <w:tcW w:w="20" w:type="dxa"/>
            <w:vAlign w:val="bottom"/>
          </w:tcPr>
          <w:p>
            <w:pPr>
              <w:spacing w:after="0"/>
              <w:rPr>
                <w:sz w:val="19"/>
                <w:szCs w:val="19"/>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Vanguard Institutional 500</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 Trust</w:t>
            </w:r>
          </w:p>
        </w:tc>
        <w:tc>
          <w:tcPr>
            <w:tcW w:w="240" w:type="dxa"/>
            <w:vAlign w:val="bottom"/>
          </w:tcPr>
          <w:p>
            <w:pPr>
              <w:spacing w:after="0"/>
              <w:rPr>
                <w:sz w:val="19"/>
                <w:szCs w:val="19"/>
                <w:color w:val="auto"/>
              </w:rPr>
            </w:pPr>
          </w:p>
        </w:tc>
        <w:tc>
          <w:tcPr>
            <w:tcW w:w="3380" w:type="dxa"/>
            <w:vAlign w:val="bottom"/>
            <w:gridSpan w:val="5"/>
          </w:tcPr>
          <w:p>
            <w:pPr>
              <w:jc w:val="right"/>
              <w:ind w:right="1330"/>
              <w:spacing w:after="0"/>
              <w:rPr>
                <w:sz w:val="20"/>
                <w:szCs w:val="20"/>
                <w:color w:val="auto"/>
              </w:rPr>
            </w:pPr>
            <w:r>
              <w:rPr>
                <w:rFonts w:ascii="Times New Roman" w:cs="Times New Roman" w:eastAsia="Times New Roman" w:hAnsi="Times New Roman"/>
                <w:sz w:val="18"/>
                <w:szCs w:val="18"/>
                <w:color w:val="auto"/>
              </w:rPr>
              <w:t>Not Applicable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926,549</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Vanguard Institutional 500</w:t>
            </w: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Index B Trust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970,442</w:t>
            </w: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Not Applicable</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PLAN TERMINATION</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Plan Sponsor has the right under the Plan to discontinue its contributions at any time and to terminate the Plan subject to the provisions set forth in ERISA. In the event that the Plan is terminated, participants would become 100% vested in their accounts, including Company contributions.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TAX STATUS</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Internal Revenue Service has determined and informed the Company by a letter dated November 22, 2021 that the amended and restated Plan document and related trust were designed in accordance with the applicable regulations of the IRC. Although the Plan has been amended since receiving this determination letter, the Company and Plan management believe that the Plan is currently designed and operated in compliance with the applicable requirements of the IRC and that the Plan and related trust continue to be tax exempt. Therefore, no provision for income taxes has been included in the Plan’s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DIFFERENCES BETWEEN FINANCIAL STATEMENTS AND FORM 5500</w:t>
      </w:r>
    </w:p>
    <w:p>
      <w:pPr>
        <w:spacing w:after="0" w:line="17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net assets available for benefits and changes in net assets available for benefits per the accompanying financial statements to the Form 5500 as of and for the year ended December 31: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Pr>
          <w:p>
            <w:pPr>
              <w:spacing w:after="0"/>
              <w:rPr>
                <w:sz w:val="18"/>
                <w:szCs w:val="18"/>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accompanying financial statements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5,395,826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5,155,088</w:t>
            </w:r>
          </w:p>
        </w:tc>
      </w:tr>
      <w:tr>
        <w:trPr>
          <w:trHeight w:val="230"/>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from contract value to fair value for fully benefit-responsive investment contracts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(19,045)</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allocated to withdrawing participants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23"/>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Form 5500</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5,381,655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5,133,198</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18"/>
                <w:szCs w:val="18"/>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8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available for benefits per the accompanying financial statements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240,738</w:t>
            </w:r>
          </w:p>
        </w:tc>
      </w:tr>
      <w:tr>
        <w:trPr>
          <w:trHeight w:val="230"/>
        </w:trPr>
        <w:tc>
          <w:tcPr>
            <w:tcW w:w="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adjustment from contract value to fair value for fully benefit-responsive investment contracts</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w:t>
            </w:r>
          </w:p>
        </w:tc>
      </w:tr>
      <w:tr>
        <w:trPr>
          <w:trHeight w:val="230"/>
        </w:trPr>
        <w:tc>
          <w:tcPr>
            <w:tcW w:w="20" w:type="dxa"/>
            <w:vAlign w:val="bottom"/>
            <w:shd w:val="clear" w:color="auto" w:fill="CCEEFF"/>
          </w:tcPr>
          <w:p>
            <w:pPr>
              <w:spacing w:after="0"/>
              <w:rPr>
                <w:sz w:val="19"/>
                <w:szCs w:val="19"/>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amounts allocated to withdrawing participants</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3"/>
        </w:trPr>
        <w:tc>
          <w:tcPr>
            <w:tcW w:w="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net assets available for benefits per the Form 5500</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248,457</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assets available for benefits in the accompanying financial statements report the guaranteed investment contracts within the Stable Value Fund at contract value; however, such contracts are recorded at fair value within the Plan’s Form 5500. Amounts allocated to withdrawing participants are recorded on the Form 5500 for benefit claims that have been processed and approved for payment prior to year-end but not yet distributed.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FISERV 401(k) SAVINGS PLAN</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FORM 5500, SCHEDULE H, PART IV, LINE 4i —</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SCHEDULE OF ASSETS (HELD AT END OF YEAR)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EIN: 39-1833695 Plan: 004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680" w:type="dxa"/>
            <w:vAlign w:val="bottom"/>
            <w:tcBorders>
              <w:top w:val="single" w:sz="8" w:color="auto"/>
            </w:tcBorders>
          </w:tcPr>
          <w:p>
            <w:pPr>
              <w:jc w:val="center"/>
              <w:ind w:left="28"/>
              <w:spacing w:after="0" w:line="129" w:lineRule="exact"/>
              <w:rPr>
                <w:sz w:val="20"/>
                <w:szCs w:val="20"/>
                <w:color w:val="auto"/>
              </w:rPr>
            </w:pPr>
            <w:r>
              <w:rPr>
                <w:rFonts w:ascii="Times New Roman" w:cs="Times New Roman" w:eastAsia="Times New Roman" w:hAnsi="Times New Roman"/>
                <w:sz w:val="14"/>
                <w:szCs w:val="14"/>
                <w:b w:val="1"/>
                <w:bCs w:val="1"/>
                <w:color w:val="auto"/>
              </w:rPr>
              <w:t>(b)</w:t>
            </w:r>
          </w:p>
        </w:tc>
        <w:tc>
          <w:tcPr>
            <w:tcW w:w="7200" w:type="dxa"/>
            <w:vAlign w:val="bottom"/>
            <w:tcBorders>
              <w:top w:val="single" w:sz="8" w:color="auto"/>
            </w:tcBorders>
            <w:vMerge w:val="restart"/>
          </w:tcPr>
          <w:p>
            <w:pPr>
              <w:ind w:left="3560"/>
              <w:spacing w:after="0"/>
              <w:rPr>
                <w:sz w:val="20"/>
                <w:szCs w:val="20"/>
                <w:color w:val="auto"/>
              </w:rPr>
            </w:pPr>
            <w:r>
              <w:rPr>
                <w:rFonts w:ascii="Times New Roman" w:cs="Times New Roman" w:eastAsia="Times New Roman" w:hAnsi="Times New Roman"/>
                <w:sz w:val="14"/>
                <w:szCs w:val="14"/>
                <w:b w:val="1"/>
                <w:bCs w:val="1"/>
                <w:color w:val="auto"/>
              </w:rPr>
              <w:t>(c)</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48"/>
        </w:trPr>
        <w:tc>
          <w:tcPr>
            <w:tcW w:w="268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Identity of Issue, Borrower, Lessor, or</w:t>
            </w:r>
          </w:p>
        </w:tc>
        <w:tc>
          <w:tcPr>
            <w:tcW w:w="7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Similar Party</w:t>
            </w:r>
          </w:p>
        </w:tc>
        <w:tc>
          <w:tcPr>
            <w:tcW w:w="72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 of Investment Including Maturity Date, Rate of Interest, Collateral, Par, or Maturity Value</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0" w:type="dxa"/>
            <w:vAlign w:val="bottom"/>
          </w:tcPr>
          <w:p>
            <w:pPr>
              <w:spacing w:after="0"/>
              <w:rPr>
                <w:sz w:val="1"/>
                <w:szCs w:val="1"/>
                <w:color w:val="auto"/>
              </w:rPr>
            </w:pPr>
          </w:p>
        </w:tc>
      </w:tr>
      <w:tr>
        <w:trPr>
          <w:trHeight w:val="202"/>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Registered Investment Companies:</w:t>
            </w:r>
          </w:p>
        </w:tc>
        <w:tc>
          <w:tcPr>
            <w:tcW w:w="7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Baird</w:t>
            </w:r>
          </w:p>
        </w:tc>
        <w:tc>
          <w:tcPr>
            <w:tcW w:w="7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Core Plus Bond Fund</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76,604</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spacing w:after="0"/>
              <w:rPr>
                <w:sz w:val="17"/>
                <w:szCs w:val="17"/>
                <w:color w:val="auto"/>
              </w:rPr>
            </w:pPr>
          </w:p>
        </w:tc>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Registered Investment Companies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76,604</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Collective Investment Trusts:</w:t>
            </w:r>
          </w:p>
        </w:tc>
        <w:tc>
          <w:tcPr>
            <w:tcW w:w="7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Vanguard Fiduciary Trust Company</w:t>
            </w:r>
          </w:p>
        </w:tc>
        <w:tc>
          <w:tcPr>
            <w:tcW w:w="7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Vanguard Target Retirement Income Trust Select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66,432</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Vanguard Target Retirement Trust Select 2020</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156,909</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Vanguard Target Retirement Trust Select 2025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335,547</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Vanguard Target Retirement Trust Select 2030</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650,967</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Vanguard Target Retirement Trust Select 2035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652,284</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Vanguard Target Retirement Trust Select 2040</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545,668</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Vanguard Target Retirement Trust Select 2045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329,740</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Vanguard Target Retirement Trust Select 2050</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248,585</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Vanguard Target Retirement Trust Select 2055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137,452</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Vanguard Target Retirement Trust Select 2060</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80,492</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Vanguard Target Retirement Trust Select 2065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49,138</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Vanguard Target Retirement Trust Select 2070</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Vanguard Institutional 500 Index B Trust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970,442</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Vanguard Institutional Extended Market Index B Trust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178,969</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Vanguard Institutional Total Bond Market Index B Trust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113,999</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Vanguard Institutional International Market Index B Trust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177,914</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Street Investment Management</w:t>
            </w:r>
          </w:p>
        </w:tc>
        <w:tc>
          <w:tcPr>
            <w:tcW w:w="7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CCEEFF"/>
            </w:tcBorders>
          </w:tcPr>
          <w:p>
            <w:pPr>
              <w:spacing w:after="0"/>
              <w:rPr>
                <w:sz w:val="17"/>
                <w:szCs w:val="17"/>
                <w:color w:val="auto"/>
              </w:rPr>
            </w:pPr>
          </w:p>
        </w:tc>
        <w:tc>
          <w:tcPr>
            <w:tcW w:w="7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State Street Real Asset Fund C Trust</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spacing w:after="0"/>
              <w:rPr>
                <w:sz w:val="17"/>
                <w:szCs w:val="17"/>
                <w:color w:val="auto"/>
              </w:rPr>
            </w:pPr>
          </w:p>
        </w:tc>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Collective Investment Trusts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4,705,093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FISERV 401(k) SAVINGS PLAN</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FORM 5500, SCHEDULE H, PART IV, LINE 4i —</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SCHEDULE OF ASSETS (HELD AT END OF YEAR)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EIN: 39-1833695 Plan: 004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680" w:type="dxa"/>
            <w:vAlign w:val="bottom"/>
            <w:tcBorders>
              <w:top w:val="single" w:sz="8" w:color="auto"/>
            </w:tcBorders>
          </w:tcPr>
          <w:p>
            <w:pPr>
              <w:jc w:val="center"/>
              <w:ind w:left="28"/>
              <w:spacing w:after="0" w:line="129" w:lineRule="exact"/>
              <w:rPr>
                <w:sz w:val="20"/>
                <w:szCs w:val="20"/>
                <w:color w:val="auto"/>
              </w:rPr>
            </w:pPr>
            <w:r>
              <w:rPr>
                <w:rFonts w:ascii="Times New Roman" w:cs="Times New Roman" w:eastAsia="Times New Roman" w:hAnsi="Times New Roman"/>
                <w:sz w:val="14"/>
                <w:szCs w:val="14"/>
                <w:b w:val="1"/>
                <w:bCs w:val="1"/>
                <w:color w:val="auto"/>
              </w:rPr>
              <w:t>(b)</w:t>
            </w:r>
          </w:p>
        </w:tc>
        <w:tc>
          <w:tcPr>
            <w:tcW w:w="7200" w:type="dxa"/>
            <w:vAlign w:val="bottom"/>
            <w:tcBorders>
              <w:top w:val="single" w:sz="8" w:color="auto"/>
            </w:tcBorders>
            <w:vMerge w:val="restart"/>
          </w:tcPr>
          <w:p>
            <w:pPr>
              <w:ind w:left="3560"/>
              <w:spacing w:after="0"/>
              <w:rPr>
                <w:sz w:val="20"/>
                <w:szCs w:val="20"/>
                <w:color w:val="auto"/>
              </w:rPr>
            </w:pPr>
            <w:r>
              <w:rPr>
                <w:rFonts w:ascii="Times New Roman" w:cs="Times New Roman" w:eastAsia="Times New Roman" w:hAnsi="Times New Roman"/>
                <w:sz w:val="14"/>
                <w:szCs w:val="14"/>
                <w:b w:val="1"/>
                <w:bCs w:val="1"/>
                <w:color w:val="auto"/>
              </w:rPr>
              <w:t>(c)</w:t>
            </w:r>
          </w:p>
        </w:tc>
        <w:tc>
          <w:tcPr>
            <w:tcW w:w="1360" w:type="dxa"/>
            <w:vAlign w:val="bottom"/>
            <w:tcBorders>
              <w:top w:val="single" w:sz="8" w:color="auto"/>
            </w:tcBorders>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48"/>
        </w:trPr>
        <w:tc>
          <w:tcPr>
            <w:tcW w:w="268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Identity of Issue, Borrower, Lessor, or</w:t>
            </w:r>
          </w:p>
        </w:tc>
        <w:tc>
          <w:tcPr>
            <w:tcW w:w="720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Similar Party</w:t>
            </w:r>
          </w:p>
        </w:tc>
        <w:tc>
          <w:tcPr>
            <w:tcW w:w="72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 of Investment Including Maturity Date, Rate of Interest, Collateral, Par, or Maturity Value</w:t>
            </w:r>
          </w:p>
        </w:tc>
        <w:tc>
          <w:tcPr>
            <w:tcW w:w="13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0" w:type="dxa"/>
            <w:vAlign w:val="bottom"/>
          </w:tcPr>
          <w:p>
            <w:pPr>
              <w:spacing w:after="0"/>
              <w:rPr>
                <w:sz w:val="1"/>
                <w:szCs w:val="1"/>
                <w:color w:val="auto"/>
              </w:rPr>
            </w:pPr>
          </w:p>
        </w:tc>
      </w:tr>
      <w:tr>
        <w:trPr>
          <w:trHeight w:val="202"/>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Stable Value Fund:</w:t>
            </w:r>
          </w:p>
        </w:tc>
        <w:tc>
          <w:tcPr>
            <w:tcW w:w="7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Standish Mellon</w:t>
            </w:r>
          </w:p>
        </w:tc>
        <w:tc>
          <w:tcPr>
            <w:tcW w:w="7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spacing w:after="0"/>
              <w:rPr>
                <w:sz w:val="17"/>
                <w:szCs w:val="17"/>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BlackRock Government Short-Term Investment Fund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4,404</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spacing w:after="0"/>
              <w:rPr>
                <w:sz w:val="17"/>
                <w:szCs w:val="17"/>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Separate Account GICs:</w:t>
            </w: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CCEEFF"/>
            </w:tcBorders>
          </w:tcPr>
          <w:p>
            <w:pPr>
              <w:spacing w:after="0"/>
              <w:rPr>
                <w:sz w:val="17"/>
                <w:szCs w:val="17"/>
                <w:color w:val="auto"/>
              </w:rPr>
            </w:pPr>
          </w:p>
        </w:tc>
        <w:tc>
          <w:tcPr>
            <w:tcW w:w="7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New York Life Insurance Company Pooled Separate Account No. 45-003</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22,553</w:t>
            </w:r>
          </w:p>
        </w:tc>
        <w:tc>
          <w:tcPr>
            <w:tcW w:w="0" w:type="dxa"/>
            <w:vAlign w:val="bottom"/>
          </w:tcPr>
          <w:p>
            <w:pPr>
              <w:spacing w:after="0"/>
              <w:rPr>
                <w:sz w:val="1"/>
                <w:szCs w:val="1"/>
                <w:color w:val="auto"/>
              </w:rPr>
            </w:pPr>
          </w:p>
        </w:tc>
      </w:tr>
      <w:tr>
        <w:trPr>
          <w:trHeight w:val="243"/>
        </w:trPr>
        <w:tc>
          <w:tcPr>
            <w:tcW w:w="2680" w:type="dxa"/>
            <w:vAlign w:val="bottom"/>
            <w:shd w:val="clear" w:color="auto" w:fill="CCEEFF"/>
          </w:tcPr>
          <w:p>
            <w:pPr>
              <w:spacing w:after="0"/>
              <w:rPr>
                <w:sz w:val="21"/>
                <w:szCs w:val="21"/>
                <w:color w:val="auto"/>
              </w:rPr>
            </w:pPr>
          </w:p>
        </w:tc>
        <w:tc>
          <w:tcPr>
            <w:tcW w:w="7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Separate Account GICs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22,553</w:t>
            </w:r>
          </w:p>
        </w:tc>
        <w:tc>
          <w:tcPr>
            <w:tcW w:w="0" w:type="dxa"/>
            <w:vAlign w:val="bottom"/>
          </w:tcPr>
          <w:p>
            <w:pPr>
              <w:spacing w:after="0"/>
              <w:rPr>
                <w:sz w:val="1"/>
                <w:szCs w:val="1"/>
                <w:color w:val="auto"/>
              </w:rPr>
            </w:pPr>
          </w:p>
        </w:tc>
      </w:tr>
      <w:tr>
        <w:trPr>
          <w:trHeight w:val="264"/>
        </w:trPr>
        <w:tc>
          <w:tcPr>
            <w:tcW w:w="2680" w:type="dxa"/>
            <w:vAlign w:val="bottom"/>
            <w:shd w:val="clear" w:color="auto" w:fill="CCEEFF"/>
          </w:tcPr>
          <w:p>
            <w:pPr>
              <w:spacing w:after="0"/>
              <w:rPr>
                <w:sz w:val="22"/>
                <w:szCs w:val="22"/>
                <w:color w:val="auto"/>
              </w:rPr>
            </w:pPr>
          </w:p>
        </w:tc>
        <w:tc>
          <w:tcPr>
            <w:tcW w:w="7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Constant Duration SGICs: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BlackRock Asset-Back Securities Index Fund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21,042</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7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 Bond Funds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BlackRock 1-3 Year Credit Bond Index Fund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15,330</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CCEEFF"/>
            </w:tcBorders>
          </w:tcPr>
          <w:p>
            <w:pPr>
              <w:spacing w:after="0"/>
              <w:rPr>
                <w:sz w:val="17"/>
                <w:szCs w:val="17"/>
                <w:color w:val="auto"/>
              </w:rPr>
            </w:pPr>
          </w:p>
        </w:tc>
        <w:tc>
          <w:tcPr>
            <w:tcW w:w="72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BlackRock Intermediate Term Credit Bond Index Fund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30,036</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45,366</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Government Bond Funds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BlackRock 1-3 Year Government Bond Index Fund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22,271</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CCEEFF"/>
            </w:tcBorders>
          </w:tcPr>
          <w:p>
            <w:pPr>
              <w:spacing w:after="0"/>
              <w:rPr>
                <w:sz w:val="17"/>
                <w:szCs w:val="17"/>
                <w:color w:val="auto"/>
              </w:rPr>
            </w:pPr>
          </w:p>
        </w:tc>
        <w:tc>
          <w:tcPr>
            <w:tcW w:w="72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BlackRock Intermediate Government Bond Index Fund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8,315</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30,586</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Mortgage-backed Securities Funds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BlackRock Commercial Mortgage-Backed Sec. Index Fund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8,218</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CCEEFF"/>
            </w:tcBorders>
          </w:tcPr>
          <w:p>
            <w:pPr>
              <w:spacing w:after="0"/>
              <w:rPr>
                <w:sz w:val="17"/>
                <w:szCs w:val="17"/>
                <w:color w:val="auto"/>
              </w:rPr>
            </w:pPr>
          </w:p>
        </w:tc>
        <w:tc>
          <w:tcPr>
            <w:tcW w:w="72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BlackRock Mortgage-backed Sec. Index Fund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26,260</w:t>
            </w: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34,478</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Intermediate Aggregate Fixed Income Funds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spacing w:after="0"/>
              <w:rPr>
                <w:sz w:val="17"/>
                <w:szCs w:val="17"/>
                <w:color w:val="auto"/>
              </w:rPr>
            </w:pPr>
          </w:p>
        </w:tc>
        <w:tc>
          <w:tcPr>
            <w:tcW w:w="7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Prudential Trust Company Intermediate Aggregate Fixed Income Fund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38,264</w:t>
            </w:r>
          </w:p>
        </w:tc>
        <w:tc>
          <w:tcPr>
            <w:tcW w:w="0" w:type="dxa"/>
            <w:vAlign w:val="bottom"/>
          </w:tcPr>
          <w:p>
            <w:pPr>
              <w:spacing w:after="0"/>
              <w:rPr>
                <w:sz w:val="1"/>
                <w:szCs w:val="1"/>
                <w:color w:val="auto"/>
              </w:rPr>
            </w:pPr>
          </w:p>
        </w:tc>
      </w:tr>
      <w:tr>
        <w:trPr>
          <w:trHeight w:val="243"/>
        </w:trPr>
        <w:tc>
          <w:tcPr>
            <w:tcW w:w="268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spacing w:after="0"/>
              <w:rPr>
                <w:sz w:val="17"/>
                <w:szCs w:val="17"/>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Constant Duration SGICs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169,736</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7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CCEEFF"/>
          </w:tcPr>
          <w:p>
            <w:pPr>
              <w:spacing w:after="0"/>
              <w:rPr>
                <w:sz w:val="17"/>
                <w:szCs w:val="17"/>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Fixed Maturity SGICs:</w:t>
            </w: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Treasury T 4 01/15/27 4.00% Expected Maturity 1/15/2027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 Treasury T 4 1/8 11/15/27 4.13% Expected Maturity 11/15/2027</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AmEx Crdt Acct Mst Trust AMXCA 2025-1 A 4.56% Expected Maturity 12/15/2027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AmEx Crdt Acct Mst Trust AMXCA 2025-2 A 4.28% Expected Maturity 4/17/2028</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Carmax Auto Owners Trust CARMX 2024-1 A3 4.92% Expected Maturity 7/15/2027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88"/>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World Omni Auto Rec WOART 2024-A A3 5.16% Expected Maturity 6/15/2027</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FISERV 401(k) SAVINGS PLAN</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FORM 5500, SCHEDULE H, PART IV, LINE 4i —</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SCHEDULE OF ASSETS (HELD AT END OF YEAR)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EIN: 39-1833695 Plan: 004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680" w:type="dxa"/>
            <w:vAlign w:val="bottom"/>
            <w:tcBorders>
              <w:top w:val="single" w:sz="8" w:color="auto"/>
            </w:tcBorders>
          </w:tcPr>
          <w:p>
            <w:pPr>
              <w:jc w:val="center"/>
              <w:ind w:left="28"/>
              <w:spacing w:after="0" w:line="129" w:lineRule="exact"/>
              <w:rPr>
                <w:sz w:val="20"/>
                <w:szCs w:val="20"/>
                <w:color w:val="auto"/>
              </w:rPr>
            </w:pPr>
            <w:r>
              <w:rPr>
                <w:rFonts w:ascii="Times New Roman" w:cs="Times New Roman" w:eastAsia="Times New Roman" w:hAnsi="Times New Roman"/>
                <w:sz w:val="14"/>
                <w:szCs w:val="14"/>
                <w:b w:val="1"/>
                <w:bCs w:val="1"/>
                <w:color w:val="auto"/>
              </w:rPr>
              <w:t>(b)</w:t>
            </w:r>
          </w:p>
        </w:tc>
        <w:tc>
          <w:tcPr>
            <w:tcW w:w="7120" w:type="dxa"/>
            <w:vAlign w:val="bottom"/>
            <w:tcBorders>
              <w:top w:val="single" w:sz="8" w:color="auto"/>
            </w:tcBorders>
            <w:vMerge w:val="restart"/>
          </w:tcPr>
          <w:p>
            <w:pPr>
              <w:ind w:left="3560"/>
              <w:spacing w:after="0"/>
              <w:rPr>
                <w:sz w:val="20"/>
                <w:szCs w:val="20"/>
                <w:color w:val="auto"/>
              </w:rPr>
            </w:pPr>
            <w:r>
              <w:rPr>
                <w:rFonts w:ascii="Times New Roman" w:cs="Times New Roman" w:eastAsia="Times New Roman" w:hAnsi="Times New Roman"/>
                <w:sz w:val="14"/>
                <w:szCs w:val="14"/>
                <w:b w:val="1"/>
                <w:bCs w:val="1"/>
                <w:color w:val="auto"/>
              </w:rPr>
              <w:t>(c)</w:t>
            </w:r>
          </w:p>
        </w:tc>
        <w:tc>
          <w:tcPr>
            <w:tcW w:w="1440" w:type="dxa"/>
            <w:vAlign w:val="bottom"/>
            <w:tcBorders>
              <w:top w:val="single" w:sz="8" w:color="auto"/>
            </w:tcBorders>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48"/>
        </w:trPr>
        <w:tc>
          <w:tcPr>
            <w:tcW w:w="268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Identity of Issue, Borrower, Lessor, or</w:t>
            </w:r>
          </w:p>
        </w:tc>
        <w:tc>
          <w:tcPr>
            <w:tcW w:w="712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Similar Party</w:t>
            </w:r>
          </w:p>
        </w:tc>
        <w:tc>
          <w:tcPr>
            <w:tcW w:w="71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 of Investment Including Maturity Date, Rate of Interest, Collateral, Par, or Maturity Value</w:t>
            </w:r>
          </w:p>
        </w:tc>
        <w:tc>
          <w:tcPr>
            <w:tcW w:w="14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0" w:type="dxa"/>
            <w:vAlign w:val="bottom"/>
          </w:tcPr>
          <w:p>
            <w:pPr>
              <w:spacing w:after="0"/>
              <w:rPr>
                <w:sz w:val="1"/>
                <w:szCs w:val="1"/>
                <w:color w:val="auto"/>
              </w:rPr>
            </w:pPr>
          </w:p>
        </w:tc>
      </w:tr>
      <w:tr>
        <w:trPr>
          <w:trHeight w:val="202"/>
        </w:trPr>
        <w:tc>
          <w:tcPr>
            <w:tcW w:w="2680" w:type="dxa"/>
            <w:vAlign w:val="bottom"/>
            <w:shd w:val="clear" w:color="auto" w:fill="CCEEFF"/>
          </w:tcPr>
          <w:p>
            <w:pPr>
              <w:spacing w:after="0"/>
              <w:rPr>
                <w:sz w:val="17"/>
                <w:szCs w:val="17"/>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Honda Auto Rec Ownr Trust HAROT 2024-1 A3 5.21% Expected Maturity 5/17/2027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GM Financial Auto Leasing GMALT 2024-2 A3 5.39% Expected Maturity 9/21/2026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BMW Vehicle Owner Trust BMWOT 2024-A A3 5.18% Expected Maturity 11/26/2027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Carmax Auto Owners Trust CARMX 2024-3 A3 4.89% Expected Maturity 3/15/2028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GM Financial Securitized GMCAR 2025-1 A3 4.62% Expected Maturity 10/18/2027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Mercedes-Benz Auto MBART 2025-1 A3 4.78% Expected Maturity 2/15/2028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John Deere Owner Trust JDOT 2022-B A3 3.74% Expected Maturity 4/15/2026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Case New Holland CNH 2024-A A3 4.77% Expected Maturity 1/18/2028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Daimler Trucks Retl Trust DTRT 2024-1 A3 5.49% Expected Maturity 3/15/2027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Case New Holland CNH 2024-B A3 5.19% Expected Maturity 4/17/2028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John Deere Owner Trust JDOT 2024-C A3 4.06% Expected Maturity 4/17/2028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Case New Holland CNH 2024-C A3 4.03% Expected Maturity 6/15/2028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Case New Holland CNH 2025-A A3 4.36% Expected Maturity 4/16/2029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PG&amp;E Recovery Fund LLC PCG 4.838 06/01/33 4.84% Expected Maturity 6/1/2033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Fannie Mae FNR 2018-58 P 4.00% Expected Maturity 3/25/2031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Fannie Mae FNR 2016-95 UG 2.75% Expected Maturity 1/26/2032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Fannie Mae FNR 2021-45 EA 2.50% Expected Maturity 12/26/2030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Fannie Mae FNR 2021-54 CA 2.50% Expected Maturity 3/25/2031</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Fannie Mae FNR 2022-13 MA 3.00% Expected Maturity 11/26/2032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Fannie Mae FNR 2024-73 PA 5.00% Expected Maturity 3/27/2028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Fannie Mae FNR 2019-14 DA 4.00% Expected Maturity 6/27/2033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Freddie Mac FHR 5020 XA 2.00% Expected Maturity 4/26/2032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Freddie Mac FHR 4571 CA 2.50% Expected Maturity 9/15/2028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Freddie Mac FHR 4821 NY 4.00% Expected Maturity 7/16/2029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Freddie Mac FHR 5081 NH 2.00% Expected Maturity 1/26/2032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Freddie Mac FHR 5156 HB 1.25% Expected Maturity 3/15/2032</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Freddie Mac FHR 4060 HC 3.00% Expected Maturity 2/15/2029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Freddie Mac FHR 5460 PD 4.75% Expected Maturity 4/25/2029</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Freddie Mac FHR 4533 AB 3.00% Expected Maturity 10/15/2032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Freddie Mac FHR 5398 LV 5.50% Expected Maturity 12/27/2033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Govt Natl Mortgage Assoc GNR 2012-6 LH 3.50% Expected Maturity 12/16/2026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Govt Natl Mortgage Assoc GNR 2020-78 HL 1.00% Expected Maturity 8/16/2028</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Govt Natl Mortgage Assoc GNR 2021-78 D 2.50% Expected Maturity 2/22/2033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Govt Natl Mortgage Assoc GNR 2021-137 KA 2.50% Expected Maturity 2/22/2033</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Govt Natl Mortgage Assoc GNR 2013-22 AP 2.50% Expected Maturity 8/20/2030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FISERV 401(k) SAVINGS PLAN</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FORM 5500, SCHEDULE H, PART IV, LINE 4i —</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SCHEDULE OF ASSETS (HELD AT END OF YEAR)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EIN: 39-1833695 Plan: 004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680" w:type="dxa"/>
            <w:vAlign w:val="bottom"/>
            <w:tcBorders>
              <w:top w:val="single" w:sz="8" w:color="auto"/>
            </w:tcBorders>
          </w:tcPr>
          <w:p>
            <w:pPr>
              <w:jc w:val="center"/>
              <w:ind w:left="28"/>
              <w:spacing w:after="0" w:line="129" w:lineRule="exact"/>
              <w:rPr>
                <w:sz w:val="20"/>
                <w:szCs w:val="20"/>
                <w:color w:val="auto"/>
              </w:rPr>
            </w:pPr>
            <w:r>
              <w:rPr>
                <w:rFonts w:ascii="Times New Roman" w:cs="Times New Roman" w:eastAsia="Times New Roman" w:hAnsi="Times New Roman"/>
                <w:sz w:val="14"/>
                <w:szCs w:val="14"/>
                <w:b w:val="1"/>
                <w:bCs w:val="1"/>
                <w:color w:val="auto"/>
              </w:rPr>
              <w:t>(b)</w:t>
            </w:r>
          </w:p>
        </w:tc>
        <w:tc>
          <w:tcPr>
            <w:tcW w:w="7200" w:type="dxa"/>
            <w:vAlign w:val="bottom"/>
            <w:tcBorders>
              <w:top w:val="single" w:sz="8" w:color="auto"/>
            </w:tcBorders>
            <w:vMerge w:val="restart"/>
          </w:tcPr>
          <w:p>
            <w:pPr>
              <w:ind w:left="3560"/>
              <w:spacing w:after="0"/>
              <w:rPr>
                <w:sz w:val="20"/>
                <w:szCs w:val="20"/>
                <w:color w:val="auto"/>
              </w:rPr>
            </w:pPr>
            <w:r>
              <w:rPr>
                <w:rFonts w:ascii="Times New Roman" w:cs="Times New Roman" w:eastAsia="Times New Roman" w:hAnsi="Times New Roman"/>
                <w:sz w:val="14"/>
                <w:szCs w:val="14"/>
                <w:b w:val="1"/>
                <w:bCs w:val="1"/>
                <w:color w:val="auto"/>
              </w:rPr>
              <w:t>(c)</w:t>
            </w:r>
          </w:p>
        </w:tc>
        <w:tc>
          <w:tcPr>
            <w:tcW w:w="1360" w:type="dxa"/>
            <w:vAlign w:val="bottom"/>
            <w:tcBorders>
              <w:top w:val="single" w:sz="8" w:color="auto"/>
            </w:tcBorders>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48"/>
        </w:trPr>
        <w:tc>
          <w:tcPr>
            <w:tcW w:w="268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Identity of Issue, Borrower, Lessor, or</w:t>
            </w:r>
          </w:p>
        </w:tc>
        <w:tc>
          <w:tcPr>
            <w:tcW w:w="720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Similar Party</w:t>
            </w:r>
          </w:p>
        </w:tc>
        <w:tc>
          <w:tcPr>
            <w:tcW w:w="72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 of Investment Including Maturity Date, Rate of Interest, Collateral, Par, or Maturity Value</w:t>
            </w:r>
          </w:p>
        </w:tc>
        <w:tc>
          <w:tcPr>
            <w:tcW w:w="13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Govt Natl Mortgage Assoc GNR 2022-76 AB 4.00% Expected Maturity 2/20/2031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Govt Natl Mortgage Assoc GNR 2022-180 DA 5.00% Expected Maturity 9/22/2031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Govt Natl Mortgage Assoc GNR 2022-99 PA 4.00% Expected Maturity 11/20/2030</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BANK BANK 2018-BN14 A2 4.13% Expected Maturity 5/15/2028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Citi/Deutsche Comm Mtge CD 2016-CD1 ASB 2.62% Expected Maturity 7/10/2026</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BMO Mortgage Trust BMO 2022-C3 A2 5.50% Expected Maturity 8/16/2027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Deutsche Bank Comm Mtge DBJPM 2017-C6 A4 3.07% Expected Maturity 5/10/2027</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Barclays Comm Mort Sec BBCMS 2022-C18 A2 5.50% Expected Maturity 11/25/2027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BANK5 BANK5 2024-5YR7 A3 5.77% Expected Maturity 6/15/2029</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Benchmark Mortgage Trust BMARK 2024-V9 A3 5.60% Expected Maturity 8/15/2029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BANK5 BANK5 2025-5YR17 A2 4.75% Expected Maturity 8/15/2030</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World Omni Auto Rec WOART 2022-C A3 3.66% Expected Maturity 5/15/2026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Nissan Auto Rec OT NAROT 2022-B A3 4.46% Expected Maturity 6/15/2026</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John Deere Owner Trust JDOT 2022-B A3 3.74% Expected Maturity 4/15/2026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Case New Holland CNH 2022-B A3 3.89% Expected Maturity 8/17/2026</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Fannie Mae FNR 2018-58 P 4.00% Expected Maturity 3/25/2031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Fannie Mae FNR 2021-54 CA 2.50% Expected Maturity 3/25/2031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Fannie Mae FNR 2016-21 BV 3.00% Expected Maturity 10/25/2027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Fannie Mae FNR 2022-54 DA 4.50% Expected Maturity 11/25/2030</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Freddie Mac FHR 5057 AB 2.50% Expected Maturity 10/25/2032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Freddie Mac FHR 4569 A 2.50% Expected Maturity 11/15/2027</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Freddie Mac FHR 4821 NY 4.00% Expected Maturity 7/16/2029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Freddie Mac FHR 5081 NH 2.00% Expected Maturity 1/26/2032</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Freddie Mac FHR 5254 A 4.50% Expected Maturity 12/26/2030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Freddie Mac FHR 5263 EA 4.00% Expected Maturity 11/26/2029</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Govt Natl Mortgage Assoc GNR 2020-164 KP 1.75% Expected Maturity 2/20/2031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Govt Natl Mortgage Assoc GNR 2021-8 TP 2.50% Expected Maturity 7/21/2036</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Govt Natl Mortgage Assoc GNR 2021-78 D 2.50% Expected Maturity 2/22/2033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Govt Natl Mortgage Assoc GNR 2022-180 DA 5.00% Expected Maturity 9/22/2031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Benchmark Mortgage Trust BMARK 2021-B26 A2 1.96% Expected Maturity 5/15/2026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BMO Mortgage Trust BMO 2022-C3 A2 5.50% Expected Maturity 8/16/2027</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Citi/Deutsche Comm Mtge CD 2016-CD2 A3 3.25% Expected Maturity 10/13/2026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Deutsche Bank Comm Mtge DBJPM 2017-C6 A4 3.07% Expected Maturity 5/10/2027</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Barclays Comm Mort Sec BBCMS 2022-C18 A2 5.50% Expected Maturity 11/15/2027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BANK BANK 2023-BNK45 A2 5.66% Expected Maturity 1/18/2028</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FISERV 401(k) SAVINGS PLAN</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FORM 5500, SCHEDULE H, PART IV, LINE 4i —</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SCHEDULE OF ASSETS (HELD AT END OF YEAR)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EIN: 39-1833695 Plan: 004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680" w:type="dxa"/>
            <w:vAlign w:val="bottom"/>
            <w:tcBorders>
              <w:top w:val="single" w:sz="8" w:color="auto"/>
            </w:tcBorders>
          </w:tcPr>
          <w:p>
            <w:pPr>
              <w:jc w:val="center"/>
              <w:ind w:left="28"/>
              <w:spacing w:after="0" w:line="129" w:lineRule="exact"/>
              <w:rPr>
                <w:sz w:val="20"/>
                <w:szCs w:val="20"/>
                <w:color w:val="auto"/>
              </w:rPr>
            </w:pPr>
            <w:r>
              <w:rPr>
                <w:rFonts w:ascii="Times New Roman" w:cs="Times New Roman" w:eastAsia="Times New Roman" w:hAnsi="Times New Roman"/>
                <w:sz w:val="14"/>
                <w:szCs w:val="14"/>
                <w:b w:val="1"/>
                <w:bCs w:val="1"/>
                <w:color w:val="auto"/>
              </w:rPr>
              <w:t>(b)</w:t>
            </w:r>
          </w:p>
        </w:tc>
        <w:tc>
          <w:tcPr>
            <w:tcW w:w="7200" w:type="dxa"/>
            <w:vAlign w:val="bottom"/>
            <w:tcBorders>
              <w:top w:val="single" w:sz="8" w:color="auto"/>
            </w:tcBorders>
            <w:vMerge w:val="restart"/>
          </w:tcPr>
          <w:p>
            <w:pPr>
              <w:ind w:left="3560"/>
              <w:spacing w:after="0"/>
              <w:rPr>
                <w:sz w:val="20"/>
                <w:szCs w:val="20"/>
                <w:color w:val="auto"/>
              </w:rPr>
            </w:pPr>
            <w:r>
              <w:rPr>
                <w:rFonts w:ascii="Times New Roman" w:cs="Times New Roman" w:eastAsia="Times New Roman" w:hAnsi="Times New Roman"/>
                <w:sz w:val="14"/>
                <w:szCs w:val="14"/>
                <w:b w:val="1"/>
                <w:bCs w:val="1"/>
                <w:color w:val="auto"/>
              </w:rPr>
              <w:t>(c)</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48"/>
        </w:trPr>
        <w:tc>
          <w:tcPr>
            <w:tcW w:w="268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Identity of Issue, Borrower, Lessor, or</w:t>
            </w:r>
          </w:p>
        </w:tc>
        <w:tc>
          <w:tcPr>
            <w:tcW w:w="7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Similar Party</w:t>
            </w:r>
          </w:p>
        </w:tc>
        <w:tc>
          <w:tcPr>
            <w:tcW w:w="72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 of Investment Including Maturity Date, Rate of Interest, Collateral, Par, or Maturity Value</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0" w:type="dxa"/>
            <w:vAlign w:val="bottom"/>
          </w:tcPr>
          <w:p>
            <w:pPr>
              <w:spacing w:after="0"/>
              <w:rPr>
                <w:sz w:val="1"/>
                <w:szCs w:val="1"/>
                <w:color w:val="auto"/>
              </w:rPr>
            </w:pPr>
          </w:p>
        </w:tc>
      </w:tr>
      <w:tr>
        <w:trPr>
          <w:trHeight w:val="243"/>
        </w:trPr>
        <w:tc>
          <w:tcPr>
            <w:tcW w:w="2680" w:type="dxa"/>
            <w:vAlign w:val="bottom"/>
            <w:shd w:val="clear" w:color="auto" w:fill="CCEEFF"/>
          </w:tcPr>
          <w:p>
            <w:pPr>
              <w:spacing w:after="0"/>
              <w:rPr>
                <w:sz w:val="21"/>
                <w:szCs w:val="21"/>
                <w:color w:val="auto"/>
              </w:rPr>
            </w:pPr>
          </w:p>
        </w:tc>
        <w:tc>
          <w:tcPr>
            <w:tcW w:w="7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Fixed Maturity SGICs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28,156</w:t>
            </w:r>
          </w:p>
        </w:tc>
        <w:tc>
          <w:tcPr>
            <w:tcW w:w="0" w:type="dxa"/>
            <w:vAlign w:val="bottom"/>
          </w:tcPr>
          <w:p>
            <w:pPr>
              <w:spacing w:after="0"/>
              <w:rPr>
                <w:sz w:val="1"/>
                <w:szCs w:val="1"/>
                <w:color w:val="auto"/>
              </w:rPr>
            </w:pPr>
          </w:p>
        </w:tc>
      </w:tr>
      <w:tr>
        <w:trPr>
          <w:trHeight w:val="264"/>
        </w:trPr>
        <w:tc>
          <w:tcPr>
            <w:tcW w:w="2680" w:type="dxa"/>
            <w:vAlign w:val="bottom"/>
            <w:shd w:val="clear" w:color="auto" w:fill="CCEEFF"/>
          </w:tcPr>
          <w:p>
            <w:pPr>
              <w:spacing w:after="0"/>
              <w:rPr>
                <w:sz w:val="22"/>
                <w:szCs w:val="22"/>
                <w:color w:val="auto"/>
              </w:rPr>
            </w:pPr>
          </w:p>
        </w:tc>
        <w:tc>
          <w:tcPr>
            <w:tcW w:w="7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Stable Value Fund</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224,849</w:t>
            </w:r>
          </w:p>
        </w:tc>
        <w:tc>
          <w:tcPr>
            <w:tcW w:w="0" w:type="dxa"/>
            <w:vAlign w:val="bottom"/>
          </w:tcPr>
          <w:p>
            <w:pPr>
              <w:spacing w:after="0"/>
              <w:rPr>
                <w:sz w:val="1"/>
                <w:szCs w:val="1"/>
                <w:color w:val="auto"/>
              </w:rPr>
            </w:pPr>
          </w:p>
        </w:tc>
      </w:tr>
      <w:tr>
        <w:trPr>
          <w:trHeight w:val="264"/>
        </w:trPr>
        <w:tc>
          <w:tcPr>
            <w:tcW w:w="2680" w:type="dxa"/>
            <w:vAlign w:val="bottom"/>
            <w:shd w:val="clear" w:color="auto" w:fill="CCEEFF"/>
          </w:tcPr>
          <w:p>
            <w:pPr>
              <w:spacing w:after="0"/>
              <w:rPr>
                <w:sz w:val="22"/>
                <w:szCs w:val="22"/>
                <w:color w:val="auto"/>
              </w:rPr>
            </w:pPr>
          </w:p>
        </w:tc>
        <w:tc>
          <w:tcPr>
            <w:tcW w:w="7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BlackRock Liquidity Fund</w:t>
            </w: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Money Market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*Fiserv Stock Fund:</w:t>
            </w:r>
          </w:p>
        </w:tc>
        <w:tc>
          <w:tcPr>
            <w:tcW w:w="7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*Fiserv, Inc. common stock</w:t>
            </w:r>
          </w:p>
        </w:tc>
        <w:tc>
          <w:tcPr>
            <w:tcW w:w="7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Company Stock Fund</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56,051</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The Vanguard Group</w:t>
            </w: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Money Market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95"/>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*Self-Directed Brokerage Accounts</w:t>
            </w:r>
          </w:p>
        </w:tc>
        <w:tc>
          <w:tcPr>
            <w:tcW w:w="7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268,026</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 from participants</w:t>
            </w: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rates ranging from 4.25% to 10.50%, maturity dates through 2040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49,539</w:t>
            </w:r>
          </w:p>
        </w:tc>
        <w:tc>
          <w:tcPr>
            <w:tcW w:w="0" w:type="dxa"/>
            <w:vAlign w:val="bottom"/>
          </w:tcPr>
          <w:p>
            <w:pPr>
              <w:spacing w:after="0"/>
              <w:rPr>
                <w:sz w:val="1"/>
                <w:szCs w:val="1"/>
                <w:color w:val="auto"/>
              </w:rPr>
            </w:pPr>
          </w:p>
        </w:tc>
      </w:tr>
      <w:tr>
        <w:trPr>
          <w:trHeight w:val="257"/>
        </w:trPr>
        <w:tc>
          <w:tcPr>
            <w:tcW w:w="9880" w:type="dxa"/>
            <w:vAlign w:val="bottom"/>
            <w:tcBorders>
              <w:bottom w:val="single" w:sz="8" w:color="CCEEFF"/>
            </w:tcBorders>
            <w:gridSpan w:val="2"/>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9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 (HELD FOR INVESTMENT AT END OF YEAR)</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5,383,911</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*Represents a party-in-interest</w:t>
            </w:r>
          </w:p>
        </w:tc>
        <w:tc>
          <w:tcPr>
            <w:tcW w:w="7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680" w:type="dxa"/>
            <w:vAlign w:val="bottom"/>
            <w:vMerge w:val="continue"/>
          </w:tcPr>
          <w:p>
            <w:pPr>
              <w:spacing w:after="0"/>
              <w:rPr>
                <w:sz w:val="24"/>
                <w:szCs w:val="24"/>
                <w:color w:val="auto"/>
              </w:rPr>
            </w:pPr>
          </w:p>
        </w:tc>
        <w:tc>
          <w:tcPr>
            <w:tcW w:w="7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information is not required for participant-directed investments and therefore is not included.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1240"/>
          </w:cols>
          <w:pgMar w:left="320" w:top="121"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jc w:val="both"/>
        <w:ind w:right="38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333-235769 of Fiserv, Inc. on Form S-8 of our report dated June 25, 2026, relating to the financial statements and supplemental schedule of the Fiserv 401(k) Savings Plan, appearing in this Annual Report on Form 11-K of the Fiserv 401(k) Savings Plan as of December 31, 2025 and 2024 and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2026</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2026-06-25T15:58:53Z</dcterms:created>
  <dcterms:modified xsi:type="dcterms:W3CDTF">2026-06-25T15:58:53Z</dcterms:modified>
</cp:coreProperties>
</file>