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May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31" w:lineRule="exact"/>
        <w:rPr>
          <w:sz w:val="24"/>
          <w:szCs w:val="24"/>
          <w:color w:val="auto"/>
        </w:rPr>
      </w:pPr>
    </w:p>
    <w:p>
      <w:pPr>
        <w:sectPr>
          <w:pgSz w:w="11900" w:h="16838" w:orient="portrait"/>
          <w:cols w:equalWidth="0" w:num="3">
            <w:col w:w="4600" w:space="720"/>
            <w:col w:w="2780" w:space="720"/>
            <w:col w:w="2200"/>
          </w:cols>
          <w:pgMar w:left="440" w:top="382" w:right="439" w:bottom="1440" w:gutter="0" w:footer="0" w:header="0"/>
          <w:type w:val="continuous"/>
        </w:sectPr>
      </w:pPr>
    </w:p>
    <w:p>
      <w:pPr>
        <w:spacing w:after="0" w:line="19" w:lineRule="exact"/>
        <w:rPr>
          <w:sz w:val="24"/>
          <w:szCs w:val="24"/>
          <w:color w:val="auto"/>
        </w:rPr>
      </w:pPr>
    </w:p>
    <w:p>
      <w:pPr>
        <w:jc w:val="center"/>
        <w:ind w:right="740"/>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255 Fiserv Drive, Brookfield, Wisconsin 53045</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38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00" w:firstLine="436"/>
        <w:spacing w:after="0" w:line="417" w:lineRule="auto"/>
        <w:tabs>
          <w:tab w:leader="none" w:pos="9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3"/>
                <w:szCs w:val="13"/>
                <w:color w:val="auto"/>
              </w:rPr>
            </w:pPr>
          </w:p>
        </w:tc>
        <w:tc>
          <w:tcPr>
            <w:tcW w:w="35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3"/>
                <w:szCs w:val="13"/>
                <w:color w:val="auto"/>
              </w:rPr>
            </w:pP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4"/>
              </w:rPr>
              <w:t>FISV</w:t>
            </w:r>
          </w:p>
        </w:tc>
        <w:tc>
          <w:tcPr>
            <w:tcW w:w="10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0.375% Senior Notes due 2023</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FISV23</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1.125% Senior Notes due 2027</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FISV27</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1.625% Senior Notes due 2030</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FISV30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0"/>
              </w:rPr>
              <w:t>2.250% Senior Notes due 2025</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FISV25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0"/>
              </w:rPr>
              <w:t>3.000% Senior Notes due 2031</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FISV31</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Entry into a Material Definitive Agreement</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Euro Notes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24, 2023, Fiserv, Inc. (the “Company”) completed the public offering and issuance of €800,000,000 aggregate principal amount of its 4.500% Senior Notes due 2031 (the “Notes”).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Notes were issued under an Indenture (the “Indenture”), dated as of November 20, 2007, between the Company and U.S. Bank Trust Company, National Association (f/k/a U.S. Bank National Association), as trustee (the “Trustee”), as supplemented by the Twenty-Ninth Supplemental Indenture, establishing the terms and providing for the issuance of the Notes (the “Supplemental Indenture”), dated as of May 24, 2023 by and between the Company and the Trustee. Pursuant to an Agency Agreement, dated as of May 24, 2023 (the “Agency Agreement”), the Company has appointed Elavon Financial Services DAC, UK Branch to act as paying agent for the Notes.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Maturity</w:t>
      </w:r>
    </w:p>
    <w:p>
      <w:pPr>
        <w:spacing w:after="0" w:line="11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Supplemental Indenture and the form of the Notes that is included therein provide, among other things, that the Notes bear interest at a rate of 4.500% per year (payable annually in arrears on May 24 of each year, beginning on May 24, 2024) and will mature on May 24, 2031.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Prior to February 24, 2031 (three months prior to the maturity date of the Notes) (the “Par Call Date”), the Company may redeem the Notes at the Company’s option, in whole or in part, at any time and from time to time, at a redemption price (expressed as a percentage of principal amount and rounded to three decimal places) equal to the greater of: (a) the sum of the present values of the remaining scheduled payments of principal and interest on the Notes to be redeemed discounted to the redemption date (assuming that such Notes matured on the Par Call Date), on an annual (ACTUAL/ACTUAL (ICMA)) basis at a rate equal to the comparable government bond rate, plus 35 basis points, less interest accrued to the date of redemption; and (b) 100% of the principal amount of the Notes to be redeemed; </w:t>
      </w:r>
      <w:r>
        <w:rPr>
          <w:rFonts w:ascii="Arial" w:cs="Arial" w:eastAsia="Arial" w:hAnsi="Arial"/>
          <w:sz w:val="18"/>
          <w:szCs w:val="18"/>
          <w:i w:val="1"/>
          <w:iCs w:val="1"/>
          <w:color w:val="auto"/>
        </w:rPr>
        <w:t>plus</w:t>
      </w:r>
      <w:r>
        <w:rPr>
          <w:rFonts w:ascii="Arial" w:cs="Arial" w:eastAsia="Arial" w:hAnsi="Arial"/>
          <w:sz w:val="18"/>
          <w:szCs w:val="18"/>
          <w:color w:val="auto"/>
        </w:rPr>
        <w:t>, in either case, accrued and unpaid interest on the Notes to, but not including, the redemption date. 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Upon a Change of Control Triggering Event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is required to offer to repurchase the Notes for cash at a price of 101% of the aggregate principal amount of the Notes outstanding on the date of a change of control triggering event, plus accrued and unpaid interest.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Indenture and the Supplemental Indenture contain customary events of default. If an event of default occurs and is continuing with respect to the Notes, then the Trustee or the holders of at least 25% of the principal amount of the outstanding Notes may declare the Notes to be due and payable immediately. In addition, in the case of an event of default arising from certain events of bankruptcy, insolvency or reorganization, all outstanding Notes will become due and payable immediately.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Documentation</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descriptions of the Supplemental Indenture and the Agency Agreement set forth above are qualified by reference to the Supplemental Indenture and the Agency Agreement filed as Exhibits 4.1 and 4.2, respectively, to this Current Report on Form 8-K and incorporated by reference herein.</w:t>
      </w:r>
    </w:p>
    <w:p>
      <w:pPr>
        <w:spacing w:after="0" w:line="2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u w:val="single" w:color="auto"/>
          <w:color w:val="auto"/>
        </w:rPr>
        <w:t>Item 2.03</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Creation of a Direct Financial Obligation or an Obligation under an Off-Balance Sheet Arrangement of a Registrant</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1.01 of this Current Report on Form 8-K is incorporated herein by reference into this Item 2.03.</w:t>
      </w:r>
    </w:p>
    <w:p>
      <w:pPr>
        <w:sectPr>
          <w:pgSz w:w="11900" w:h="16838" w:orient="portrait"/>
          <w:cols w:equalWidth="0" w:num="1">
            <w:col w:w="10980"/>
          </w:cols>
          <w:pgMar w:left="440" w:top="513" w:right="47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Other Events</w:t>
      </w:r>
      <w:r>
        <w:rPr>
          <w:rFonts w:ascii="Arial" w:cs="Arial" w:eastAsia="Arial" w:hAnsi="Arial"/>
          <w:sz w:val="16"/>
          <w:szCs w:val="16"/>
          <w:b w:val="1"/>
          <w:bCs w:val="1"/>
          <w:color w:val="auto"/>
        </w:rPr>
        <w: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Notes are registered under the Securities Act of 1933, as amended, pursuant to a Registration Statement on Form S-3 (Registration No. 333-258248) that the Company filed with the Securities and Exchange Commission on July 29, 2021. The Company is filing certain exhibits as part of this Current Report on Form 8-K for purposes of such Registration Statement. See “Item 9.01. Financial Statements and Exhibits.”</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Financial Statements and Exhibits</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being 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000" w:type="dxa"/>
            <w:vAlign w:val="bottom"/>
            <w:gridSpan w:val="8"/>
          </w:tcPr>
          <w:p>
            <w:pPr>
              <w:ind w:left="40"/>
              <w:spacing w:after="0"/>
              <w:rPr>
                <w:sz w:val="20"/>
                <w:szCs w:val="20"/>
                <w:color w:val="auto"/>
              </w:rPr>
            </w:pPr>
            <w:r>
              <w:rPr>
                <w:rFonts w:ascii="Arial" w:cs="Arial" w:eastAsia="Arial" w:hAnsi="Arial"/>
                <w:sz w:val="18"/>
                <w:szCs w:val="18"/>
                <w:color w:val="auto"/>
              </w:rPr>
              <w:t>Exhibit Index to Current Report on Form 8-K</w:t>
            </w:r>
          </w:p>
        </w:tc>
      </w:tr>
      <w:tr>
        <w:trPr>
          <w:trHeight w:val="369"/>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180" w:type="dxa"/>
            <w:vAlign w:val="bottom"/>
            <w:gridSpan w:val="7"/>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83"/>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2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Twenty-Ninth Supplemental Indenture, dated as of May 24, 2023, between Fiserv, Inc. and U.S. Bank Trust Company, National</w:t>
            </w:r>
          </w:p>
        </w:tc>
        <w:tc>
          <w:tcPr>
            <w:tcW w:w="5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80" w:type="dxa"/>
            <w:vAlign w:val="bottom"/>
            <w:gridSpan w:val="9"/>
          </w:tcPr>
          <w:p>
            <w:pPr>
              <w:spacing w:after="0" w:line="196" w:lineRule="exact"/>
              <w:rPr>
                <w:sz w:val="20"/>
                <w:szCs w:val="20"/>
                <w:color w:val="auto"/>
              </w:rPr>
            </w:pPr>
            <w:r>
              <w:rPr>
                <w:rFonts w:ascii="Arial" w:cs="Arial" w:eastAsia="Arial" w:hAnsi="Arial"/>
                <w:sz w:val="18"/>
                <w:szCs w:val="18"/>
                <w:color w:val="0000EE"/>
              </w:rPr>
              <w:t>Association (including Form of 4.500% Senior Notes due 2031).</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Agency Agreement, dated as of May 24, 2023, by and among the Fiserv, Inc., as issuer, Elavon Financial Services DAC, UK Branch, as</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1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paying agent, and U.S. Bank Trust Company, National Association, as trustee and security registrar.</w:t>
            </w:r>
          </w:p>
        </w:tc>
        <w:tc>
          <w:tcPr>
            <w:tcW w:w="2600" w:type="dxa"/>
            <w:vAlign w:val="bottom"/>
            <w:gridSpan w:val="3"/>
          </w:tcPr>
          <w:p>
            <w:pPr>
              <w:spacing w:after="0"/>
              <w:rPr>
                <w:sz w:val="17"/>
                <w:szCs w:val="17"/>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27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5"/>
              </w:rPr>
              <w:t>Opinion of Sullivan &amp; Cromwell LLP.</w:t>
            </w:r>
          </w:p>
        </w:tc>
        <w:tc>
          <w:tcPr>
            <w:tcW w:w="7000" w:type="dxa"/>
            <w:vAlign w:val="bottom"/>
            <w:gridSpan w:val="8"/>
          </w:tcPr>
          <w:p>
            <w:pPr>
              <w:spacing w:after="0"/>
              <w:rPr>
                <w:sz w:val="24"/>
                <w:szCs w:val="24"/>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5.2</w:t>
            </w:r>
          </w:p>
        </w:tc>
        <w:tc>
          <w:tcPr>
            <w:tcW w:w="540" w:type="dxa"/>
            <w:vAlign w:val="bottom"/>
          </w:tcPr>
          <w:p>
            <w:pPr>
              <w:spacing w:after="0"/>
              <w:rPr>
                <w:sz w:val="24"/>
                <w:szCs w:val="24"/>
                <w:color w:val="auto"/>
              </w:rPr>
            </w:pPr>
          </w:p>
        </w:tc>
        <w:tc>
          <w:tcPr>
            <w:tcW w:w="54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Opinion of Eric Nelson, SVP, General Counsel and Secretary of Fiserv, Inc.</w:t>
            </w:r>
          </w:p>
        </w:tc>
        <w:tc>
          <w:tcPr>
            <w:tcW w:w="4320" w:type="dxa"/>
            <w:vAlign w:val="bottom"/>
            <w:gridSpan w:val="4"/>
          </w:tcPr>
          <w:p>
            <w:pPr>
              <w:spacing w:after="0"/>
              <w:rPr>
                <w:sz w:val="24"/>
                <w:szCs w:val="24"/>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0000EE"/>
              </w:rPr>
              <w:t>Consent of Sullivan &amp; Cromwell LLP (included in Exhibit 5.1).</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0" w:type="dxa"/>
            <w:vAlign w:val="bottom"/>
            <w:gridSpan w:val="2"/>
            <w:shd w:val="clear" w:color="auto" w:fill="0000EE"/>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73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Consent of Eric Nelson, SVP, General Counsel and Secretary of Fiserv, Inc. (included in Exhibit 5.2).</w:t>
            </w:r>
          </w:p>
        </w:tc>
        <w:tc>
          <w:tcPr>
            <w:tcW w:w="2460" w:type="dxa"/>
            <w:vAlign w:val="bottom"/>
            <w:gridSpan w:val="2"/>
          </w:tcPr>
          <w:p>
            <w:pPr>
              <w:spacing w:after="0"/>
              <w:rPr>
                <w:sz w:val="24"/>
                <w:szCs w:val="24"/>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00"/>
          </w:cols>
          <w:pgMar w:left="440" w:top="513" w:right="459" w:bottom="1440" w:gutter="0" w:footer="0" w:header="0"/>
        </w:sectPr>
      </w:pPr>
    </w:p>
    <w:bookmarkStart w:id="3" w:name="page4"/>
    <w:bookmarkEnd w:id="3"/>
    <w:p>
      <w:pPr>
        <w:ind w:left="50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ind w:left="180"/>
        <w:spacing w:after="0"/>
        <w:tabs>
          <w:tab w:leader="none" w:pos="5600" w:val="left"/>
          <w:tab w:leader="none" w:pos="6040" w:val="left"/>
        </w:tabs>
        <w:rPr>
          <w:sz w:val="20"/>
          <w:szCs w:val="20"/>
          <w:color w:val="auto"/>
        </w:rPr>
      </w:pPr>
      <w:r>
        <w:rPr>
          <w:rFonts w:ascii="Arial" w:cs="Arial" w:eastAsia="Arial" w:hAnsi="Arial"/>
          <w:sz w:val="18"/>
          <w:szCs w:val="18"/>
          <w:color w:val="auto"/>
        </w:rPr>
        <w:t>Date: May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W. Hau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51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TWENTY-NINTH SUPPLEMENTAL INDENTURE</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May 24, 2023</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Supplementing that Certain</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INDENTURE</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November 20, 2007</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Between</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FISERV, INC.</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U.S. BANK TRUST COMPANY, NATIONAL ASSOCIATION,</w:t>
      </w:r>
    </w:p>
    <w:p>
      <w:pPr>
        <w:spacing w:after="0" w:line="1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Trustee</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4.500% SENIOR NOTES DUE 2031</w:t>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7220" w:type="dxa"/>
            <w:vAlign w:val="bottom"/>
          </w:tcPr>
          <w:p>
            <w:pPr>
              <w:ind w:left="2780"/>
              <w:spacing w:after="0"/>
              <w:rPr>
                <w:sz w:val="20"/>
                <w:szCs w:val="20"/>
                <w:color w:val="auto"/>
              </w:rPr>
            </w:pPr>
            <w:r>
              <w:rPr>
                <w:rFonts w:ascii="Arial" w:cs="Arial" w:eastAsia="Arial" w:hAnsi="Arial"/>
                <w:sz w:val="18"/>
                <w:szCs w:val="18"/>
                <w:b w:val="1"/>
                <w:bCs w:val="1"/>
                <w:color w:val="auto"/>
              </w:rPr>
              <w:t>TABLE OF CONTENTS</w:t>
            </w:r>
          </w:p>
        </w:tc>
        <w:tc>
          <w:tcPr>
            <w:tcW w:w="1980" w:type="dxa"/>
            <w:vAlign w:val="bottom"/>
          </w:tcPr>
          <w:p>
            <w:pPr>
              <w:spacing w:after="0"/>
              <w:rPr>
                <w:sz w:val="20"/>
                <w:szCs w:val="20"/>
                <w:color w:val="auto"/>
              </w:rPr>
            </w:pPr>
          </w:p>
        </w:tc>
      </w:tr>
      <w:tr>
        <w:trPr>
          <w:trHeight w:val="459"/>
        </w:trPr>
        <w:tc>
          <w:tcPr>
            <w:tcW w:w="8980" w:type="dxa"/>
            <w:vAlign w:val="bottom"/>
            <w:gridSpan w:val="2"/>
          </w:tcPr>
          <w:p>
            <w:pPr>
              <w:spacing w:after="0"/>
              <w:rPr>
                <w:sz w:val="20"/>
                <w:szCs w:val="20"/>
                <w:color w:val="auto"/>
              </w:rPr>
            </w:pPr>
            <w:r>
              <w:rPr>
                <w:rFonts w:ascii="Arial" w:cs="Arial" w:eastAsia="Arial" w:hAnsi="Arial"/>
                <w:sz w:val="18"/>
                <w:szCs w:val="18"/>
                <w:color w:val="auto"/>
              </w:rPr>
              <w:t>Article I DEFINITIONS AND OTHER PROVISIONS OF GENERAL APPLICATION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Article II ISSUANCE OF SECURITIES</w:t>
            </w: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2.1</w:t>
            </w:r>
          </w:p>
        </w:tc>
        <w:tc>
          <w:tcPr>
            <w:tcW w:w="7220" w:type="dxa"/>
            <w:vAlign w:val="bottom"/>
          </w:tcPr>
          <w:p>
            <w:pPr>
              <w:ind w:left="100"/>
              <w:spacing w:after="0"/>
              <w:rPr>
                <w:sz w:val="20"/>
                <w:szCs w:val="20"/>
                <w:color w:val="auto"/>
              </w:rPr>
            </w:pPr>
            <w:r>
              <w:rPr>
                <w:rFonts w:ascii="Arial" w:cs="Arial" w:eastAsia="Arial" w:hAnsi="Arial"/>
                <w:sz w:val="18"/>
                <w:szCs w:val="18"/>
                <w:color w:val="auto"/>
              </w:rPr>
              <w:t>Issuance of Notes; Principal Amount; Maturity</w:t>
            </w: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2.2</w:t>
            </w:r>
          </w:p>
        </w:tc>
        <w:tc>
          <w:tcPr>
            <w:tcW w:w="722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2.3</w:t>
            </w:r>
          </w:p>
        </w:tc>
        <w:tc>
          <w:tcPr>
            <w:tcW w:w="7220" w:type="dxa"/>
            <w:vAlign w:val="bottom"/>
          </w:tcPr>
          <w:p>
            <w:pPr>
              <w:ind w:left="100"/>
              <w:spacing w:after="0"/>
              <w:rPr>
                <w:sz w:val="20"/>
                <w:szCs w:val="20"/>
                <w:color w:val="auto"/>
              </w:rPr>
            </w:pPr>
            <w:r>
              <w:rPr>
                <w:rFonts w:ascii="Arial" w:cs="Arial" w:eastAsia="Arial" w:hAnsi="Arial"/>
                <w:sz w:val="18"/>
                <w:szCs w:val="18"/>
                <w:color w:val="auto"/>
              </w:rPr>
              <w:t>Relationship with Indenture</w:t>
            </w:r>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8980" w:type="dxa"/>
            <w:vAlign w:val="bottom"/>
            <w:gridSpan w:val="2"/>
          </w:tcPr>
          <w:p>
            <w:pPr>
              <w:jc w:val="center"/>
              <w:ind w:right="6590"/>
              <w:spacing w:after="0"/>
              <w:rPr>
                <w:sz w:val="20"/>
                <w:szCs w:val="20"/>
                <w:color w:val="auto"/>
              </w:rPr>
            </w:pPr>
            <w:r>
              <w:rPr>
                <w:rFonts w:ascii="Arial" w:cs="Arial" w:eastAsia="Arial" w:hAnsi="Arial"/>
                <w:sz w:val="18"/>
                <w:szCs w:val="18"/>
                <w:color w:val="auto"/>
                <w:w w:val="97"/>
              </w:rPr>
              <w:t>Article III SECURITY FORMS</w:t>
            </w:r>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3.1</w:t>
            </w:r>
          </w:p>
        </w:tc>
        <w:tc>
          <w:tcPr>
            <w:tcW w:w="7220" w:type="dxa"/>
            <w:vAlign w:val="bottom"/>
          </w:tcPr>
          <w:p>
            <w:pPr>
              <w:ind w:left="100"/>
              <w:spacing w:after="0"/>
              <w:rPr>
                <w:sz w:val="20"/>
                <w:szCs w:val="20"/>
                <w:color w:val="auto"/>
              </w:rPr>
            </w:pPr>
            <w:r>
              <w:rPr>
                <w:rFonts w:ascii="Arial" w:cs="Arial" w:eastAsia="Arial" w:hAnsi="Arial"/>
                <w:sz w:val="18"/>
                <w:szCs w:val="18"/>
                <w:color w:val="auto"/>
              </w:rPr>
              <w:t>Form Generally</w:t>
            </w:r>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3.2</w:t>
            </w:r>
          </w:p>
        </w:tc>
        <w:tc>
          <w:tcPr>
            <w:tcW w:w="7220" w:type="dxa"/>
            <w:vAlign w:val="bottom"/>
          </w:tcPr>
          <w:p>
            <w:pPr>
              <w:ind w:left="100"/>
              <w:spacing w:after="0"/>
              <w:rPr>
                <w:sz w:val="20"/>
                <w:szCs w:val="20"/>
                <w:color w:val="auto"/>
              </w:rPr>
            </w:pPr>
            <w:r>
              <w:rPr>
                <w:rFonts w:ascii="Arial" w:cs="Arial" w:eastAsia="Arial" w:hAnsi="Arial"/>
                <w:sz w:val="18"/>
                <w:szCs w:val="18"/>
                <w:color w:val="auto"/>
              </w:rPr>
              <w:t>Form of Note</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3.3</w:t>
            </w:r>
          </w:p>
        </w:tc>
        <w:tc>
          <w:tcPr>
            <w:tcW w:w="7220" w:type="dxa"/>
            <w:vAlign w:val="bottom"/>
          </w:tcPr>
          <w:p>
            <w:pPr>
              <w:ind w:left="100"/>
              <w:spacing w:after="0"/>
              <w:rPr>
                <w:sz w:val="20"/>
                <w:szCs w:val="20"/>
                <w:color w:val="auto"/>
              </w:rPr>
            </w:pPr>
            <w:r>
              <w:rPr>
                <w:rFonts w:ascii="Arial" w:cs="Arial" w:eastAsia="Arial" w:hAnsi="Arial"/>
                <w:sz w:val="18"/>
                <w:szCs w:val="18"/>
                <w:color w:val="auto"/>
              </w:rPr>
              <w:t>Form of Purchase Notice</w:t>
            </w:r>
          </w:p>
        </w:tc>
        <w:tc>
          <w:tcPr>
            <w:tcW w:w="1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3.4</w:t>
            </w:r>
          </w:p>
        </w:tc>
        <w:tc>
          <w:tcPr>
            <w:tcW w:w="7220" w:type="dxa"/>
            <w:vAlign w:val="bottom"/>
          </w:tcPr>
          <w:p>
            <w:pPr>
              <w:ind w:left="100"/>
              <w:spacing w:after="0"/>
              <w:rPr>
                <w:sz w:val="20"/>
                <w:szCs w:val="20"/>
                <w:color w:val="auto"/>
              </w:rPr>
            </w:pPr>
            <w:r>
              <w:rPr>
                <w:rFonts w:ascii="Arial" w:cs="Arial" w:eastAsia="Arial" w:hAnsi="Arial"/>
                <w:sz w:val="18"/>
                <w:szCs w:val="18"/>
                <w:color w:val="auto"/>
              </w:rPr>
              <w:t>Form of Certificate of Authentication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IV REMEDIES</w:t>
            </w:r>
          </w:p>
        </w:tc>
        <w:tc>
          <w:tcPr>
            <w:tcW w:w="72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4.1</w:t>
            </w:r>
          </w:p>
        </w:tc>
        <w:tc>
          <w:tcPr>
            <w:tcW w:w="722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1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4.2</w:t>
            </w:r>
          </w:p>
        </w:tc>
        <w:tc>
          <w:tcPr>
            <w:tcW w:w="7220" w:type="dxa"/>
            <w:vAlign w:val="bottom"/>
          </w:tcPr>
          <w:p>
            <w:pPr>
              <w:ind w:left="100"/>
              <w:spacing w:after="0"/>
              <w:rPr>
                <w:sz w:val="20"/>
                <w:szCs w:val="20"/>
                <w:color w:val="auto"/>
              </w:rPr>
            </w:pPr>
            <w:r>
              <w:rPr>
                <w:rFonts w:ascii="Arial" w:cs="Arial" w:eastAsia="Arial" w:hAnsi="Arial"/>
                <w:sz w:val="18"/>
                <w:szCs w:val="18"/>
                <w:color w:val="auto"/>
              </w:rPr>
              <w:t>Acceleration of Maturity; Rescission and Annulment</w:t>
            </w:r>
          </w:p>
        </w:tc>
        <w:tc>
          <w:tcPr>
            <w:tcW w:w="1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Article V REDEMPTION OF SECURITIES</w:t>
            </w:r>
          </w:p>
        </w:tc>
        <w:tc>
          <w:tcPr>
            <w:tcW w:w="1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5.1</w:t>
            </w:r>
          </w:p>
        </w:tc>
        <w:tc>
          <w:tcPr>
            <w:tcW w:w="7220" w:type="dxa"/>
            <w:vAlign w:val="bottom"/>
          </w:tcPr>
          <w:p>
            <w:pPr>
              <w:ind w:left="100"/>
              <w:spacing w:after="0"/>
              <w:rPr>
                <w:sz w:val="20"/>
                <w:szCs w:val="20"/>
                <w:color w:val="auto"/>
              </w:rPr>
            </w:pPr>
            <w:r>
              <w:rPr>
                <w:rFonts w:ascii="Arial" w:cs="Arial" w:eastAsia="Arial" w:hAnsi="Arial"/>
                <w:sz w:val="18"/>
                <w:szCs w:val="18"/>
                <w:color w:val="auto"/>
              </w:rPr>
              <w:t>Optional Redemption</w:t>
            </w:r>
          </w:p>
        </w:tc>
        <w:tc>
          <w:tcPr>
            <w:tcW w:w="1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5.2</w:t>
            </w:r>
          </w:p>
        </w:tc>
        <w:tc>
          <w:tcPr>
            <w:tcW w:w="7220" w:type="dxa"/>
            <w:vAlign w:val="bottom"/>
          </w:tcPr>
          <w:p>
            <w:pPr>
              <w:ind w:left="100"/>
              <w:spacing w:after="0"/>
              <w:rPr>
                <w:sz w:val="20"/>
                <w:szCs w:val="20"/>
                <w:color w:val="auto"/>
              </w:rPr>
            </w:pPr>
            <w:r>
              <w:rPr>
                <w:rFonts w:ascii="Arial" w:cs="Arial" w:eastAsia="Arial" w:hAnsi="Arial"/>
                <w:sz w:val="18"/>
                <w:szCs w:val="18"/>
                <w:color w:val="auto"/>
              </w:rPr>
              <w:t>Optional Tax Redemption</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5.3</w:t>
            </w:r>
          </w:p>
        </w:tc>
        <w:tc>
          <w:tcPr>
            <w:tcW w:w="7220" w:type="dxa"/>
            <w:vAlign w:val="bottom"/>
          </w:tcPr>
          <w:p>
            <w:pPr>
              <w:ind w:left="100"/>
              <w:spacing w:after="0"/>
              <w:rPr>
                <w:sz w:val="20"/>
                <w:szCs w:val="20"/>
                <w:color w:val="auto"/>
              </w:rPr>
            </w:pPr>
            <w:r>
              <w:rPr>
                <w:rFonts w:ascii="Arial" w:cs="Arial" w:eastAsia="Arial" w:hAnsi="Arial"/>
                <w:sz w:val="18"/>
                <w:szCs w:val="18"/>
                <w:color w:val="auto"/>
              </w:rPr>
              <w:t>Optional Redemption Procedures</w:t>
            </w: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Article VI PARTICULAR COVENANTS</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6.1</w:t>
            </w:r>
          </w:p>
        </w:tc>
        <w:tc>
          <w:tcPr>
            <w:tcW w:w="7220" w:type="dxa"/>
            <w:vAlign w:val="bottom"/>
          </w:tcPr>
          <w:p>
            <w:pPr>
              <w:ind w:left="100"/>
              <w:spacing w:after="0"/>
              <w:rPr>
                <w:sz w:val="20"/>
                <w:szCs w:val="20"/>
                <w:color w:val="auto"/>
              </w:rPr>
            </w:pPr>
            <w:r>
              <w:rPr>
                <w:rFonts w:ascii="Arial" w:cs="Arial" w:eastAsia="Arial" w:hAnsi="Arial"/>
                <w:sz w:val="18"/>
                <w:szCs w:val="18"/>
                <w:color w:val="auto"/>
              </w:rPr>
              <w:t>Liens</w:t>
            </w:r>
          </w:p>
        </w:tc>
        <w:tc>
          <w:tcPr>
            <w:tcW w:w="1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6.2</w:t>
            </w:r>
          </w:p>
        </w:tc>
        <w:tc>
          <w:tcPr>
            <w:tcW w:w="7220" w:type="dxa"/>
            <w:vAlign w:val="bottom"/>
          </w:tcPr>
          <w:p>
            <w:pPr>
              <w:ind w:left="100"/>
              <w:spacing w:after="0"/>
              <w:rPr>
                <w:sz w:val="20"/>
                <w:szCs w:val="20"/>
                <w:color w:val="auto"/>
              </w:rPr>
            </w:pPr>
            <w:r>
              <w:rPr>
                <w:rFonts w:ascii="Arial" w:cs="Arial" w:eastAsia="Arial" w:hAnsi="Arial"/>
                <w:sz w:val="18"/>
                <w:szCs w:val="18"/>
                <w:color w:val="auto"/>
              </w:rPr>
              <w:t>Sale and Lease-Back Transactions</w:t>
            </w:r>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6.3</w:t>
            </w:r>
          </w:p>
        </w:tc>
        <w:tc>
          <w:tcPr>
            <w:tcW w:w="7220" w:type="dxa"/>
            <w:vAlign w:val="bottom"/>
          </w:tcPr>
          <w:p>
            <w:pPr>
              <w:ind w:left="100"/>
              <w:spacing w:after="0"/>
              <w:rPr>
                <w:sz w:val="20"/>
                <w:szCs w:val="20"/>
                <w:color w:val="auto"/>
              </w:rPr>
            </w:pPr>
            <w:r>
              <w:rPr>
                <w:rFonts w:ascii="Arial" w:cs="Arial" w:eastAsia="Arial" w:hAnsi="Arial"/>
                <w:sz w:val="18"/>
                <w:szCs w:val="18"/>
                <w:color w:val="auto"/>
              </w:rPr>
              <w:t>Right to Require Repurchase Upon a Change of Control Triggering Event</w:t>
            </w:r>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6.4</w:t>
            </w:r>
          </w:p>
        </w:tc>
        <w:tc>
          <w:tcPr>
            <w:tcW w:w="7220" w:type="dxa"/>
            <w:vAlign w:val="bottom"/>
          </w:tcPr>
          <w:p>
            <w:pPr>
              <w:ind w:left="100"/>
              <w:spacing w:after="0"/>
              <w:rPr>
                <w:sz w:val="20"/>
                <w:szCs w:val="20"/>
                <w:color w:val="auto"/>
              </w:rPr>
            </w:pPr>
            <w:r>
              <w:rPr>
                <w:rFonts w:ascii="Arial" w:cs="Arial" w:eastAsia="Arial" w:hAnsi="Arial"/>
                <w:sz w:val="18"/>
                <w:szCs w:val="18"/>
                <w:color w:val="auto"/>
              </w:rPr>
              <w:t>Additional Amounts</w:t>
            </w:r>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Article VII SUPPLEMENTAL INDENTURES</w:t>
            </w: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7.1</w:t>
            </w:r>
          </w:p>
        </w:tc>
        <w:tc>
          <w:tcPr>
            <w:tcW w:w="7220" w:type="dxa"/>
            <w:vAlign w:val="bottom"/>
          </w:tcPr>
          <w:p>
            <w:pPr>
              <w:ind w:left="100"/>
              <w:spacing w:after="0"/>
              <w:rPr>
                <w:sz w:val="20"/>
                <w:szCs w:val="20"/>
                <w:color w:val="auto"/>
              </w:rPr>
            </w:pPr>
            <w:r>
              <w:rPr>
                <w:rFonts w:ascii="Arial" w:cs="Arial" w:eastAsia="Arial" w:hAnsi="Arial"/>
                <w:sz w:val="18"/>
                <w:szCs w:val="18"/>
                <w:color w:val="auto"/>
              </w:rPr>
              <w:t>Supplemental Indentures without Consent of Holders of Notes</w:t>
            </w: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7.2</w:t>
            </w:r>
          </w:p>
        </w:tc>
        <w:tc>
          <w:tcPr>
            <w:tcW w:w="7220" w:type="dxa"/>
            <w:vAlign w:val="bottom"/>
          </w:tcPr>
          <w:p>
            <w:pPr>
              <w:ind w:left="100"/>
              <w:spacing w:after="0"/>
              <w:rPr>
                <w:sz w:val="20"/>
                <w:szCs w:val="20"/>
                <w:color w:val="auto"/>
              </w:rPr>
            </w:pPr>
            <w:r>
              <w:rPr>
                <w:rFonts w:ascii="Arial" w:cs="Arial" w:eastAsia="Arial" w:hAnsi="Arial"/>
                <w:sz w:val="18"/>
                <w:szCs w:val="18"/>
                <w:color w:val="auto"/>
              </w:rPr>
              <w:t>Supplemental Indentures with Consent of Holders of Notes</w:t>
            </w:r>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Article VIII CONSOLIDATION, MERGER, CONVEYANCE, TRANSFER OR LEASE</w:t>
            </w:r>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8.1</w:t>
            </w:r>
          </w:p>
        </w:tc>
        <w:tc>
          <w:tcPr>
            <w:tcW w:w="7220" w:type="dxa"/>
            <w:vAlign w:val="bottom"/>
          </w:tcPr>
          <w:p>
            <w:pPr>
              <w:ind w:left="100"/>
              <w:spacing w:after="0"/>
              <w:rPr>
                <w:sz w:val="20"/>
                <w:szCs w:val="20"/>
                <w:color w:val="auto"/>
              </w:rPr>
            </w:pPr>
            <w:r>
              <w:rPr>
                <w:rFonts w:ascii="Arial" w:cs="Arial" w:eastAsia="Arial" w:hAnsi="Arial"/>
                <w:sz w:val="18"/>
                <w:szCs w:val="18"/>
                <w:color w:val="auto"/>
              </w:rPr>
              <w:t>Company May Consolidate, Etc. on Certain Terms</w:t>
            </w:r>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760" w:type="dxa"/>
            <w:vAlign w:val="bottom"/>
          </w:tcPr>
          <w:p>
            <w:pPr>
              <w:jc w:val="center"/>
              <w:ind w:left="490"/>
              <w:spacing w:after="0"/>
              <w:rPr>
                <w:sz w:val="20"/>
                <w:szCs w:val="20"/>
                <w:color w:val="auto"/>
              </w:rPr>
            </w:pPr>
            <w:r>
              <w:rPr>
                <w:rFonts w:ascii="Arial" w:cs="Arial" w:eastAsia="Arial" w:hAnsi="Arial"/>
                <w:sz w:val="18"/>
                <w:szCs w:val="18"/>
                <w:color w:val="auto"/>
                <w:w w:val="91"/>
              </w:rPr>
              <w:t>Section 8.2</w:t>
            </w:r>
          </w:p>
        </w:tc>
        <w:tc>
          <w:tcPr>
            <w:tcW w:w="7220" w:type="dxa"/>
            <w:vAlign w:val="bottom"/>
          </w:tcPr>
          <w:p>
            <w:pPr>
              <w:ind w:left="100"/>
              <w:spacing w:after="0"/>
              <w:rPr>
                <w:sz w:val="20"/>
                <w:szCs w:val="20"/>
                <w:color w:val="auto"/>
              </w:rPr>
            </w:pPr>
            <w:r>
              <w:rPr>
                <w:rFonts w:ascii="Arial" w:cs="Arial" w:eastAsia="Arial" w:hAnsi="Arial"/>
                <w:sz w:val="18"/>
                <w:szCs w:val="18"/>
                <w:color w:val="auto"/>
              </w:rPr>
              <w:t>Successor Corporation Substituted</w:t>
            </w:r>
          </w:p>
        </w:tc>
        <w:tc>
          <w:tcPr>
            <w:tcW w:w="1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980" w:type="dxa"/>
            <w:vAlign w:val="bottom"/>
            <w:gridSpan w:val="2"/>
          </w:tcPr>
          <w:p>
            <w:pPr>
              <w:jc w:val="center"/>
              <w:ind w:right="6590"/>
              <w:spacing w:after="0"/>
              <w:rPr>
                <w:sz w:val="20"/>
                <w:szCs w:val="20"/>
                <w:color w:val="auto"/>
              </w:rPr>
            </w:pPr>
            <w:r>
              <w:rPr>
                <w:rFonts w:ascii="Arial" w:cs="Arial" w:eastAsia="Arial" w:hAnsi="Arial"/>
                <w:sz w:val="18"/>
                <w:szCs w:val="18"/>
                <w:color w:val="auto"/>
                <w:w w:val="97"/>
              </w:rPr>
              <w:t>Article IX NO GUARANTORS</w:t>
            </w:r>
          </w:p>
        </w:tc>
        <w:tc>
          <w:tcPr>
            <w:tcW w:w="1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8980" w:type="dxa"/>
            <w:vAlign w:val="bottom"/>
            <w:gridSpan w:val="2"/>
          </w:tcPr>
          <w:p>
            <w:pPr>
              <w:spacing w:after="0"/>
              <w:rPr>
                <w:sz w:val="20"/>
                <w:szCs w:val="20"/>
                <w:color w:val="auto"/>
              </w:rPr>
            </w:pPr>
            <w:r>
              <w:rPr>
                <w:rFonts w:ascii="Arial" w:cs="Arial" w:eastAsia="Arial" w:hAnsi="Arial"/>
                <w:sz w:val="18"/>
                <w:szCs w:val="18"/>
                <w:color w:val="auto"/>
              </w:rPr>
              <w:t>Article X DEFEASANCE</w:t>
            </w:r>
          </w:p>
        </w:tc>
        <w:tc>
          <w:tcPr>
            <w:tcW w:w="1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760" w:type="dxa"/>
            <w:vAlign w:val="bottom"/>
          </w:tcPr>
          <w:p>
            <w:pPr>
              <w:ind w:left="760"/>
              <w:spacing w:after="0"/>
              <w:rPr>
                <w:sz w:val="20"/>
                <w:szCs w:val="20"/>
                <w:color w:val="auto"/>
              </w:rPr>
            </w:pPr>
            <w:r>
              <w:rPr>
                <w:rFonts w:ascii="Arial" w:cs="Arial" w:eastAsia="Arial" w:hAnsi="Arial"/>
                <w:sz w:val="18"/>
                <w:szCs w:val="18"/>
                <w:color w:val="auto"/>
                <w:w w:val="97"/>
              </w:rPr>
              <w:t>Section 10.1</w:t>
            </w:r>
          </w:p>
        </w:tc>
        <w:tc>
          <w:tcPr>
            <w:tcW w:w="7220" w:type="dxa"/>
            <w:vAlign w:val="bottom"/>
          </w:tcPr>
          <w:p>
            <w:pPr>
              <w:ind w:left="100"/>
              <w:spacing w:after="0"/>
              <w:rPr>
                <w:sz w:val="20"/>
                <w:szCs w:val="20"/>
                <w:color w:val="auto"/>
              </w:rPr>
            </w:pPr>
            <w:r>
              <w:rPr>
                <w:rFonts w:ascii="Arial" w:cs="Arial" w:eastAsia="Arial" w:hAnsi="Arial"/>
                <w:sz w:val="18"/>
                <w:szCs w:val="18"/>
                <w:color w:val="auto"/>
              </w:rPr>
              <w:t>Covenant Defeasance</w:t>
            </w:r>
          </w:p>
        </w:tc>
        <w:tc>
          <w:tcPr>
            <w:tcW w:w="19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486"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Article XI MISCELLANEOUS</w:t>
            </w:r>
          </w:p>
        </w:tc>
        <w:tc>
          <w:tcPr>
            <w:tcW w:w="6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4900" w:type="dxa"/>
            <w:vAlign w:val="bottom"/>
          </w:tcPr>
          <w:p>
            <w:pPr>
              <w:ind w:left="760"/>
              <w:spacing w:after="0"/>
              <w:rPr>
                <w:sz w:val="20"/>
                <w:szCs w:val="20"/>
                <w:color w:val="auto"/>
              </w:rPr>
            </w:pPr>
            <w:r>
              <w:rPr>
                <w:rFonts w:ascii="Arial" w:cs="Arial" w:eastAsia="Arial" w:hAnsi="Arial"/>
                <w:sz w:val="18"/>
                <w:szCs w:val="18"/>
                <w:color w:val="auto"/>
              </w:rPr>
              <w:t>Section 11.1  Survivability, Governing Law, etc.</w:t>
            </w:r>
          </w:p>
        </w:tc>
        <w:tc>
          <w:tcPr>
            <w:tcW w:w="6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64"/>
        </w:trPr>
        <w:tc>
          <w:tcPr>
            <w:tcW w:w="4900" w:type="dxa"/>
            <w:vAlign w:val="bottom"/>
          </w:tcPr>
          <w:p>
            <w:pPr>
              <w:spacing w:after="0"/>
              <w:rPr>
                <w:sz w:val="24"/>
                <w:szCs w:val="24"/>
                <w:color w:val="auto"/>
              </w:rPr>
            </w:pPr>
          </w:p>
        </w:tc>
        <w:tc>
          <w:tcPr>
            <w:tcW w:w="6060" w:type="dxa"/>
            <w:vAlign w:val="bottom"/>
          </w:tcPr>
          <w:p>
            <w:pPr>
              <w:jc w:val="right"/>
              <w:ind w:right="5310"/>
              <w:spacing w:after="0"/>
              <w:rPr>
                <w:sz w:val="20"/>
                <w:szCs w:val="20"/>
                <w:color w:val="auto"/>
              </w:rPr>
            </w:pPr>
            <w:r>
              <w:rPr>
                <w:rFonts w:ascii="Arial" w:cs="Arial" w:eastAsia="Arial" w:hAnsi="Arial"/>
                <w:sz w:val="18"/>
                <w:szCs w:val="18"/>
                <w:color w:val="auto"/>
              </w:rPr>
              <w:t>ii</w:t>
            </w:r>
          </w:p>
        </w:tc>
      </w:tr>
    </w:tbl>
    <w:p>
      <w:pPr>
        <w:jc w:val="right"/>
        <w:ind w:right="5310"/>
        <w:spacing w:after="0"/>
        <w:rPr>
          <w:sz w:val="20"/>
          <w:szCs w:val="20"/>
          <w:color w:val="auto"/>
        </w:rPr>
        <w:sectPr>
          <w:pgSz w:w="11900" w:h="16838" w:orient="portrait"/>
          <w:cols w:equalWidth="0" w:num="1">
            <w:col w:w="10960"/>
          </w:cols>
          <w:pgMar w:left="440" w:top="70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7" w:name="page8"/>
    <w:bookmarkEnd w:id="7"/>
    <w:p>
      <w:pPr>
        <w:ind w:right="4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Twenty-Ninth Supplemental Indenture, dated as of May 24, 2023 (the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between Fiserv, Inc., a corporation duly organized and existing under the laws of the State of Wisconsin, having its principal office at 255 Fiserv Drive, Brookfield, Wisconsin (herein called the “</w:t>
      </w:r>
      <w:r>
        <w:rPr>
          <w:rFonts w:ascii="Arial" w:cs="Arial" w:eastAsia="Arial" w:hAnsi="Arial"/>
          <w:sz w:val="17"/>
          <w:szCs w:val="17"/>
          <w:u w:val="single" w:color="auto"/>
          <w:color w:val="auto"/>
        </w:rPr>
        <w:t>Company</w:t>
      </w:r>
      <w:r>
        <w:rPr>
          <w:rFonts w:ascii="Arial" w:cs="Arial" w:eastAsia="Arial" w:hAnsi="Arial"/>
          <w:sz w:val="17"/>
          <w:szCs w:val="17"/>
          <w:color w:val="auto"/>
        </w:rPr>
        <w:t>”), and U.S. Bank Trust Company, National Association (as successor in interest to U.S. Bank National Association), a national banking association, as trustee hereunder (herein called the “</w:t>
      </w:r>
      <w:r>
        <w:rPr>
          <w:rFonts w:ascii="Arial" w:cs="Arial" w:eastAsia="Arial" w:hAnsi="Arial"/>
          <w:sz w:val="17"/>
          <w:szCs w:val="17"/>
          <w:u w:val="single" w:color="auto"/>
          <w:color w:val="auto"/>
        </w:rPr>
        <w:t>Trustee</w:t>
      </w:r>
      <w:r>
        <w:rPr>
          <w:rFonts w:ascii="Arial" w:cs="Arial" w:eastAsia="Arial" w:hAnsi="Arial"/>
          <w:sz w:val="17"/>
          <w:szCs w:val="17"/>
          <w:color w:val="auto"/>
        </w:rPr>
        <w:t>”), supplements that certain Indenture, dated as of November 20, 2007, among the Company, certain subsidiaries of the Company and the Trustee (the “</w:t>
      </w:r>
      <w:r>
        <w:rPr>
          <w:rFonts w:ascii="Arial" w:cs="Arial" w:eastAsia="Arial" w:hAnsi="Arial"/>
          <w:sz w:val="17"/>
          <w:szCs w:val="17"/>
          <w:u w:val="single" w:color="auto"/>
          <w:color w:val="auto"/>
        </w:rPr>
        <w:t>Indenture</w:t>
      </w:r>
      <w:r>
        <w:rPr>
          <w:rFonts w:ascii="Arial" w:cs="Arial" w:eastAsia="Arial" w:hAnsi="Arial"/>
          <w:sz w:val="17"/>
          <w:szCs w:val="17"/>
          <w:color w:val="auto"/>
        </w:rPr>
        <w: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480" w:firstLine="991"/>
        <w:spacing w:after="0" w:line="308" w:lineRule="auto"/>
        <w:rPr>
          <w:sz w:val="20"/>
          <w:szCs w:val="20"/>
          <w:color w:val="auto"/>
        </w:rPr>
      </w:pPr>
      <w:r>
        <w:rPr>
          <w:rFonts w:ascii="Arial" w:cs="Arial" w:eastAsia="Arial" w:hAnsi="Arial"/>
          <w:sz w:val="17"/>
          <w:szCs w:val="17"/>
          <w:color w:val="auto"/>
        </w:rPr>
        <w:t>A. The Company has duly authorized the execution and delivery of the Indenture to provide for the issuance from time to time of its unsecured debentures, notes, or other evidences of indebtedness to be issued in one or more series as provided for in the Indenture.</w:t>
      </w:r>
    </w:p>
    <w:p>
      <w:pPr>
        <w:spacing w:after="0" w:line="146"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B. The Indenture provides that the Securities of each series shall be in substantially the form set forth in the Indenture, or in such other form as may be established by or pursuant to a Board Resolution or in one or more supplemental indentures thereto, in each case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Securities, as evidenced by their execution thereof.</w:t>
      </w:r>
    </w:p>
    <w:p>
      <w:pPr>
        <w:spacing w:after="0" w:line="192"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C. The Company and the Trustee have agreed that the Company shall issue and deliver, and the Trustee shall authenticate, Securities denominated as its “4.500% Senior Notes due 2031” pursuant to the terms of this Supplemental Indenture and substantially in the form set forth in Section 3.2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Notes, as evidenced by their execution of such Notes.</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 The Company has appointed the Paying Agent as the paying agent in respect of the Securities described in this Supplemental Indenture.</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The terms defined in this Section 1.1 have the respective meanings specified in this Section 1.1 for all purposes of this Supplemental Indenture and of any indenture supplemental hereto (except as herein or therein otherwise expressly provided or unless the context of this Supplemental Indenture or such indenture supplemental hereto otherwise requires):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or “</w:t>
      </w:r>
      <w:r>
        <w:rPr>
          <w:rFonts w:ascii="Arial" w:cs="Arial" w:eastAsia="Arial" w:hAnsi="Arial"/>
          <w:sz w:val="18"/>
          <w:szCs w:val="18"/>
          <w:u w:val="single" w:color="auto"/>
          <w:color w:val="auto"/>
        </w:rPr>
        <w:t>Dollars</w:t>
      </w:r>
      <w:r>
        <w:rPr>
          <w:rFonts w:ascii="Arial" w:cs="Arial" w:eastAsia="Arial" w:hAnsi="Arial"/>
          <w:sz w:val="18"/>
          <w:szCs w:val="18"/>
          <w:color w:val="auto"/>
        </w:rPr>
        <w:t>” means the lawful currency of the United States of America.</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490" w:right="479" w:bottom="1440" w:gutter="0" w:footer="0" w:header="0"/>
        </w:sectPr>
      </w:pPr>
    </w:p>
    <w:bookmarkStart w:id="8" w:name="page9"/>
    <w:bookmarkEnd w:id="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7"/>
          <w:szCs w:val="17"/>
          <w:u w:val="single" w:color="auto"/>
          <w:color w:val="auto"/>
        </w:rPr>
        <w:t>€</w:t>
      </w:r>
      <w:r>
        <w:rPr>
          <w:rFonts w:ascii="Arial" w:cs="Arial" w:eastAsia="Arial" w:hAnsi="Arial"/>
          <w:sz w:val="17"/>
          <w:szCs w:val="17"/>
          <w:color w:val="auto"/>
        </w:rPr>
        <w:t>” or “</w:t>
      </w:r>
      <w:r>
        <w:rPr>
          <w:rFonts w:ascii="Arial" w:cs="Arial" w:eastAsia="Arial" w:hAnsi="Arial"/>
          <w:sz w:val="17"/>
          <w:szCs w:val="17"/>
          <w:u w:val="single" w:color="auto"/>
          <w:color w:val="auto"/>
        </w:rPr>
        <w:t>euro</w:t>
      </w:r>
      <w:r>
        <w:rPr>
          <w:rFonts w:ascii="Arial" w:cs="Arial" w:eastAsia="Arial" w:hAnsi="Arial"/>
          <w:sz w:val="17"/>
          <w:szCs w:val="17"/>
          <w:color w:val="auto"/>
        </w:rPr>
        <w:t>” means the lawful currency of the member states of the European Union that have adopted the euro as their currency.</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Amounts</w:t>
      </w:r>
      <w:r>
        <w:rPr>
          <w:rFonts w:ascii="Arial" w:cs="Arial" w:eastAsia="Arial" w:hAnsi="Arial"/>
          <w:sz w:val="18"/>
          <w:szCs w:val="18"/>
          <w:color w:val="auto"/>
        </w:rPr>
        <w:t>” has the meaning specified in Section 6.4.</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xml:space="preserve">” means any Notes (other than the Initial Notes) issued pursuant to this Supplemental Indenture in accordance with Section 2.1(2) as part of the same series and with the same CUSIP number as the Initial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Additional Notes are issued at a price that causes such Additional Notes to have “original issue discount” within the meaning of the Code, such Additional Notes shall not have the same CUSIP number as the Initial Notes.</w:t>
      </w:r>
    </w:p>
    <w:p>
      <w:pPr>
        <w:spacing w:after="0" w:line="187"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1"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transaction involving a Global Security or beneficial interest therein, the rules and procedures of, Euroclear, Clearstream or any other Depositary, in each case to the extent applicable to such transaction and as in effect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Threshold</w:t>
      </w:r>
      <w:r>
        <w:rPr>
          <w:rFonts w:ascii="Arial" w:cs="Arial" w:eastAsia="Arial" w:hAnsi="Arial"/>
          <w:sz w:val="18"/>
          <w:szCs w:val="18"/>
          <w:color w:val="auto"/>
        </w:rPr>
        <w:t>” has the meaning specified in the definition of “Permitted Sale-Leaseback Transaction.”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Applied Amounts</w:t>
      </w:r>
      <w:r>
        <w:rPr>
          <w:rFonts w:ascii="Arial" w:cs="Arial" w:eastAsia="Arial" w:hAnsi="Arial"/>
          <w:sz w:val="18"/>
          <w:szCs w:val="18"/>
          <w:color w:val="auto"/>
        </w:rPr>
        <w:t>” has the meaning specified in the definition of “Permitted Sale-Leaseback Transaction.”</w:t>
      </w:r>
    </w:p>
    <w:p>
      <w:pPr>
        <w:spacing w:after="0" w:line="225" w:lineRule="exact"/>
        <w:rPr>
          <w:sz w:val="20"/>
          <w:szCs w:val="20"/>
          <w:color w:val="auto"/>
        </w:rPr>
      </w:pPr>
    </w:p>
    <w:p>
      <w:pPr>
        <w:jc w:val="both"/>
        <w:ind w:right="6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Value</w:t>
      </w:r>
      <w:r>
        <w:rPr>
          <w:rFonts w:ascii="Arial" w:cs="Arial" w:eastAsia="Arial" w:hAnsi="Arial"/>
          <w:sz w:val="17"/>
          <w:szCs w:val="17"/>
          <w:color w:val="auto"/>
        </w:rPr>
        <w:t>” means, in respect of any sale-leaseback transaction, as of the time of determination, the lesser of (a) the sale price of the Principal Property involved in such transaction multiplied by a fraction the numerator of which is the remaining portion of the base term of the lease included in such sale-leaseback transaction and the denominator of which is the base term of such lease and (b) the present value (discounted at the rate of interest implicit in such transaction) of the total obligations of the lessee for rental payments during the remaining term of the lease involved in such transaction (including any period for which the lease has been extended).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90" w:right="459" w:bottom="1440" w:gutter="0" w:footer="0" w:header="0"/>
        </w:sectPr>
      </w:pPr>
    </w:p>
    <w:bookmarkStart w:id="9" w:name="page10"/>
    <w:bookmarkEnd w:id="9"/>
    <w:p>
      <w:pPr>
        <w:ind w:right="4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7"/>
          <w:szCs w:val="17"/>
          <w:u w:val="single" w:color="auto"/>
          <w:color w:val="auto"/>
        </w:rPr>
        <w:t>Below Investment Grade Rating Event</w:t>
      </w:r>
      <w:r>
        <w:rPr>
          <w:rFonts w:ascii="Arial" w:cs="Arial" w:eastAsia="Arial" w:hAnsi="Arial"/>
          <w:sz w:val="17"/>
          <w:szCs w:val="17"/>
          <w:color w:val="auto"/>
        </w:rPr>
        <w:t xml:space="preserve">” means that the rating of the Notes is lowered by each of the Rating Agencies and the Notes are rated below an Investment Grade Rating by each of the Rating Agencies, and such lowering occurs on any date from the date of the public notice of the Company’s intention to effect a Change of Control until the end of the 60-day period following public notice of the occurrence of a Change of Control (which 60-day period shall be extended so long as the rating of the Notes is under publicly announced consideration for possible downgrade by either of the Rating Agencies as a result of the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Agency or Rating Agencies making the reduction in rating to which this definition would otherwise apply do not announce or publicly confirm or inform the Trustee and the Company in writing at its or the Company’s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2"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or any successor or replacement thereto is open.</w:t>
      </w:r>
    </w:p>
    <w:p>
      <w:pPr>
        <w:spacing w:after="0" w:line="18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shares, interests, participations or other equivalents (however designated) of capital stock of such Person and all warrants or options to acquire such capital stock.</w:t>
      </w:r>
    </w:p>
    <w:p>
      <w:pPr>
        <w:spacing w:after="0" w:line="170"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(a) the direct or indirect sale, lease, transfer, conveyance or other disposition (other than by way of merger or consolidation), in one or a series of related transactions, of all or substantially all of the properties and assets of the Company and its Subsidiaries taken as a whole to any “person” or “group” (as those terms are used in Section 13(d)(3) of the Exchange Act) other than the Company or one of its Subsidiaries; (b) the approval by the holders of the Common Stock of any plan or proposal for the liquidation or dissolution of the Company (whether or not otherwise in compliance with the provisions of this Supplemental Indenture); (c) the consummation of any transaction (including, without limitation, any merger or consolidation) the result of which is that any “person” or “group” (as those terms are used in Section 13(d)(3) of the Exchange Act) becomes the “beneficial owner” (as defined in Rules 13d-3 and 13d-5 under the Exchange Act), directly or indirectly, of more than 50% of the then outstanding number of shares of the Company’s Voting Stock; or (d) the Company consolidates or merges with or into any entity, pursuant to a transaction in which any of the outstanding Voting Stock of the Company or such other entity is converted into or exchanged for cash, securities or other Property (except when Voting Stock of the Company is converted into, or exchanged for, at least a majority of the Voting Stock of the surviving Person). Notwithstanding the foregoing, a transaction shall not be considered to be a Change of Control if (x) the Company becomes a direct or indirect Wholly-Owned Subsidiary of a person and (y) immediately following that transaction, the direct or indirect holders of the Voting Stock of such person are substantially the same as the holders of the Company’s Voting Stock immediately prior to that transaction.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10" w:name="page11"/>
    <w:bookmarkEnd w:id="1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has the meaning specified in Section 6.3(1).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Paymen</w:t>
      </w:r>
      <w:r>
        <w:rPr>
          <w:rFonts w:ascii="Arial" w:cs="Arial" w:eastAsia="Arial" w:hAnsi="Arial"/>
          <w:sz w:val="18"/>
          <w:szCs w:val="18"/>
          <w:color w:val="auto"/>
        </w:rPr>
        <w:t>t” has the meaning specified in Section 6.3(1).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Purchase Date</w:t>
      </w:r>
      <w:r>
        <w:rPr>
          <w:rFonts w:ascii="Arial" w:cs="Arial" w:eastAsia="Arial" w:hAnsi="Arial"/>
          <w:sz w:val="18"/>
          <w:szCs w:val="18"/>
          <w:color w:val="auto"/>
        </w:rPr>
        <w:t>” has the meaning specified in Section 6.3(2)(iii).</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Triggering Event</w:t>
      </w:r>
      <w:r>
        <w:rPr>
          <w:rFonts w:ascii="Arial" w:cs="Arial" w:eastAsia="Arial" w:hAnsi="Arial"/>
          <w:sz w:val="16"/>
          <w:szCs w:val="16"/>
          <w:color w:val="auto"/>
        </w:rPr>
        <w:t>” means the occurrence of both a Change of Control and a Below Investment Grade Rating Event.</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has the meaning specified in Section 2.1(2).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Depositary</w:t>
      </w:r>
      <w:r>
        <w:rPr>
          <w:rFonts w:ascii="Arial" w:cs="Arial" w:eastAsia="Arial" w:hAnsi="Arial"/>
          <w:sz w:val="18"/>
          <w:szCs w:val="18"/>
          <w:color w:val="auto"/>
        </w:rPr>
        <w:t>” means Elavon Financial Services DAC.</w:t>
      </w:r>
    </w:p>
    <w:p>
      <w:pPr>
        <w:spacing w:after="0" w:line="225" w:lineRule="exact"/>
        <w:rPr>
          <w:sz w:val="20"/>
          <w:szCs w:val="20"/>
          <w:color w:val="auto"/>
        </w:rPr>
      </w:pPr>
    </w:p>
    <w:p>
      <w:pPr>
        <w:ind w:right="8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shares of the Company’s Common Stock, par value $0.01 per share, as they exist on the date of this Supplemental Indenture or any other shares of Capital Stock of the Company into which the Common Stock shall be reclassified or changed.</w:t>
      </w:r>
    </w:p>
    <w:p>
      <w:pPr>
        <w:spacing w:after="0" w:line="124"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Banker selected by the Company, a German government bond whose maturity is closest to the maturity of the Notes to be redeemed (assuming for this purpose that the Notes mature on the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the Company, determine to be appropriate for determining the Comparable Government Bond Rate.</w:t>
      </w:r>
    </w:p>
    <w:p>
      <w:pPr>
        <w:spacing w:after="0" w:line="192"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Government Bond Rate</w:t>
      </w:r>
      <w:r>
        <w:rPr>
          <w:rFonts w:ascii="Arial" w:cs="Arial" w:eastAsia="Arial" w:hAnsi="Arial"/>
          <w:sz w:val="18"/>
          <w:szCs w:val="18"/>
          <w:color w:val="auto"/>
        </w:rPr>
        <w:t>” means the price, expressed as a percentage (rounded to three decimal places, with 0.0005 being rounded upwards), at which the gross redemption yield on the Notes to be redeemed, if they were to be purchased at such price on the third Business Day prior to the date fixed for redemption, would be equal to the gross redemption yield of the Comparable Government Bond on such Business Day on the basis of the middle market price of such Comparable Government Bond prevailing at 11:00 a.m. (London time) on such Business Day as determined by an Independent Investment Banker selected by the Company.</w:t>
      </w:r>
    </w:p>
    <w:p>
      <w:pPr>
        <w:spacing w:after="0" w:line="188"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set forth in the Indenture as amended by this Supplemental Indenture except that the covenants included in such definition (including for purposes of determining whether an Event of Default under Section 501(4) of the Indenture shall have occurred) shall include those specified in, or added pursuant to, as the case may be, Sections 6.1, 6.2, 6.4, 7.1(2) and Article VIII of this Supplemental Indenture.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490" w:right="499" w:bottom="1440" w:gutter="0" w:footer="0" w:header="0"/>
        </w:sectPr>
      </w:pPr>
    </w:p>
    <w:bookmarkStart w:id="11" w:name="page12"/>
    <w:bookmarkEnd w:id="1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Notes, Euroclear and Clearstream, or any successor entity thereto.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Euroclear Bank S.A./N.V., as operator of the Euroclear System.</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4.1.</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 46 Entity</w:t>
      </w:r>
      <w:r>
        <w:rPr>
          <w:rFonts w:ascii="Arial" w:cs="Arial" w:eastAsia="Arial" w:hAnsi="Arial"/>
          <w:sz w:val="17"/>
          <w:szCs w:val="17"/>
          <w:color w:val="auto"/>
        </w:rPr>
        <w:t>” means any Person, the financial condition and results of which, solely due to Accounting Standards Codification 810 or any other Accounting Standards Codification or Financial Accounting Standard having a similar result or effect (as amended, restated, supplemented, replaced or otherwise modified from time to time), such Person is required to consolidate in its financial statements. For purposes of this definition, “controlled” means the possession, directly or indirectly, of the power to direct or cause the direction of the management or policies of a person, whether through the ability to exercise voting power, by contract or otherwise.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Obligations</w:t>
      </w:r>
      <w:r>
        <w:rPr>
          <w:rFonts w:ascii="Arial" w:cs="Arial" w:eastAsia="Arial" w:hAnsi="Arial"/>
          <w:sz w:val="16"/>
          <w:szCs w:val="16"/>
          <w:color w:val="auto"/>
        </w:rPr>
        <w:t>” means securities denominated in euro that are (a) direct obligations of the Federal Republic of Germany or any country that is a member of the European Union that has adopted the euro as its currency and whose long-term debt is rated equal to or higher than “A-1” (or the equivalent under any successor rating category) by Moody’s or equal to or higher than “A+” (or the equivalent under any successor rating category) by S&amp;P or the equivalent rating category of another internationally recognized rating agency, the payments of which are supported by the full faith and credit of the German government or such other member of the European Union, or (b) obligations of a person controlled or supervised by and acting as an agency or instrumentality of the Federal Republic of Germany or such other member of the European Union, the payments of which are unconditionally guaranteed as a full faith and credit obligation of the German government or such other member of the European Union.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ICSDs</w:t>
      </w:r>
      <w:r>
        <w:rPr>
          <w:rFonts w:ascii="Arial" w:cs="Arial" w:eastAsia="Arial" w:hAnsi="Arial"/>
          <w:sz w:val="18"/>
          <w:szCs w:val="18"/>
          <w:color w:val="auto"/>
        </w:rPr>
        <w:t>” means, together, Clearstream and Euroclear.</w:t>
      </w:r>
    </w:p>
    <w:p>
      <w:pPr>
        <w:spacing w:after="0" w:line="225"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with respect to any Person, (a) all indebtedness for borrowed money of such Person, (b) all obligations of such Person evidenced by notes, bonds, debentures or similar instruments and (c) all indebtedness of any other Person of the foregoing types to the extent guaranteed by such Person, but only, for each of clauses (a) through (c), if and to the extent any of the foregoing indebtedness would appear as a liability upon an unconsolidated balance sheet of such Person prepared in accordance with GAAP (but not including contingent liabilities which appear only in a footnote to a balance sheet);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anything to the contrary contained herein, for purposes of this definition, “Indebtedness” shall not include (1) any intercompany indebtedness between or among the Company and its Subsidiaries, (2) any indebtedness that has been defeased and/or discharged if funds in an amount equal to all such indebtedness (including interest and any other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90" w:right="459" w:bottom="1440" w:gutter="0" w:footer="0" w:header="0"/>
        </w:sectPr>
      </w:pPr>
    </w:p>
    <w:bookmarkStart w:id="12" w:name="page13"/>
    <w:bookmarkEnd w:id="1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amounts required to be paid to the holders thereof in order to give effect to such defeasance) have been irrevocably deposited with a trustee, paying agent or other similar Person for the benefit of the relevant holders of such indebtedness or (3) interest, fees, make-whole amounts, premium, charges or expenses, if any, relating to the principal amount of indebtedness.</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Investment Banker</w:t>
      </w:r>
      <w:r>
        <w:rPr>
          <w:rFonts w:ascii="Arial" w:cs="Arial" w:eastAsia="Arial" w:hAnsi="Arial"/>
          <w:sz w:val="18"/>
          <w:szCs w:val="18"/>
          <w:color w:val="auto"/>
        </w:rPr>
        <w:t>” means each of Citigroup Global Markets Limited, MUFG Securities EMEA plc and Wells Fargo Securities International Limited (or their respective successors), or if each such firm is unwilling or unable to select the Comparable Government Bond, an independent investment banking institution of international standing appointed by the Company.</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Notes</w:t>
      </w:r>
      <w:r>
        <w:rPr>
          <w:rFonts w:ascii="Arial" w:cs="Arial" w:eastAsia="Arial" w:hAnsi="Arial"/>
          <w:sz w:val="18"/>
          <w:szCs w:val="18"/>
          <w:color w:val="auto"/>
        </w:rPr>
        <w:t>” means Notes in an aggregate principal amount of up to €800,000,000 initially issued under this Supplemental Indenture in accordance with Section 2.1(2).</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has the meaning specified in Section 2.2(2).</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equal to or higher than Baa3 (or the equivalent under any successor rating category) by Moody’s, BBB- (or the equivalent under any successor rating category) by S&amp;P and the equivalent investment grade rating by any other Rating Agency, respectively.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lien or encumbrance.</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any “margin stock” (as said term is defined in Regulation U of the Board of Governors of the Federal Reserve System of the United States of America, as the same may be amended or supplemented from time to time).</w:t>
      </w:r>
    </w:p>
    <w:p>
      <w:pPr>
        <w:spacing w:after="0" w:line="170"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Exchange Rate</w:t>
      </w:r>
      <w:r>
        <w:rPr>
          <w:rFonts w:ascii="Arial" w:cs="Arial" w:eastAsia="Arial" w:hAnsi="Arial"/>
          <w:sz w:val="18"/>
          <w:szCs w:val="18"/>
          <w:color w:val="auto"/>
        </w:rPr>
        <w:t>” means the noon buying rate in The City of New York for cable transfers of euro, as certified for customs purposes (or, if not so certified, as otherwise determined) by the Federal Reserve Bank of New York.</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May 24, 2031.</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its successor.</w:t>
      </w:r>
    </w:p>
    <w:p>
      <w:pPr>
        <w:spacing w:after="0" w:line="225"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Worth</w:t>
      </w:r>
      <w:r>
        <w:rPr>
          <w:rFonts w:ascii="Arial" w:cs="Arial" w:eastAsia="Arial" w:hAnsi="Arial"/>
          <w:sz w:val="16"/>
          <w:szCs w:val="16"/>
          <w:color w:val="auto"/>
        </w:rPr>
        <w:t xml:space="preserve">” means, at any date, the sum of all amounts that would be included under shareholders’ equity on a consolidated balance sheet of the Company and its Subsidiaries determined in accordance with GAAP on such date or, in the event such date is not a fiscal quarter end, as of the immediately preceding fiscal quarter 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calculating shareholders’ equity, any accumulated other comprehensive income or loss, in each case as reflected on such consolidated balance sheet of the Company and its Subsidiaries determined in accordance with GAAP, shall be excluded;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“Net Worth” shall be adjusted to give effect to each acquisition and disposition of assets other than in the ordinary course of business (including by way of merger) that has occurred on or prior to the date on which Net Worth is being calculated but after the immediately preceding quarter end as if such acquisition or disposition had occurred on the date of such immediately preceding quarter end.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490" w:right="499" w:bottom="1440" w:gutter="0" w:footer="0" w:header="0"/>
        </w:sectPr>
      </w:pPr>
    </w:p>
    <w:bookmarkStart w:id="13" w:name="page14"/>
    <w:bookmarkEnd w:id="13"/>
    <w:p>
      <w:pPr>
        <w:ind w:left="4"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Notes</w:t>
      </w:r>
      <w:r>
        <w:rPr>
          <w:rFonts w:ascii="Arial" w:cs="Arial" w:eastAsia="Arial" w:hAnsi="Arial"/>
          <w:sz w:val="18"/>
          <w:szCs w:val="18"/>
          <w:color w:val="auto"/>
        </w:rPr>
        <w:t>” means the 4.500% Senior Notes due 2031 or any of them (each, a “</w:t>
      </w:r>
      <w:r>
        <w:rPr>
          <w:rFonts w:ascii="Arial" w:cs="Arial" w:eastAsia="Arial" w:hAnsi="Arial"/>
          <w:sz w:val="18"/>
          <w:szCs w:val="18"/>
          <w:u w:val="single" w:color="auto"/>
          <w:color w:val="auto"/>
        </w:rPr>
        <w:t>Note</w:t>
      </w:r>
      <w:r>
        <w:rPr>
          <w:rFonts w:ascii="Arial" w:cs="Arial" w:eastAsia="Arial" w:hAnsi="Arial"/>
          <w:sz w:val="18"/>
          <w:szCs w:val="18"/>
          <w:color w:val="auto"/>
        </w:rPr>
        <w:t>”), as amended or supplemented from time to time, that are issued under this Supplemental Indenture, including both the Initial Notes and the Additional Notes, if any.</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Default</w:t>
      </w:r>
      <w:r>
        <w:rPr>
          <w:rFonts w:ascii="Arial" w:cs="Arial" w:eastAsia="Arial" w:hAnsi="Arial"/>
          <w:sz w:val="18"/>
          <w:szCs w:val="18"/>
          <w:color w:val="auto"/>
        </w:rPr>
        <w:t>” means a written notice of the kind specified in Section 4.1(3) or (4).</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 Call Date</w:t>
      </w:r>
      <w:r>
        <w:rPr>
          <w:rFonts w:ascii="Arial" w:cs="Arial" w:eastAsia="Arial" w:hAnsi="Arial"/>
          <w:sz w:val="18"/>
          <w:szCs w:val="18"/>
          <w:color w:val="auto"/>
        </w:rPr>
        <w:t>” means February 24, 2031.</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Elavon Financial Services DAC, UK Branch.</w:t>
      </w:r>
    </w:p>
    <w:p>
      <w:pPr>
        <w:spacing w:after="0" w:line="225" w:lineRule="exact"/>
        <w:rPr>
          <w:sz w:val="20"/>
          <w:szCs w:val="20"/>
          <w:color w:val="auto"/>
        </w:rPr>
      </w:pPr>
    </w:p>
    <w:p>
      <w:pPr>
        <w:ind w:left="4" w:right="4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Sale-Leaseback Transactions</w:t>
      </w:r>
      <w:r>
        <w:rPr>
          <w:rFonts w:ascii="Arial" w:cs="Arial" w:eastAsia="Arial" w:hAnsi="Arial"/>
          <w:sz w:val="16"/>
          <w:szCs w:val="16"/>
          <w:color w:val="auto"/>
        </w:rPr>
        <w:t xml:space="preserve">” means any sale or transfer by the Company or any of its Restricted Subsidiaries of any Principal Property owned by the Company or any of its Restricted Subsidiaries with the intention of taking back a lease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“Permitted Sale-Leaseback Transactions” shall not include any such transaction involving machinery and/or equipment (excluding any lease for a temporary period of not more than thirty-six months with the intent that the use of the subject machinery and/or equipment shall be discontinued at or before the expiration of such period) relating to facilities (a) in full operation for more than 180 days as of the date of this Supplemental Indenture and</w:t>
      </w:r>
    </w:p>
    <w:p>
      <w:pPr>
        <w:spacing w:after="0" w:line="2" w:lineRule="exact"/>
        <w:rPr>
          <w:sz w:val="20"/>
          <w:szCs w:val="20"/>
          <w:color w:val="auto"/>
        </w:rPr>
      </w:pPr>
    </w:p>
    <w:p>
      <w:pPr>
        <w:ind w:left="4" w:right="40" w:hanging="4"/>
        <w:spacing w:after="0" w:line="268" w:lineRule="auto"/>
        <w:tabs>
          <w:tab w:leader="none" w:pos="259" w:val="left"/>
        </w:tabs>
        <w:numPr>
          <w:ilvl w:val="0"/>
          <w:numId w:val="2"/>
        </w:numPr>
        <w:rPr>
          <w:rFonts w:ascii="Arial" w:cs="Arial" w:eastAsia="Arial" w:hAnsi="Arial"/>
          <w:sz w:val="17"/>
          <w:szCs w:val="17"/>
          <w:color w:val="auto"/>
        </w:rPr>
      </w:pPr>
      <w:r>
        <w:rPr>
          <w:rFonts w:ascii="Arial" w:cs="Arial" w:eastAsia="Arial" w:hAnsi="Arial"/>
          <w:sz w:val="17"/>
          <w:szCs w:val="17"/>
          <w:color w:val="auto"/>
        </w:rPr>
        <w:t>that are material to the business of the Company and its Subsidiaries, taken as a whole, to the extent that the aggregate Attributable Value of the machinery and/or equipment from time to time involved in such transactions (giving effect to payment in full under any such transaction and excluding the Applied Amounts, as defined in the following sentence), plus the amount of obligations and Indebtedness from time to time secured by Liens incurred under Section 6.1(18), exceeds the greater of (i) $2,000,000,000 and (ii) 15.0% of Net Worth as determined at the time of, and immediately after giving effect to, the incurrence of such transactions based on the balance sheet for the end of the most recent quarter for which financial statements are available (such greater amount, the “</w:t>
      </w:r>
      <w:r>
        <w:rPr>
          <w:rFonts w:ascii="Arial" w:cs="Arial" w:eastAsia="Arial" w:hAnsi="Arial"/>
          <w:sz w:val="17"/>
          <w:szCs w:val="17"/>
          <w:u w:val="single" w:color="auto"/>
          <w:color w:val="auto"/>
        </w:rPr>
        <w:t>Applicable Threshold</w:t>
      </w:r>
      <w:r>
        <w:rPr>
          <w:rFonts w:ascii="Arial" w:cs="Arial" w:eastAsia="Arial" w:hAnsi="Arial"/>
          <w:sz w:val="17"/>
          <w:szCs w:val="17"/>
          <w:color w:val="auto"/>
        </w:rPr>
        <w:t>”). For purposes of this definition, “</w:t>
      </w:r>
      <w:r>
        <w:rPr>
          <w:rFonts w:ascii="Arial" w:cs="Arial" w:eastAsia="Arial" w:hAnsi="Arial"/>
          <w:sz w:val="17"/>
          <w:szCs w:val="17"/>
          <w:u w:val="single" w:color="auto"/>
          <w:color w:val="auto"/>
        </w:rPr>
        <w:t>Applied Amounts</w:t>
      </w:r>
      <w:r>
        <w:rPr>
          <w:rFonts w:ascii="Arial" w:cs="Arial" w:eastAsia="Arial" w:hAnsi="Arial"/>
          <w:sz w:val="17"/>
          <w:szCs w:val="17"/>
          <w:color w:val="auto"/>
        </w:rPr>
        <w:t>” means an amount (which may be conclusively determined by the Board of Directors of the Company) equal to the greater of (i) capitalized rent with respect to the applicable machinery and/or equipment and (ii) the fair value of the applicable machinery and/or equipment, that is applied within 180 days of the applicable transaction or transactions to repayment of the Notes or to the repayment of any indebtedness for borrowed money which, in accordance with GAAP, is classified as long-term debt and that is on parity with the Notes.</w:t>
      </w:r>
    </w:p>
    <w:p>
      <w:pPr>
        <w:spacing w:after="0" w:line="179" w:lineRule="exact"/>
        <w:rPr>
          <w:sz w:val="20"/>
          <w:szCs w:val="20"/>
          <w:color w:val="auto"/>
        </w:rPr>
      </w:pPr>
    </w:p>
    <w:p>
      <w:pPr>
        <w:ind w:left="4"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Property</w:t>
      </w:r>
      <w:r>
        <w:rPr>
          <w:rFonts w:ascii="Arial" w:cs="Arial" w:eastAsia="Arial" w:hAnsi="Arial"/>
          <w:sz w:val="16"/>
          <w:szCs w:val="16"/>
          <w:color w:val="auto"/>
        </w:rPr>
        <w:t>” means the real property, fixtures, machinery and equipment relating to any facility that is real property located within the territorial limits of the United States of America (excluding its territories and possessions and Puerto Rico) owned by the Company or any Restricted Subsidiary, except for any facility that (a) has a net book value, on the date the determination of whether such property is a Principal Property is being made for purposes of the covenants set forth in Section 6.1 and Section 6.2, of less than 2% of the Company’s Net Worth or (b) in the opinion of the Company’s Board of Directors, is not of material importance to the business conducted by the Company and its Subsidiaries, taken as a whole.</w:t>
      </w:r>
    </w:p>
    <w:p>
      <w:pPr>
        <w:spacing w:after="0" w:line="161"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with respect to any Person, all types of real, personal or mixed property and all types of tangible or intangible property owned or leased by such Person.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490" w:right="479" w:bottom="1440" w:gutter="0" w:footer="0" w:header="0"/>
        </w:sectPr>
      </w:pPr>
    </w:p>
    <w:bookmarkStart w:id="14" w:name="page15"/>
    <w:bookmarkEnd w:id="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Purchase Notice</w:t>
      </w:r>
      <w:r>
        <w:rPr>
          <w:rFonts w:ascii="Arial" w:cs="Arial" w:eastAsia="Arial" w:hAnsi="Arial"/>
          <w:sz w:val="18"/>
          <w:szCs w:val="18"/>
          <w:color w:val="auto"/>
        </w:rPr>
        <w:t>” means a notice delivered by a Holder in accordance with Section 6.3 in the form set forth in Section 3.3.</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(a) each of Moody’s and S&amp;P; and (b) if either of Moody’s or S&amp;P ceases to rate the Notes or fails to make a rating of the Notes publicly available for reasons outside of the Company’s control, a “nationally recognized statistical rating organization” within the meaning of Rule 3(a)(62) under the Exchange Act selected by the Company (as certified by an officer of the Company to the Trustee) as a replacement agency for Moody’s or S&amp;P, or both of them, as the case may be.</w:t>
      </w:r>
    </w:p>
    <w:p>
      <w:pPr>
        <w:spacing w:after="0" w:line="18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means, when used with respect to any Note to be redeemed, the date fixed for such redemption by or pursuant to this Supplemental Indenture.</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means, when used with respect to any Note to be redeemed, the price at which it is to be redeemed pursuant to this Supplemental Indenture.</w:t>
      </w:r>
    </w:p>
    <w:p>
      <w:pPr>
        <w:spacing w:after="0" w:line="170" w:lineRule="exact"/>
        <w:rPr>
          <w:sz w:val="20"/>
          <w:szCs w:val="20"/>
          <w:color w:val="auto"/>
        </w:rPr>
      </w:pPr>
    </w:p>
    <w:p>
      <w:pPr>
        <w:ind w:right="4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Registrar</w:t>
      </w:r>
      <w:r>
        <w:rPr>
          <w:rFonts w:ascii="Arial" w:cs="Arial" w:eastAsia="Arial" w:hAnsi="Arial"/>
          <w:sz w:val="16"/>
          <w:szCs w:val="16"/>
          <w:color w:val="auto"/>
        </w:rPr>
        <w:t>” means the Security Registrar for the Notes, which shall initially be U.S. Bank Trust Company, National Association (as successor in interest to U.S. Bank National Association), or any successor entity thereof, subject to replacement as set forth in the Indenture.</w:t>
      </w:r>
    </w:p>
    <w:p>
      <w:pPr>
        <w:spacing w:after="0" w:line="124"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means, for interest payable in respect of any Note on any Interest Payment Date, the day (whether or not a Business Day) that is 15 days prior to the relevant Interest Payment Date.</w:t>
      </w:r>
    </w:p>
    <w:p>
      <w:pPr>
        <w:spacing w:after="0" w:line="170"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Subsidiary</w:t>
      </w:r>
      <w:r>
        <w:rPr>
          <w:rFonts w:ascii="Arial" w:cs="Arial" w:eastAsia="Arial" w:hAnsi="Arial"/>
          <w:sz w:val="17"/>
          <w:szCs w:val="17"/>
          <w:color w:val="auto"/>
        </w:rPr>
        <w:t>” means any Subsidiary of the Company that (a) constitutes a “significant subsidiary” (as such term is defined in Regulation S-X, promulgated pursuant to the Securities Act) and (b) owns a Principal Property, excluding: (i) Bastogne, Inc. and any bankruptcy-remote, special-purpose entity created in connection with the financing of settlement float with respect to customer funds or otherwise, (ii) any Subsidiary which is not organized under the laws of any state of the United States of America; (iii) any Subsidiary which conducts the major portion of its business outside the United States of America; and (iv) any Subsidiary of any of the foregoing.</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 division of S&amp;P Global Inc., or its successor.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Change of Control Purchase Date</w:t>
      </w:r>
      <w:r>
        <w:rPr>
          <w:rFonts w:ascii="Arial" w:cs="Arial" w:eastAsia="Arial" w:hAnsi="Arial"/>
          <w:sz w:val="18"/>
          <w:szCs w:val="18"/>
          <w:color w:val="auto"/>
        </w:rPr>
        <w:t>” has the meaning specified in Section 6.3(6).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Securitized Indebtedness</w:t>
      </w:r>
      <w:r>
        <w:rPr>
          <w:rFonts w:ascii="Arial" w:cs="Arial" w:eastAsia="Arial" w:hAnsi="Arial"/>
          <w:sz w:val="17"/>
          <w:szCs w:val="17"/>
          <w:color w:val="auto"/>
        </w:rPr>
        <w:t>” means, with respect to any Person as of any date, the reasonably expected liability of such Person for the repayment of, or otherwise relating to, all accounts receivable, general intangibles, chattel paper or other financial assets and related rights and assets sold or otherwise transferred by such Person, or any Subsidiary or Affiliate thereof, on or prior to such date.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40" w:top="490" w:right="579" w:bottom="1440" w:gutter="0" w:footer="0" w:header="0"/>
        </w:sectPr>
      </w:pPr>
    </w:p>
    <w:bookmarkStart w:id="15" w:name="page16"/>
    <w:bookmarkEnd w:id="15"/>
    <w:p>
      <w:pPr>
        <w:ind w:right="22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6"/>
          <w:szCs w:val="16"/>
          <w:u w:val="single" w:color="auto"/>
          <w:color w:val="auto"/>
        </w:rPr>
        <w:t>Stated Maturity</w:t>
      </w:r>
      <w:r>
        <w:rPr>
          <w:rFonts w:ascii="Arial" w:cs="Arial" w:eastAsia="Arial" w:hAnsi="Arial"/>
          <w:sz w:val="16"/>
          <w:szCs w:val="16"/>
          <w:color w:val="auto"/>
        </w:rPr>
        <w:t>” means, when used with respect to the Notes or any installment of principal thereof or interest, if any, thereon, the date specified in such Note as the fixed date on which the principal of the Note or such installment of principal or interest, if any, is due and payable.</w:t>
      </w:r>
    </w:p>
    <w:p>
      <w:pPr>
        <w:spacing w:after="0" w:line="124"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“parent”), any corporation, limited liability company, partnership, association or other entity the accounts of which would be consolidated with those of the parent in the parent’s consolidated financial statements if such financial statements were prepared in accordance with GAAP (excluding any FIN 46 Entity, but only to the extent that the owners of such FIN 46 Entity’s Indebtedness have no recourse, directly or indirectly, to such Person or any of its Subsidiaries for the principal, premium, if any, and interest on such Indebtedness)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such Person.</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Person</w:t>
      </w:r>
      <w:r>
        <w:rPr>
          <w:rFonts w:ascii="Arial" w:cs="Arial" w:eastAsia="Arial" w:hAnsi="Arial"/>
          <w:sz w:val="18"/>
          <w:szCs w:val="18"/>
          <w:color w:val="auto"/>
        </w:rPr>
        <w:t>” has the meaning specified in Section 8.1.</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present or future tax, duty, levy, impost, assessment or other governmental charge (including penalties, interest and other liabilities related thereto).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Jurisdiction</w:t>
      </w:r>
      <w:r>
        <w:rPr>
          <w:rFonts w:ascii="Arial" w:cs="Arial" w:eastAsia="Arial" w:hAnsi="Arial"/>
          <w:sz w:val="18"/>
          <w:szCs w:val="18"/>
          <w:color w:val="auto"/>
        </w:rPr>
        <w:t>” has the meaning specified in Section 6.4.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Vault Cash Operations</w:t>
      </w:r>
      <w:r>
        <w:rPr>
          <w:rFonts w:ascii="Arial" w:cs="Arial" w:eastAsia="Arial" w:hAnsi="Arial"/>
          <w:sz w:val="18"/>
          <w:szCs w:val="18"/>
          <w:color w:val="auto"/>
        </w:rPr>
        <w:t>” has the meaning specified in Section 6.1(19).</w:t>
      </w:r>
    </w:p>
    <w:p>
      <w:pPr>
        <w:spacing w:after="0" w:line="225" w:lineRule="exact"/>
        <w:rPr>
          <w:sz w:val="20"/>
          <w:szCs w:val="20"/>
          <w:color w:val="auto"/>
        </w:rPr>
      </w:pPr>
    </w:p>
    <w:p>
      <w:pPr>
        <w:ind w:right="8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all classes of Capital Stock entitled (without regard to the occurrence of any contingency) to vote generally in the election of directors, managers or trustees of such Person.</w:t>
      </w:r>
    </w:p>
    <w:p>
      <w:pPr>
        <w:spacing w:after="0" w:line="170" w:lineRule="exact"/>
        <w:rPr>
          <w:sz w:val="20"/>
          <w:szCs w:val="20"/>
          <w:color w:val="auto"/>
        </w:rPr>
      </w:pPr>
    </w:p>
    <w:p>
      <w:pPr>
        <w:jc w:val="both"/>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Wholly-Owned Subsidiary</w:t>
      </w:r>
      <w:r>
        <w:rPr>
          <w:rFonts w:ascii="Arial" w:cs="Arial" w:eastAsia="Arial" w:hAnsi="Arial"/>
          <w:sz w:val="16"/>
          <w:szCs w:val="16"/>
          <w:color w:val="auto"/>
        </w:rPr>
        <w:t>” means, with respect to any Person, (a) any corporation, association or other business entity of which 100% of the Voting Stock thereof is at the time owned or controlled, directly or indirectly, by such Person or one or more of the other Subsidiaries of such Person (or a combination thereof) and (b) any partnership, limited liability company or similar pass-through entity of which the sole partners, members or other similar persons in corresponding roles, however designated, are such Person or one or more Subsidiaries of such Person (or any combination thereof).</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Provisions of General Application</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For all purposes of this Supplemental Indenture and of any indenture supplemental hereto (except as herein or therein otherwise expressly provided or unless the context of this Supplemental Indenture or such indenture supplemental hereto otherwise requires):</w:t>
      </w:r>
    </w:p>
    <w:p>
      <w:pPr>
        <w:spacing w:after="0" w:line="38" w:lineRule="exact"/>
        <w:rPr>
          <w:sz w:val="20"/>
          <w:szCs w:val="20"/>
          <w:color w:val="auto"/>
        </w:rPr>
      </w:pPr>
    </w:p>
    <w:p>
      <w:pPr>
        <w:ind w:left="5460" w:right="4500" w:hanging="4473"/>
        <w:spacing w:after="0" w:line="449" w:lineRule="auto"/>
        <w:tabs>
          <w:tab w:leader="none" w:pos="12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defined in this Article include the plural as well as the singular; 9</w:t>
      </w:r>
    </w:p>
    <w:p>
      <w:pPr>
        <w:sectPr>
          <w:pgSz w:w="11900" w:h="16838" w:orient="portrait"/>
          <w:cols w:equalWidth="0" w:num="1">
            <w:col w:w="11000"/>
          </w:cols>
          <w:pgMar w:left="440" w:top="490" w:right="459" w:bottom="1440" w:gutter="0" w:footer="0" w:header="0"/>
        </w:sectPr>
      </w:pPr>
    </w:p>
    <w:bookmarkStart w:id="16" w:name="page17"/>
    <w:bookmarkEnd w:id="16"/>
    <w:p>
      <w:pPr>
        <w:ind w:right="100" w:firstLine="987"/>
        <w:spacing w:after="0" w:line="263" w:lineRule="auto"/>
        <w:tabs>
          <w:tab w:leader="none" w:pos="1246"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other terms used in this Supplemental Indenture that are defined in the Indenture or the Trust Indenture Act, either directly or by reference therein, have the respective meanings assigned to such terms in the Indenture or the Trust Indenture Act, as the case may be, as in force at the date of this Supplemental Indenture as originally executed;</w:t>
      </w:r>
    </w:p>
    <w:p>
      <w:pPr>
        <w:spacing w:after="0" w:line="183" w:lineRule="exact"/>
        <w:rPr>
          <w:rFonts w:ascii="Arial" w:cs="Arial" w:eastAsia="Arial" w:hAnsi="Arial"/>
          <w:sz w:val="18"/>
          <w:szCs w:val="18"/>
          <w:color w:val="auto"/>
        </w:rPr>
      </w:pPr>
    </w:p>
    <w:p>
      <w:pPr>
        <w:ind w:firstLine="987"/>
        <w:spacing w:after="0" w:line="291" w:lineRule="auto"/>
        <w:tabs>
          <w:tab w:leader="none" w:pos="1246"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accounting terms not otherwise defined in the Indenture or this Supplemental Indenture have the meanings assigned to them in accordance with GAAP as in effect on the date of this Supplemental Indenture, but (i)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of the Company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66" w:lineRule="exact"/>
        <w:rPr>
          <w:rFonts w:ascii="Arial" w:cs="Arial" w:eastAsia="Arial" w:hAnsi="Arial"/>
          <w:sz w:val="16"/>
          <w:szCs w:val="16"/>
          <w:color w:val="auto"/>
        </w:rPr>
      </w:pPr>
    </w:p>
    <w:p>
      <w:pPr>
        <w:ind w:right="80" w:firstLine="987"/>
        <w:spacing w:after="0" w:line="277" w:lineRule="auto"/>
        <w:tabs>
          <w:tab w:leader="none" w:pos="1246"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Supplemental Indenture; and</w:t>
      </w:r>
    </w:p>
    <w:p>
      <w:pPr>
        <w:spacing w:after="0" w:line="170"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words “herein,” “hereof,” “hereunder” and other words of similar import refer to this Supplemental Indenture as a whole and not to any particular Article, Section or other subdivision.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ISSUANCE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Issuance of Notes; Principal Amount; Maturity</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55" w:lineRule="auto"/>
        <w:tabs>
          <w:tab w:leader="none" w:pos="1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May 24, 2023, the Company shall issue and deliver to the Trustee, and the Trustee shall authenticate, the Initial Notes substantially in the form set forth in Section 3.2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Notes, as evidenced by their execution of such Notes.</w:t>
      </w:r>
    </w:p>
    <w:p>
      <w:pPr>
        <w:spacing w:after="0" w:line="192" w:lineRule="exact"/>
        <w:rPr>
          <w:rFonts w:ascii="Arial" w:cs="Arial" w:eastAsia="Arial" w:hAnsi="Arial"/>
          <w:sz w:val="18"/>
          <w:szCs w:val="18"/>
          <w:color w:val="auto"/>
        </w:rPr>
      </w:pPr>
    </w:p>
    <w:p>
      <w:pPr>
        <w:ind w:left="1240" w:hanging="253"/>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Notes to be issued pursuant to this Supplemental Indenture shall be issued in the aggregate principal amount of</w:t>
      </w:r>
    </w:p>
    <w:p>
      <w:pPr>
        <w:spacing w:after="0" w:line="2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€800,000,000 and shall mature on May 24, 2031 unless the Notes are redeemed or repurchased prior to that date in accordance with the provisions set forth in Sections 5.1, 5.2 or 6.3 hereof. The Initial Notes shall be offered by the Company at a price of 99.566% of the aggregate principal amount of such series. The aggregate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490" w:right="479" w:bottom="1440" w:gutter="0" w:footer="0" w:header="0"/>
        </w:sectPr>
      </w:pPr>
    </w:p>
    <w:bookmarkStart w:id="17" w:name="page18"/>
    <w:bookmarkEnd w:id="1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principal amount of Initial Notes Outstanding at any time may not exceed €800,000,000, except for Notes issued, authenticated and delivered upon registration of transfer of, or in exchange for, or in lieu of, other Notes of the series pursuant to Sections 304, 305, 306, 906 or 1107 of the Indenture and except for any Notes which, pursuant to Section 303 of the Indenture, are deemed never to have been authenticated and delivered. The Company may without the consent of the Holders, issue Additional Notes hereunder on the same terms and conditions (except for the issue date, public offering price and, if applicable, the payment of interest accruing prior to the issue date and the initial Interest Payment Date) and with the same CUSIP numbers as the Initial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Additional Notes are issued at a price that causes such Additional Notes to have “original issue discount” within the meaning of Section 1273 of the United States Internal Revenue Code of 1986, as amended, and regulations of the United States Department of Treasury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such Additional Notes shall not have the same CUSIP number as the Initial Notes.</w:t>
      </w:r>
    </w:p>
    <w:p>
      <w:pPr>
        <w:spacing w:after="0" w:line="165" w:lineRule="exact"/>
        <w:rPr>
          <w:sz w:val="20"/>
          <w:szCs w:val="20"/>
          <w:color w:val="auto"/>
        </w:rPr>
      </w:pPr>
    </w:p>
    <w:p>
      <w:pPr>
        <w:ind w:right="440" w:firstLine="987"/>
        <w:spacing w:after="0" w:line="277" w:lineRule="auto"/>
        <w:tabs>
          <w:tab w:leader="none" w:pos="12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shall be issued only in fully registered form without coupons in minimum denominations of €100,000 and any integral multiple of €1,000 in excess thereof.</w:t>
      </w:r>
    </w:p>
    <w:p>
      <w:pPr>
        <w:spacing w:after="0" w:line="170" w:lineRule="exact"/>
        <w:rPr>
          <w:rFonts w:ascii="Arial" w:cs="Arial" w:eastAsia="Arial" w:hAnsi="Arial"/>
          <w:sz w:val="18"/>
          <w:szCs w:val="18"/>
          <w:color w:val="auto"/>
        </w:rPr>
      </w:pPr>
    </w:p>
    <w:p>
      <w:pPr>
        <w:ind w:right="380" w:firstLine="987"/>
        <w:spacing w:after="0" w:line="308" w:lineRule="auto"/>
        <w:tabs>
          <w:tab w:leader="none" w:pos="1246"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Notwithstanding anything to the contrary in the Indenture, Elavon Financial Services DAC, UK Branch will initially act as paying agent for the Notes and not the Trustee. The Company may appoint and change the Paying Agent without prior notice to the Holders.</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25" w:lineRule="exact"/>
        <w:rPr>
          <w:sz w:val="20"/>
          <w:szCs w:val="20"/>
          <w:color w:val="auto"/>
        </w:rPr>
      </w:pPr>
    </w:p>
    <w:p>
      <w:pPr>
        <w:ind w:right="160" w:firstLine="987"/>
        <w:spacing w:after="0" w:line="257"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on the Notes shall accrue at the per annum rate of 4.500% and shall be paid on the basis of the actual number of days in the period for which interest is being calculated and the actual number of days from, and including, the last scheduled Interest Payment Date to which interest was paid on the Notes (or from May 24, 2023, if no interest has been paid on the Notes) to, but excluding, the next scheduled Interest Payment Date (such payment convention being referred to as the ACTUAL/ACTUAL (ICMA) (as defined in the rulebook of the International Capital Markets Association) day count convention).</w:t>
      </w:r>
    </w:p>
    <w:p>
      <w:pPr>
        <w:spacing w:after="0" w:line="187" w:lineRule="exact"/>
        <w:rPr>
          <w:rFonts w:ascii="Arial" w:cs="Arial" w:eastAsia="Arial" w:hAnsi="Arial"/>
          <w:sz w:val="18"/>
          <w:szCs w:val="18"/>
          <w:color w:val="auto"/>
        </w:rPr>
      </w:pPr>
    </w:p>
    <w:p>
      <w:pPr>
        <w:ind w:right="780" w:firstLine="987"/>
        <w:spacing w:after="0" w:line="277" w:lineRule="auto"/>
        <w:tabs>
          <w:tab w:leader="none" w:pos="12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shall pay interest on the Notes annually in arrears on May 24 of each year (each, an “</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commencing May 24, 2024.</w:t>
      </w:r>
    </w:p>
    <w:p>
      <w:pPr>
        <w:spacing w:after="0" w:line="170" w:lineRule="exact"/>
        <w:rPr>
          <w:rFonts w:ascii="Arial" w:cs="Arial" w:eastAsia="Arial" w:hAnsi="Arial"/>
          <w:sz w:val="18"/>
          <w:szCs w:val="18"/>
          <w:color w:val="auto"/>
        </w:rPr>
      </w:pPr>
    </w:p>
    <w:p>
      <w:pPr>
        <w:ind w:right="280" w:firstLine="987"/>
        <w:spacing w:after="0" w:line="277"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shall be paid on each Interest Payment Date to the registered Holders of the Notes on the Regular Record Date in respect of such Interest Payment Date.</w:t>
      </w:r>
    </w:p>
    <w:p>
      <w:pPr>
        <w:spacing w:after="0" w:line="170" w:lineRule="exact"/>
        <w:rPr>
          <w:rFonts w:ascii="Arial" w:cs="Arial" w:eastAsia="Arial" w:hAnsi="Arial"/>
          <w:sz w:val="18"/>
          <w:szCs w:val="18"/>
          <w:color w:val="auto"/>
        </w:rPr>
      </w:pPr>
    </w:p>
    <w:p>
      <w:pPr>
        <w:ind w:right="160" w:firstLine="987"/>
        <w:spacing w:after="0" w:line="308" w:lineRule="auto"/>
        <w:tabs>
          <w:tab w:leader="none" w:pos="1246" w:val="left"/>
        </w:tabs>
        <w:numPr>
          <w:ilvl w:val="0"/>
          <w:numId w:val="7"/>
        </w:numPr>
        <w:rPr>
          <w:rFonts w:ascii="Arial" w:cs="Arial" w:eastAsia="Arial" w:hAnsi="Arial"/>
          <w:sz w:val="17"/>
          <w:szCs w:val="17"/>
          <w:color w:val="auto"/>
        </w:rPr>
      </w:pPr>
      <w:r>
        <w:rPr>
          <w:rFonts w:ascii="Arial" w:cs="Arial" w:eastAsia="Arial" w:hAnsi="Arial"/>
          <w:sz w:val="17"/>
          <w:szCs w:val="17"/>
          <w:color w:val="auto"/>
        </w:rPr>
        <w:t>Neither the Company nor the Trustee shall impose any service charge for any transfer or exchange of a Note. However, the Company may ask Holders of the Notes to pay any taxes or other governmental charges in connection with a transfer or exchange of Notes.</w:t>
      </w:r>
    </w:p>
    <w:p>
      <w:pPr>
        <w:spacing w:after="0" w:line="146" w:lineRule="exact"/>
        <w:rPr>
          <w:rFonts w:ascii="Arial" w:cs="Arial" w:eastAsia="Arial" w:hAnsi="Arial"/>
          <w:sz w:val="17"/>
          <w:szCs w:val="17"/>
          <w:color w:val="auto"/>
        </w:rPr>
      </w:pPr>
    </w:p>
    <w:p>
      <w:pPr>
        <w:ind w:firstLine="987"/>
        <w:spacing w:after="0" w:line="301" w:lineRule="auto"/>
        <w:tabs>
          <w:tab w:leader="none" w:pos="1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any Interest Payment Date, Maturity Date, Redemption Date or Change of Control Purchase Date falls on a day that is not a Business Day, the Company shall make the required payment of principal, premium, if any, and/or interest on the next such Business Day as if it were made on the date payment was due, and no interest shall accrue on the amount so payable for the period from and after that Interest Payment Date, the Maturity Date or earlier Redemption Date or Change of Control Purchase Date, as the case may be, to the next such Business Day.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490" w:right="459" w:bottom="1440" w:gutter="0" w:footer="0" w:header="0"/>
        </w:sectPr>
      </w:pPr>
    </w:p>
    <w:bookmarkStart w:id="18" w:name="page19"/>
    <w:bookmarkEnd w:id="1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2.3 </w:t>
      </w:r>
      <w:r>
        <w:rPr>
          <w:rFonts w:ascii="Arial" w:cs="Arial" w:eastAsia="Arial" w:hAnsi="Arial"/>
          <w:sz w:val="18"/>
          <w:szCs w:val="18"/>
          <w:u w:val="single" w:color="auto"/>
          <w:color w:val="auto"/>
        </w:rPr>
        <w:t>Issuance in Euro</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Payments of principal (and premium, if any) and interest on the Notes, including any payments made upon the redemption or repurchase of the Notes pursuant to Sections 5.1, 5.2 or 6.3 hereof, will be made in euro. Distributions of such amounts with respect to any Global Security will be credited in euro to the extent received by the ICSDs to the cash accounts of the ICSD customers in accordance with their Applicable Procedures. If euro is unavailable to the Company due to the imposition of exchange controls or other circumstances beyond the Company’s control or if the euro is no longer used by the member states of the European Union that have adopted the euro as their currency or for the settlement of transactions by public institutions of or within the international banking community, then all payments in respect of this Note will be made in Dollars until the euro is again available to the Company or so used. In such circumstances, the amount payable on any date in euro will be converted into Dollars at the Market Exchange Rate as of the close of business on the second Business Day prior to the relevant payment date or, if such Market Exchange Rate is not then available, on the basis of the then most recent Dollar/euro exchange rate available on or prior to the second Business Day prior to the relevant payment date as determined by the Company in its sole discretion. Any payment in respect of the Notes so made in Dollars will not constitute an Event of Default under the Indenture, this Supplemental Indenture or the Notes.</w:t>
      </w:r>
    </w:p>
    <w:p>
      <w:pPr>
        <w:spacing w:after="0" w:line="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Relationship with Indenture</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The terms and provisions contained in the Indenture shall constitute, and are hereby expressly made, a part of this Supplemental Indenture. However, to the extent any provision of the Indenture conflicts with the express provisions of this Supplemental Indenture, the provisions of this Supplemental Indenture shall govern and be controlling.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FORMS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Form Generally</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5" w:lineRule="auto"/>
        <w:tabs>
          <w:tab w:leader="none" w:pos="124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Notes shall be in substantially the form set forth in Section 3.2 of this Article, with such appropriate insertions, omissions, substitutions and other variations as are required or permitted by this Supplemental Indenture and the Indenture, and may have such letters, numbers or other marks of identification and such legends or endorsements placed thereon as may be required to comply with the rules of any securities exchange or Depositary therefor (including the ICSDs), the Code, or any applicable securities laws, or as may, consistently herewith, be determined by the officers executing such Notes, as evidenced by their execution of such Notes. All Notes shall be in fully registered form.</w:t>
      </w:r>
    </w:p>
    <w:p>
      <w:pPr>
        <w:spacing w:after="0" w:line="176" w:lineRule="exact"/>
        <w:rPr>
          <w:rFonts w:ascii="Arial" w:cs="Arial" w:eastAsia="Arial" w:hAnsi="Arial"/>
          <w:sz w:val="17"/>
          <w:szCs w:val="17"/>
          <w:color w:val="auto"/>
        </w:rPr>
      </w:pPr>
    </w:p>
    <w:p>
      <w:pPr>
        <w:ind w:left="1240" w:hanging="25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 Notices shall be in substantially the form set forth in Section 3.3.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490" w:right="459" w:bottom="1440" w:gutter="0" w:footer="0" w:header="0"/>
        </w:sectPr>
      </w:pPr>
    </w:p>
    <w:bookmarkStart w:id="19" w:name="page20"/>
    <w:bookmarkEnd w:id="19"/>
    <w:p>
      <w:pPr>
        <w:ind w:left="1240" w:hanging="25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Trustee’s certificates of authentication shall be in substantially the form set forth in Section 3.4.</w:t>
      </w:r>
    </w:p>
    <w:p>
      <w:pPr>
        <w:spacing w:after="0" w:line="225" w:lineRule="exact"/>
        <w:rPr>
          <w:rFonts w:ascii="Arial" w:cs="Arial" w:eastAsia="Arial" w:hAnsi="Arial"/>
          <w:sz w:val="18"/>
          <w:szCs w:val="18"/>
          <w:color w:val="auto"/>
        </w:rPr>
      </w:pPr>
    </w:p>
    <w:p>
      <w:pPr>
        <w:ind w:right="180" w:firstLine="987"/>
        <w:spacing w:after="0" w:line="259" w:lineRule="auto"/>
        <w:tabs>
          <w:tab w:leader="none" w:pos="12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Notes shall be printed, lithographed, typewritten or engraved or produced by any combination of these methods or may be produced in any other manner permitted by the rules of any automated quotation system or securities exchange (including on steel engraved borders if so required by any securities exchange upon which the Notes may be listed) on which the Notes may be quoted or listed, as the case may be, all as determined by the officers executing such Notes, as evidenced by their execution thereof.</w:t>
      </w:r>
    </w:p>
    <w:p>
      <w:pPr>
        <w:spacing w:after="0" w:line="186" w:lineRule="exact"/>
        <w:rPr>
          <w:rFonts w:ascii="Arial" w:cs="Arial" w:eastAsia="Arial" w:hAnsi="Arial"/>
          <w:sz w:val="18"/>
          <w:szCs w:val="18"/>
          <w:color w:val="auto"/>
        </w:rPr>
      </w:pPr>
    </w:p>
    <w:p>
      <w:pPr>
        <w:jc w:val="both"/>
        <w:ind w:firstLine="987"/>
        <w:spacing w:after="0" w:line="301" w:lineRule="auto"/>
        <w:tabs>
          <w:tab w:leader="none" w:pos="1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their original issuance, the Notes shall be issued in the form of one or more Global Securities (each, a “</w:t>
      </w:r>
      <w:r>
        <w:rPr>
          <w:rFonts w:ascii="Arial" w:cs="Arial" w:eastAsia="Arial" w:hAnsi="Arial"/>
          <w:sz w:val="16"/>
          <w:szCs w:val="16"/>
          <w:u w:val="single" w:color="auto"/>
          <w:color w:val="auto"/>
        </w:rPr>
        <w:t>Global Note</w:t>
      </w:r>
      <w:r>
        <w:rPr>
          <w:rFonts w:ascii="Arial" w:cs="Arial" w:eastAsia="Arial" w:hAnsi="Arial"/>
          <w:sz w:val="16"/>
          <w:szCs w:val="16"/>
          <w:color w:val="auto"/>
        </w:rPr>
        <w:t>”) in definitive, fully registered form without interest coupons. Each such Global Note shall be registered in the name of a nominee of the ICSDs, as Depositary, and shall be deposited with the Common Depositary or its nominee. Beneficial interests in the Global Notes shall be shown on, and transfers shall only be made through, the records maintained by the ICSDs and their participants, including Clearstream and the Euroclear System.</w:t>
      </w:r>
    </w:p>
    <w:p>
      <w:pPr>
        <w:spacing w:after="0" w:line="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Form of Note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FACE]</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[THE FOLLOWING LEGEND SHALL APPEAR ON THE FACE OF EACH GLOBAL SECURITY:</w:t>
      </w:r>
    </w:p>
    <w:p>
      <w:pPr>
        <w:spacing w:after="0" w:line="225" w:lineRule="exact"/>
        <w:rPr>
          <w:sz w:val="20"/>
          <w:szCs w:val="20"/>
          <w:color w:val="auto"/>
        </w:rPr>
      </w:pPr>
    </w:p>
    <w:p>
      <w:pPr>
        <w:ind w:right="220" w:firstLine="991"/>
        <w:spacing w:after="0" w:line="258" w:lineRule="auto"/>
        <w:rPr>
          <w:sz w:val="20"/>
          <w:szCs w:val="20"/>
          <w:color w:val="auto"/>
        </w:rPr>
      </w:pPr>
      <w:r>
        <w:rPr>
          <w:rFonts w:ascii="Arial" w:cs="Arial" w:eastAsia="Arial" w:hAnsi="Arial"/>
          <w:sz w:val="18"/>
          <w:szCs w:val="18"/>
          <w:b w:val="1"/>
          <w:bCs w:val="1"/>
          <w:color w:val="auto"/>
        </w:rPr>
        <w:t>THIS NOTE IS A GLOBAL SECURITY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ind w:right="1140" w:firstLine="991"/>
        <w:spacing w:after="0" w:line="282" w:lineRule="auto"/>
        <w:rPr>
          <w:sz w:val="20"/>
          <w:szCs w:val="20"/>
          <w:color w:val="auto"/>
        </w:rPr>
      </w:pPr>
      <w:r>
        <w:rPr>
          <w:rFonts w:ascii="Arial" w:cs="Arial" w:eastAsia="Arial" w:hAnsi="Arial"/>
          <w:sz w:val="18"/>
          <w:szCs w:val="18"/>
          <w:b w:val="1"/>
          <w:bCs w:val="1"/>
          <w:color w:val="auto"/>
        </w:rPr>
        <w:t>[THE FOLLOWING LEGEND SHALL APPEAR ON THE FACE OF EACH GLOBAL SECURITY FOR WHICH EUROCLEAR AND CLEARSTREAM ARE TO BE THE DEPOSITARY:</w:t>
      </w:r>
    </w:p>
    <w:p>
      <w:pPr>
        <w:spacing w:after="0" w:line="162"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b w:val="1"/>
          <w:bCs w:val="1"/>
          <w:color w:val="auto"/>
        </w:rPr>
        <w:t>UNLESS THIS CERTIFICATE IS PRESENTED BY AN AUTHORIZED REPRESENTATIVE OF EUROCLEAR BANK, S.A./N.V, AS OPERATOR OF THE EUROCLEAR SYSTEM (“EUROCLEAR”) AND CLEARSTREAM BANKING S.A. (“CLEARSTREAM,” AND TOGETHER WITH EUROCLEAR, “EUROCLEAR/CLEARSTREAM”), TO THE COMPANY OR ITS AGENT FOR REGISTRATION OF TRANSFER, EXCHANGE OR PAYMENT, AND ANY CERTIFICATE ISSUED IS REGISTERED IN THE NAME OF THE COMMON DEPOSITARY OR ITS NOMINEE, OR IN SUCH OTHER NAME AS IS REQUESTED BY AN AUTHORIZED REPRESENTATIVE OF THE COMMON DEPOSITARY OR AN AUTHORIZED REPRESENTATIVE OF EUROCLEAR/CLEARSTREAM (AND 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490" w:right="479" w:bottom="1440" w:gutter="0" w:footer="0" w:header="0"/>
        </w:sectPr>
      </w:pPr>
    </w:p>
    <w:bookmarkStart w:id="20" w:name="page21"/>
    <w:bookmarkEnd w:id="20"/>
    <w:p>
      <w:pPr>
        <w:ind w:right="1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PAYMENT IS MADE TO THE COMMON DEPOSITARY OR ITS NOMINEE OR TO SUCH OTHER ENTITY AS IS REQUESTED BY AN AUTHORIZED REPRESENTATIVE OF THE COMMON DEPOSITARY OR AN AUTHORIZED REPRESENTATIVE OF EUROCLEAR/CLEARSTREAM), ANY TRANSFER, PLEDGE OR OTHER USE HEREOF FOR VALUE OR OTHERWISE BY OR TO ANY PERSON IS WRONGFUL INASMUCH AS THE REGISTERED OWNER HEREOF, THE COMMON DEPOSITARY OR ITS NOMINEE, HAS AN INTEREST HEREIN.]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4.500% SENIOR NOTE DUE 2031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No. _____________</w:t>
            </w:r>
          </w:p>
        </w:tc>
        <w:tc>
          <w:tcPr>
            <w:tcW w:w="5280" w:type="dxa"/>
            <w:vAlign w:val="bottom"/>
          </w:tcPr>
          <w:p>
            <w:pPr>
              <w:ind w:left="4280"/>
              <w:spacing w:after="0"/>
              <w:rPr>
                <w:sz w:val="20"/>
                <w:szCs w:val="20"/>
                <w:color w:val="auto"/>
              </w:rPr>
            </w:pPr>
            <w:r>
              <w:rPr>
                <w:rFonts w:ascii="Arial" w:cs="Arial" w:eastAsia="Arial" w:hAnsi="Arial"/>
                <w:sz w:val="18"/>
                <w:szCs w:val="18"/>
                <w:color w:val="auto"/>
                <w:w w:val="88"/>
              </w:rPr>
              <w:t>€800,000,000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CUSIP NO. 337738 BF4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XS2626288257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Code 262628825</w:t>
      </w:r>
    </w:p>
    <w:p>
      <w:pPr>
        <w:spacing w:after="0" w:line="224"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Fiserv, Inc., a corporation duly organized and existing under the laws of the State of Wisconsin (herein called the “</w:t>
      </w:r>
      <w:r>
        <w:rPr>
          <w:rFonts w:ascii="Arial" w:cs="Arial" w:eastAsia="Arial" w:hAnsi="Arial"/>
          <w:sz w:val="18"/>
          <w:szCs w:val="18"/>
          <w:u w:val="single" w:color="auto"/>
          <w:color w:val="auto"/>
        </w:rPr>
        <w:t>Company</w:t>
      </w:r>
      <w:r>
        <w:rPr>
          <w:rFonts w:ascii="Arial" w:cs="Arial" w:eastAsia="Arial" w:hAnsi="Arial"/>
          <w:sz w:val="18"/>
          <w:szCs w:val="18"/>
          <w:color w:val="auto"/>
        </w:rPr>
        <w:t>”, which term includes any successor Person under the Indenture referred to on the reverse hereof), for value received, hereby promises to pay to USB Nominees (UK) Limited, or registered assigns, the principal sum of EIGHT HUNDRED MILLION euros (€800,000,000) on May 24, 2031 and to pay interest thereon, from May 24, 2023, or from the most recent Interest Payment Date to which interest has been paid or duly provided for to but excluding the next Interest Payment Date, which shall be May 24 of each year, commencing May 24, 2024, at the per annum rate of 4.500%, until the principal hereof is paid or made available for payment.</w:t>
      </w:r>
    </w:p>
    <w:p>
      <w:pPr>
        <w:spacing w:after="0" w:line="192"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The interest so payable, and punctually paid or duly provided for, on any Interest Payment Date shall, as provided in the Indenture, be paid to the Person in whose name this Note is registered at the close of business on the Regular Record Date for such interest, which shall be the day that is</w:t>
      </w:r>
    </w:p>
    <w:p>
      <w:pPr>
        <w:ind w:right="20"/>
        <w:spacing w:after="0" w:line="269" w:lineRule="auto"/>
        <w:rPr>
          <w:sz w:val="20"/>
          <w:szCs w:val="20"/>
          <w:color w:val="auto"/>
        </w:rPr>
      </w:pPr>
      <w:r>
        <w:rPr>
          <w:rFonts w:ascii="Arial" w:cs="Arial" w:eastAsia="Arial" w:hAnsi="Arial"/>
          <w:sz w:val="17"/>
          <w:szCs w:val="17"/>
          <w:color w:val="auto"/>
        </w:rPr>
        <w:t>15 days prior to the relevant Interest Payment Date (whether or not a Business Day). Except as otherwise provided in the Indenture, any such interest not so punctually paid or duly provided for shall forthwith cease to be payable to the Holder on such Regular Record Date and may either be paid to the Person in whose name this Note is registered at the close of business on a Special Record Date for the payment of such Defaulted Interest to be fixed by the Company, notice of which shall be given to Holders of Notes not less than 10 days prior to the Special Record Date or be paid at any time in any other lawful manner not inconsistent with the requirements of any securities exchange on which the Notes may be listed, and upon such notice as may be required by such exchange, all as more fully provided in the Indenture. Interest shall be computed on the basis of an ACTUAL/ACTUAL (ICMA) (as defined in the rulebook of the International Capital Markets Association) day count convention.</w:t>
      </w:r>
    </w:p>
    <w:p>
      <w:pPr>
        <w:spacing w:after="0" w:line="180"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Payments of principal (and premium, if any) and interest on this Note shall be made in euro at an office or agency maintained for such purpose in London, initially the corporate trust office of the Paying Agent at 125 Old Broad Street, Fifth Floor, London EC2N 1AR or the office maintained from time to time by the Paying Agent in London. If euro 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486" w:right="439" w:bottom="1440" w:gutter="0" w:footer="0" w:header="0"/>
        </w:sectPr>
      </w:pPr>
    </w:p>
    <w:bookmarkStart w:id="21" w:name="page22"/>
    <w:bookmarkEnd w:id="21"/>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unavailable to the Company due to the imposition of exchange controls or other circumstances beyond the Company’s control or if the euro is no longer used by the member states of the European Union that have adopted the euro as their currency or for the settlement of transactions by public institutions of or within the international banking community, then all payments in respect of this Note will be made in Dollars until the euro is again available to the Company or so used. In such circumstances, the amount payable on any date in euro shall be converted into Dollars at the Market Exchange Rate as of the close of business on the second Business Day before the relevant payment date, or if such Market Exchange Rate is not then available, on the basis of the most recent Dollar/euro exchange rate available on or prior to the second Business Day prior to the relevant payment date, as determined by the Company in its sole discretion. Any payment in respect of this Note so made in Dollars shall not constitute an Event of Default under the Indenture or this Note.</w:t>
      </w:r>
    </w:p>
    <w:p>
      <w:pPr>
        <w:spacing w:after="0" w:line="19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With respect to Global Notes, the Company shall make such payments by wire transfer of immediately available funds to the Paying Agent for transmission to the ICSDs or to the nominee of the Common Depositary, as the case may be, as the registered holder of the Global Notes. With respect to certificated Notes, the Company, at its option, may make such payments by check mailed directly to holders at their registered addresses or by wire transfer of immediately available funds via the Paying Agent.</w:t>
      </w:r>
    </w:p>
    <w:p>
      <w:pPr>
        <w:spacing w:after="0" w:line="187"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490" w:right="4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is one of the Securities of the series designated therein referred to in the within-mentioned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ASSOCIATION,as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Signatory</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19"/>
          </w:cols>
          <w:pgMar w:left="440" w:top="490" w:right="1440" w:bottom="1440" w:gutter="0" w:footer="0" w:header="0"/>
        </w:sectPr>
      </w:pPr>
    </w:p>
    <w:bookmarkStart w:id="23" w:name="page24"/>
    <w:bookmarkEnd w:id="23"/>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[FORM OF REVERSE OF NOTE]</w:t>
      </w:r>
    </w:p>
    <w:p>
      <w:pPr>
        <w:spacing w:after="0" w:line="131" w:lineRule="exact"/>
        <w:rPr>
          <w:sz w:val="20"/>
          <w:szCs w:val="20"/>
          <w:color w:val="auto"/>
        </w:rPr>
      </w:pPr>
    </w:p>
    <w:p>
      <w:pPr>
        <w:ind w:left="444" w:hanging="444"/>
        <w:spacing w:after="0" w:line="269" w:lineRule="auto"/>
        <w:tabs>
          <w:tab w:leader="none" w:pos="444"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Indenture</w:t>
      </w:r>
      <w:r>
        <w:rPr>
          <w:rFonts w:ascii="Arial" w:cs="Arial" w:eastAsia="Arial" w:hAnsi="Arial"/>
          <w:sz w:val="17"/>
          <w:szCs w:val="17"/>
          <w:color w:val="auto"/>
        </w:rPr>
        <w:t>. This Note is one of a duly authorized issue of Securities of the Company designated as its “4.500% Senior Notes due 2031” (herein</w:t>
      </w:r>
      <w:r>
        <w:rPr>
          <w:rFonts w:ascii="Arial" w:cs="Arial" w:eastAsia="Arial" w:hAnsi="Arial"/>
          <w:sz w:val="17"/>
          <w:szCs w:val="17"/>
          <w:i w:val="1"/>
          <w:iCs w:val="1"/>
          <w:color w:val="auto"/>
        </w:rPr>
        <w:t xml:space="preserve"> </w:t>
      </w:r>
      <w:r>
        <w:rPr>
          <w:rFonts w:ascii="Arial" w:cs="Arial" w:eastAsia="Arial" w:hAnsi="Arial"/>
          <w:sz w:val="17"/>
          <w:szCs w:val="17"/>
          <w:color w:val="auto"/>
        </w:rPr>
        <w:t>called the “</w:t>
      </w:r>
      <w:r>
        <w:rPr>
          <w:rFonts w:ascii="Arial" w:cs="Arial" w:eastAsia="Arial" w:hAnsi="Arial"/>
          <w:sz w:val="17"/>
          <w:szCs w:val="17"/>
          <w:u w:val="single" w:color="auto"/>
          <w:color w:val="auto"/>
        </w:rPr>
        <w:t>Notes</w:t>
      </w:r>
      <w:r>
        <w:rPr>
          <w:rFonts w:ascii="Arial" w:cs="Arial" w:eastAsia="Arial" w:hAnsi="Arial"/>
          <w:sz w:val="17"/>
          <w:szCs w:val="17"/>
          <w:color w:val="auto"/>
        </w:rPr>
        <w:t>”), issued under an Indenture, dated as of November 20, 2007 (the “</w:t>
      </w:r>
      <w:r>
        <w:rPr>
          <w:rFonts w:ascii="Arial" w:cs="Arial" w:eastAsia="Arial" w:hAnsi="Arial"/>
          <w:sz w:val="17"/>
          <w:szCs w:val="17"/>
          <w:u w:val="single" w:color="auto"/>
          <w:color w:val="auto"/>
        </w:rPr>
        <w:t>Base Indenture</w:t>
      </w:r>
      <w:r>
        <w:rPr>
          <w:rFonts w:ascii="Arial" w:cs="Arial" w:eastAsia="Arial" w:hAnsi="Arial"/>
          <w:sz w:val="17"/>
          <w:szCs w:val="17"/>
          <w:color w:val="auto"/>
        </w:rPr>
        <w:t>”), as supplemented by that certain Twenty-Ninth Supplemental Indenture, dated as of May 24, 2023 (the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and herein with the Base Indenture, collectively,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U.S. Bank Trust Company, National Association (as successor in interest to U.S. Bank National Association),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the Paying Agent and the Holders of the Notes and of the terms upon which the Notes are, and are to be, authenticated and delivered. The aggregate principal amount of Initial Notes Outstanding at any time may not exceed €800,000,000 in aggregate principal amount, except for Notes issued, authenticated and delivered upon registration of transfer of, or in exchange for, or in lieu of, other Notes pursuant to Sections 304, 305, 306, 906 or 1107 of the Base Indenture and except for any Notes which, pursuant to Section 303 of the Base Indenture, are deemed never to have been authenticated and delivered. Additional Notes may be issued in accordance with the provisions of Section 2.1(2) of the Supplemental Indenture.</w:t>
      </w:r>
    </w:p>
    <w:p>
      <w:pPr>
        <w:spacing w:after="0" w:line="70" w:lineRule="exact"/>
        <w:rPr>
          <w:rFonts w:ascii="Arial" w:cs="Arial" w:eastAsia="Arial" w:hAnsi="Arial"/>
          <w:sz w:val="17"/>
          <w:szCs w:val="17"/>
          <w:color w:val="auto"/>
        </w:rPr>
      </w:pPr>
    </w:p>
    <w:p>
      <w:pPr>
        <w:ind w:left="444" w:right="80"/>
        <w:spacing w:after="0" w:line="277" w:lineRule="auto"/>
        <w:rPr>
          <w:rFonts w:ascii="Arial" w:cs="Arial" w:eastAsia="Arial" w:hAnsi="Arial"/>
          <w:sz w:val="17"/>
          <w:szCs w:val="17"/>
          <w:color w:val="auto"/>
        </w:rPr>
      </w:pPr>
      <w:r>
        <w:rPr>
          <w:rFonts w:ascii="Arial" w:cs="Arial" w:eastAsia="Arial" w:hAnsi="Arial"/>
          <w:sz w:val="18"/>
          <w:szCs w:val="18"/>
          <w:color w:val="auto"/>
        </w:rPr>
        <w:t>All terms used in this Note which are defined in the Indenture shall have the meanings assigned to them in the Indenture. In the event of a conflict between this Note and the Indenture, the provisions of the Indenture shall govern.</w:t>
      </w:r>
    </w:p>
    <w:p>
      <w:pPr>
        <w:spacing w:after="0" w:line="75" w:lineRule="exact"/>
        <w:rPr>
          <w:rFonts w:ascii="Arial" w:cs="Arial" w:eastAsia="Arial" w:hAnsi="Arial"/>
          <w:sz w:val="17"/>
          <w:szCs w:val="17"/>
          <w:color w:val="auto"/>
        </w:rPr>
      </w:pPr>
    </w:p>
    <w:p>
      <w:pPr>
        <w:ind w:left="444" w:right="40" w:hanging="444"/>
        <w:spacing w:after="0" w:line="270" w:lineRule="auto"/>
        <w:tabs>
          <w:tab w:leader="none" w:pos="444"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Optional Redemption</w:t>
      </w:r>
      <w:r>
        <w:rPr>
          <w:rFonts w:ascii="Arial" w:cs="Arial" w:eastAsia="Arial" w:hAnsi="Arial"/>
          <w:sz w:val="17"/>
          <w:szCs w:val="17"/>
          <w:color w:val="auto"/>
        </w:rPr>
        <w:t>. Prior to the Par Call Date, the Company may redeem the Notes, pursuant to Section 5.1 of the Supplemental Indenture, 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its option, in whole or in part, at any time and from time to time, at a Redemption Price (expressed as a percentage of principal amount and rounded to three decimal places) equal to the greater of: (1) (a) the sum of the present values of the remaining scheduled payments of principal of and interest on the Notes to be redeemed discounted to the Redemption Date (assuming that the Notes matured on the Par Call Date), on an annual (ACTUAL/ACTUAL (ICMA)) basis at a rate equal to the sum of the Comparable Government Bond Rate plus 35 basis points, less (b) interest accrued to the date of redemption; and (2) 100% of the principal amount of the Notes to be redeemed; </w:t>
      </w:r>
      <w:r>
        <w:rPr>
          <w:rFonts w:ascii="Arial" w:cs="Arial" w:eastAsia="Arial" w:hAnsi="Arial"/>
          <w:sz w:val="17"/>
          <w:szCs w:val="17"/>
          <w:i w:val="1"/>
          <w:iCs w:val="1"/>
          <w:color w:val="auto"/>
        </w:rPr>
        <w:t>plus</w:t>
      </w:r>
      <w:r>
        <w:rPr>
          <w:rFonts w:ascii="Arial" w:cs="Arial" w:eastAsia="Arial" w:hAnsi="Arial"/>
          <w:sz w:val="17"/>
          <w:szCs w:val="17"/>
          <w:color w:val="auto"/>
        </w:rPr>
        <w:t xml:space="preserve">, in either case, accrued and unpaid interest on the Notes to, but not including, the Redemption Date. On or after the Par Call Date for the Notes, the Company may redeem the Notes in whole or in part, at any time and from time to time, at a Redemption Price equal to 100% of the principal amount of the Notes being redeemed, </w:t>
      </w:r>
      <w:r>
        <w:rPr>
          <w:rFonts w:ascii="Arial" w:cs="Arial" w:eastAsia="Arial" w:hAnsi="Arial"/>
          <w:sz w:val="17"/>
          <w:szCs w:val="17"/>
          <w:i w:val="1"/>
          <w:iCs w:val="1"/>
          <w:color w:val="auto"/>
        </w:rPr>
        <w:t xml:space="preserve">plus </w:t>
      </w:r>
      <w:r>
        <w:rPr>
          <w:rFonts w:ascii="Arial" w:cs="Arial" w:eastAsia="Arial" w:hAnsi="Arial"/>
          <w:sz w:val="17"/>
          <w:szCs w:val="17"/>
          <w:color w:val="auto"/>
        </w:rPr>
        <w:t>accrued and unpaid interest thereon to the Redemption Date.</w:t>
      </w:r>
    </w:p>
    <w:p>
      <w:pPr>
        <w:spacing w:after="0" w:line="86" w:lineRule="exact"/>
        <w:rPr>
          <w:rFonts w:ascii="Arial" w:cs="Arial" w:eastAsia="Arial" w:hAnsi="Arial"/>
          <w:sz w:val="17"/>
          <w:szCs w:val="17"/>
          <w:color w:val="auto"/>
        </w:rPr>
      </w:pPr>
    </w:p>
    <w:p>
      <w:pPr>
        <w:ind w:left="444" w:right="40" w:hanging="444"/>
        <w:spacing w:after="0" w:line="259" w:lineRule="auto"/>
        <w:tabs>
          <w:tab w:leader="none" w:pos="44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Optional Tax Redemption</w:t>
      </w:r>
      <w:r>
        <w:rPr>
          <w:rFonts w:ascii="Arial" w:cs="Arial" w:eastAsia="Arial" w:hAnsi="Arial"/>
          <w:sz w:val="18"/>
          <w:szCs w:val="18"/>
          <w:color w:val="auto"/>
        </w:rPr>
        <w:t>. The Notes may be redeemed pursuant to Section 5.2 of the Supplemental Indenture, at the Surviving Person’s option, in</w:t>
      </w:r>
      <w:r>
        <w:rPr>
          <w:rFonts w:ascii="Arial" w:cs="Arial" w:eastAsia="Arial" w:hAnsi="Arial"/>
          <w:sz w:val="18"/>
          <w:szCs w:val="18"/>
          <w:i w:val="1"/>
          <w:iCs w:val="1"/>
          <w:color w:val="auto"/>
        </w:rPr>
        <w:t xml:space="preserve"> </w:t>
      </w:r>
      <w:r>
        <w:rPr>
          <w:rFonts w:ascii="Arial" w:cs="Arial" w:eastAsia="Arial" w:hAnsi="Arial"/>
          <w:sz w:val="18"/>
          <w:szCs w:val="18"/>
          <w:color w:val="auto"/>
        </w:rPr>
        <w:t>whole but not in part, at a Redemption Price equal to 100% of the principal amount of the Notes to be redeemed, plus accrued and unpaid interest on the principal amount being redeemed (and any Additional Amounts) to, but not including, the Redemption Date, if (a) at any time following a transaction to which the provisions of Section 801 of the Indenture applies,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490" w:right="439" w:bottom="1440" w:gutter="0" w:footer="0" w:header="0"/>
        </w:sectPr>
      </w:pPr>
    </w:p>
    <w:bookmarkStart w:id="24" w:name="page25"/>
    <w:bookmarkEnd w:id="24"/>
    <w:p>
      <w:pPr>
        <w:ind w:left="44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Surviving Person is required to pay Additional Amounts pursuant to Section 6.4 of the Supplemental Indenture and (b) such obligation cannot be avoided by the Surviving Person taking reasonable measures available to it. Prior to the giving of any notice of redemption in respect of the foregoing, the Surviving Person shall deliver to the Trustee an opinion of independent tax counsel of recognized standing to the effect that the Surviving Person is or would be obligated to pay such Additional Amounts. No notice of redemption in respect of the foregoing may be given earlier than 90 days prior to the earliest date on which the Surviving Person would be obligated to pay Additional Amounts if a payment in respect of the relevant Notes were then due.</w:t>
      </w:r>
    </w:p>
    <w:p>
      <w:pPr>
        <w:spacing w:after="0" w:line="98" w:lineRule="exact"/>
        <w:rPr>
          <w:sz w:val="20"/>
          <w:szCs w:val="20"/>
          <w:color w:val="auto"/>
        </w:rPr>
      </w:pPr>
    </w:p>
    <w:p>
      <w:pPr>
        <w:ind w:left="444" w:right="420" w:hanging="444"/>
        <w:spacing w:after="0" w:line="277" w:lineRule="auto"/>
        <w:tabs>
          <w:tab w:leader="none" w:pos="44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Except as provided in Section 5 below, the Company is not required to make mandatory redemption or sinking fund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with respect to the Notes.</w:t>
      </w:r>
    </w:p>
    <w:p>
      <w:pPr>
        <w:spacing w:after="0" w:line="75" w:lineRule="exact"/>
        <w:rPr>
          <w:rFonts w:ascii="Arial" w:cs="Arial" w:eastAsia="Arial" w:hAnsi="Arial"/>
          <w:sz w:val="18"/>
          <w:szCs w:val="18"/>
          <w:color w:val="auto"/>
        </w:rPr>
      </w:pPr>
    </w:p>
    <w:p>
      <w:pPr>
        <w:ind w:left="444" w:hanging="444"/>
        <w:spacing w:after="0" w:line="301" w:lineRule="auto"/>
        <w:tabs>
          <w:tab w:leader="none" w:pos="444"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In the event of a Change of Control Triggering Event, the Holders may require the Company to purchase for</w:t>
      </w:r>
      <w:r>
        <w:rPr>
          <w:rFonts w:ascii="Arial" w:cs="Arial" w:eastAsia="Arial" w:hAnsi="Arial"/>
          <w:sz w:val="16"/>
          <w:szCs w:val="16"/>
          <w:i w:val="1"/>
          <w:iCs w:val="1"/>
          <w:color w:val="auto"/>
        </w:rPr>
        <w:t xml:space="preserve"> </w:t>
      </w:r>
      <w:r>
        <w:rPr>
          <w:rFonts w:ascii="Arial" w:cs="Arial" w:eastAsia="Arial" w:hAnsi="Arial"/>
          <w:sz w:val="16"/>
          <w:szCs w:val="16"/>
          <w:color w:val="auto"/>
        </w:rPr>
        <w:t>cash all or a portion of their Notes at a purchase price equal to 101% of the principal amount of the Notes, plus accrued and unpaid interest, if any, pursuant to the provisions of Section 6.3 of the Supplemental Indenture, upon providing to the Company or any Paying Agent the completed Purchase Notice in the form on the reverse hereof or otherwise in accordance with the Applicable Procedures of the Depositary.</w:t>
      </w:r>
    </w:p>
    <w:p>
      <w:pPr>
        <w:spacing w:after="0" w:line="49" w:lineRule="exact"/>
        <w:rPr>
          <w:rFonts w:ascii="Arial" w:cs="Arial" w:eastAsia="Arial" w:hAnsi="Arial"/>
          <w:sz w:val="16"/>
          <w:szCs w:val="16"/>
          <w:color w:val="auto"/>
        </w:rPr>
      </w:pPr>
    </w:p>
    <w:p>
      <w:pPr>
        <w:ind w:left="444" w:right="20"/>
        <w:spacing w:after="0" w:line="254" w:lineRule="auto"/>
        <w:rPr>
          <w:rFonts w:ascii="Arial" w:cs="Arial" w:eastAsia="Arial" w:hAnsi="Arial"/>
          <w:sz w:val="16"/>
          <w:szCs w:val="16"/>
          <w:color w:val="auto"/>
        </w:rPr>
      </w:pPr>
      <w:r>
        <w:rPr>
          <w:rFonts w:ascii="Arial" w:cs="Arial" w:eastAsia="Arial" w:hAnsi="Arial"/>
          <w:sz w:val="18"/>
          <w:szCs w:val="18"/>
          <w:color w:val="auto"/>
        </w:rPr>
        <w:t>If Holders of not less than 90% in aggregate principal amount of the Outstanding Notes validly tender and do not withdraw such Notes in a Change of Control Offer and the Company, or any third party making such an offer in lieu of the Company as described in Section 6.3(5) of the Supplemental Indenture, purchase all of such Notes properly tendered and not withdrawn by such Holders, the Company or such third party have the right, upon not less than 10 days’ nor more than 60 days’ prior notice (provided that such notice is given not more than 60 days following such repurchase pursuant to the applicable Change of Control Offer) to redeem all Notes that remain Outstanding following such purchase on a date specified in such notice (the “</w:t>
      </w:r>
      <w:r>
        <w:rPr>
          <w:rFonts w:ascii="Arial" w:cs="Arial" w:eastAsia="Arial" w:hAnsi="Arial"/>
          <w:sz w:val="18"/>
          <w:szCs w:val="18"/>
          <w:u w:val="single" w:color="auto"/>
          <w:color w:val="auto"/>
        </w:rPr>
        <w:t>Second Change of Control Purchase Date</w:t>
      </w:r>
      <w:r>
        <w:rPr>
          <w:rFonts w:ascii="Arial" w:cs="Arial" w:eastAsia="Arial" w:hAnsi="Arial"/>
          <w:sz w:val="18"/>
          <w:szCs w:val="18"/>
          <w:color w:val="auto"/>
        </w:rPr>
        <w:t>”) and at a price in cash equal to 101% of the aggregate principal amount of the Notes repurchased plus accrued and unpaid interest, if any, on the Notes repurchased to, but excluding, the Second Change of Control Purchase Date.</w:t>
      </w:r>
    </w:p>
    <w:p>
      <w:pPr>
        <w:spacing w:after="0" w:line="97" w:lineRule="exact"/>
        <w:rPr>
          <w:rFonts w:ascii="Arial" w:cs="Arial" w:eastAsia="Arial" w:hAnsi="Arial"/>
          <w:sz w:val="16"/>
          <w:szCs w:val="16"/>
          <w:color w:val="auto"/>
        </w:rPr>
      </w:pPr>
    </w:p>
    <w:p>
      <w:pPr>
        <w:ind w:left="444" w:right="160" w:hanging="444"/>
        <w:spacing w:after="0" w:line="286" w:lineRule="auto"/>
        <w:tabs>
          <w:tab w:leader="none" w:pos="444"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Global Security</w:t>
      </w:r>
      <w:r>
        <w:rPr>
          <w:rFonts w:ascii="Arial" w:cs="Arial" w:eastAsia="Arial" w:hAnsi="Arial"/>
          <w:sz w:val="17"/>
          <w:szCs w:val="17"/>
          <w:color w:val="auto"/>
        </w:rPr>
        <w:t>. If this Note is a Global Security, then, in the event of a deposit or withdrawal of an interest in this Note, including an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redemption, repurchase or conversion of this Note in part only, the Common Depositary, as custodian of the Depositary, shall make an adjustment on its records to reflect such deposit or withdrawal in accordance with the Applicable Procedures.</w:t>
      </w:r>
    </w:p>
    <w:p>
      <w:pPr>
        <w:spacing w:after="0" w:line="70" w:lineRule="exact"/>
        <w:rPr>
          <w:rFonts w:ascii="Arial" w:cs="Arial" w:eastAsia="Arial" w:hAnsi="Arial"/>
          <w:sz w:val="17"/>
          <w:szCs w:val="17"/>
          <w:color w:val="auto"/>
        </w:rPr>
      </w:pPr>
    </w:p>
    <w:p>
      <w:pPr>
        <w:ind w:left="444" w:right="40" w:hanging="444"/>
        <w:spacing w:after="0" w:line="263" w:lineRule="auto"/>
        <w:tabs>
          <w:tab w:leader="none" w:pos="44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shall occur and be continuing, the principal of all the Notes, together with accrued interest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declaration, may be declared due and payable, or in certain circumstances, shall automatically become due and payable, in the manner and with the effect provided in the Supplemental Indenture.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490" w:right="479" w:bottom="1440" w:gutter="0" w:footer="0" w:header="0"/>
        </w:sectPr>
      </w:pPr>
    </w:p>
    <w:bookmarkStart w:id="25" w:name="page26"/>
    <w:bookmarkEnd w:id="25"/>
    <w:p>
      <w:pPr>
        <w:ind w:left="444"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and, among other things, the Holders of not less than 25% in aggregate principal amount of the Outstanding Notes shall have made written request to the Trustee to institute proceedings in respect of such Event of Default as Trustee. The foregoing shall not apply to any suit instituted by the Holder of this Note for the enforcement of any payment of principal hereof or premium, if any, or interest hereon, on or after the respective due dates expressed herein.</w:t>
      </w:r>
    </w:p>
    <w:p>
      <w:pPr>
        <w:spacing w:after="0" w:line="70" w:lineRule="exact"/>
        <w:rPr>
          <w:sz w:val="20"/>
          <w:szCs w:val="20"/>
          <w:color w:val="auto"/>
        </w:rPr>
      </w:pPr>
    </w:p>
    <w:p>
      <w:pPr>
        <w:ind w:left="444" w:right="80" w:hanging="444"/>
        <w:spacing w:after="0" w:line="270" w:lineRule="auto"/>
        <w:tabs>
          <w:tab w:leader="none" w:pos="444"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The Indenture permits, with certain exceptions as therein provided, the amendment thereof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 of the rights and obligations of the Company and the rights of the Holders of the Notes under the Indenture at any time by the Company and the Trustee with the written consent of the Holders of at least a majority in aggregate principal amount of the Outstanding Notes. The Indenture also contains provisions permitting the Holders of at least a majority in aggregate principal amount of the Outstanding Notes, on behalf of the Holders of all the Notes,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 or such other Note. Certain modifications or amendments to the Indenture require the consent of the Holder of each Outstanding Note affected.</w:t>
      </w:r>
    </w:p>
    <w:p>
      <w:pPr>
        <w:spacing w:after="0" w:line="72" w:lineRule="exact"/>
        <w:rPr>
          <w:rFonts w:ascii="Arial" w:cs="Arial" w:eastAsia="Arial" w:hAnsi="Arial"/>
          <w:sz w:val="17"/>
          <w:szCs w:val="17"/>
          <w:color w:val="auto"/>
        </w:rPr>
      </w:pPr>
    </w:p>
    <w:p>
      <w:pPr>
        <w:ind w:left="444" w:right="20"/>
        <w:spacing w:after="0" w:line="259" w:lineRule="auto"/>
        <w:rPr>
          <w:rFonts w:ascii="Arial" w:cs="Arial" w:eastAsia="Arial" w:hAnsi="Arial"/>
          <w:sz w:val="17"/>
          <w:szCs w:val="17"/>
          <w:color w:val="auto"/>
        </w:rPr>
      </w:pPr>
      <w:r>
        <w:rPr>
          <w:rFonts w:ascii="Arial" w:cs="Arial" w:eastAsia="Arial" w:hAnsi="Arial"/>
          <w:sz w:val="18"/>
          <w:szCs w:val="18"/>
          <w:color w:val="auto"/>
        </w:rPr>
        <w:t>Notwithstanding any other provision in this note or in the Indenture, the Holder of this Note shall have the right, which is absolute and unconditional, to receive payment of the principal of and any premium and (subject to Section 307 of the Indenture) interest on this Note on the respective Stated Maturities therefor (or, in the case of redemption, on the Redemption Date), and to institute suit for the enforcement of any such payment, and such rights shall not be impaired without the consent of such Holder.</w:t>
      </w:r>
    </w:p>
    <w:p>
      <w:pPr>
        <w:spacing w:after="0" w:line="92" w:lineRule="exact"/>
        <w:rPr>
          <w:rFonts w:ascii="Arial" w:cs="Arial" w:eastAsia="Arial" w:hAnsi="Arial"/>
          <w:sz w:val="17"/>
          <w:szCs w:val="17"/>
          <w:color w:val="auto"/>
        </w:rPr>
      </w:pPr>
    </w:p>
    <w:p>
      <w:pPr>
        <w:ind w:left="444" w:hanging="444"/>
        <w:spacing w:after="0" w:line="290" w:lineRule="auto"/>
        <w:tabs>
          <w:tab w:leader="none" w:pos="444"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Registration and Transfer</w:t>
      </w:r>
      <w:r>
        <w:rPr>
          <w:rFonts w:ascii="Arial" w:cs="Arial" w:eastAsia="Arial" w:hAnsi="Arial"/>
          <w:sz w:val="16"/>
          <w:szCs w:val="16"/>
          <w:color w:val="auto"/>
        </w:rPr>
        <w:t>. As provided in the Indenture and subject to certain limitations therein set forth, the transfer of this Note is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on the Security Register upon surrender of this Note for registration of transfer at such office or agency of the Company as may be designated by it for such purpose in The City of St. Paul, Minnesota, or at such other offices or agencies as the Company may designate, duly endorsed by, or accompanied by a written instrument of transfer in form satisfactory to the Company and the Registrar duly executed by, the Holder thereof or his attorney duly authorized in writing, and thereupon one or more new Notes, of authorized denominations and for the same aggregate principal amount, shall be issued to the designated transferee or transferees by the Registrar. As provided in the Indenture and subject to certain limitations therein set forth, Notes are exchangeable for a like aggregate principal amount of Notes of any authorized denominations as requested by the Holder surrendering the same upon surrender of the Note or Notes to be exchanged, at such office or agency of</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4"/>
          </w:cols>
          <w:pgMar w:left="436" w:top="490" w:right="519" w:bottom="1440" w:gutter="0" w:footer="0" w:header="0"/>
        </w:sectPr>
      </w:pPr>
    </w:p>
    <w:bookmarkStart w:id="26" w:name="page27"/>
    <w:bookmarkEnd w:id="26"/>
    <w:p>
      <w:pPr>
        <w:ind w:left="44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Company. The Trustee upon such surrender by the Holder shall issue the new Notes in the requested denominations. No service charge shall be made for any such registration of transfer or exchange, but the Company may require payment of a sum sufficient to cover any tax or other governmental charge payable in connection therewith.</w:t>
      </w:r>
    </w:p>
    <w:p>
      <w:pPr>
        <w:spacing w:after="0" w:line="89" w:lineRule="exact"/>
        <w:rPr>
          <w:sz w:val="20"/>
          <w:szCs w:val="20"/>
          <w:color w:val="auto"/>
        </w:rPr>
      </w:pPr>
    </w:p>
    <w:p>
      <w:pPr>
        <w:ind w:left="444" w:right="40" w:hanging="444"/>
        <w:spacing w:after="0" w:line="311" w:lineRule="auto"/>
        <w:tabs>
          <w:tab w:leader="none" w:pos="4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Prior to due presentment of this Note for registration of transfer, the Company, the Trustee, the Paying Agent and any agent of the Company, the Trustee or the Paying Agent may treat the Person in whose name such Note is registered as the owner thereof for all purposes, whether or not such Note be overdue, and neither the Company, the Trustee nor the Paying Agent or other such agent shall be affected by notice to the contrary.</w:t>
      </w:r>
    </w:p>
    <w:p>
      <w:pPr>
        <w:spacing w:after="0" w:line="50" w:lineRule="exact"/>
        <w:rPr>
          <w:rFonts w:ascii="Arial" w:cs="Arial" w:eastAsia="Arial" w:hAnsi="Arial"/>
          <w:sz w:val="16"/>
          <w:szCs w:val="16"/>
          <w:color w:val="auto"/>
        </w:rPr>
      </w:pPr>
    </w:p>
    <w:p>
      <w:pPr>
        <w:ind w:left="444" w:right="480" w:hanging="444"/>
        <w:spacing w:after="0" w:line="282" w:lineRule="auto"/>
        <w:tabs>
          <w:tab w:leader="none" w:pos="444"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 THE INDENTURE AND THIS SECURITY SHALL BE GOVERNED BY AND CONSTRUED IN ACCORDANCE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WITH THE LAWS OF THE STATE OF NEW YORK.</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490" w:right="4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ABBREVIATIONS</w:t>
      </w:r>
    </w:p>
    <w:p>
      <w:pPr>
        <w:spacing w:after="0" w:line="225" w:lineRule="exact"/>
        <w:rPr>
          <w:sz w:val="20"/>
          <w:szCs w:val="20"/>
          <w:color w:val="auto"/>
        </w:rPr>
      </w:pPr>
    </w:p>
    <w:p>
      <w:pPr>
        <w:ind w:right="280" w:firstLine="1983"/>
        <w:spacing w:after="0" w:line="277"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TEN COM</w:t>
            </w:r>
          </w:p>
        </w:tc>
        <w:tc>
          <w:tcPr>
            <w:tcW w:w="4660" w:type="dxa"/>
            <w:vAlign w:val="bottom"/>
          </w:tcPr>
          <w:p>
            <w:pPr>
              <w:ind w:left="700"/>
              <w:spacing w:after="0"/>
              <w:rPr>
                <w:sz w:val="20"/>
                <w:szCs w:val="20"/>
                <w:color w:val="auto"/>
              </w:rPr>
            </w:pPr>
            <w:r>
              <w:rPr>
                <w:rFonts w:ascii="Arial" w:cs="Arial" w:eastAsia="Arial" w:hAnsi="Arial"/>
                <w:sz w:val="18"/>
                <w:szCs w:val="18"/>
                <w:color w:val="auto"/>
              </w:rPr>
              <w:t>as tenant in common</w:t>
            </w:r>
          </w:p>
        </w:tc>
        <w:tc>
          <w:tcPr>
            <w:tcW w:w="2840" w:type="dxa"/>
            <w:vAlign w:val="bottom"/>
          </w:tcPr>
          <w:p>
            <w:pPr>
              <w:ind w:left="220"/>
              <w:spacing w:after="0"/>
              <w:rPr>
                <w:sz w:val="20"/>
                <w:szCs w:val="20"/>
                <w:color w:val="auto"/>
              </w:rPr>
            </w:pPr>
            <w:r>
              <w:rPr>
                <w:rFonts w:ascii="Arial" w:cs="Arial" w:eastAsia="Arial" w:hAnsi="Arial"/>
                <w:sz w:val="18"/>
                <w:szCs w:val="18"/>
                <w:color w:val="auto"/>
              </w:rPr>
              <w:t>UNIF GIFT MIN ACT</w:t>
            </w:r>
          </w:p>
        </w:tc>
        <w:tc>
          <w:tcPr>
            <w:tcW w:w="2000" w:type="dxa"/>
            <w:vAlign w:val="bottom"/>
          </w:tcPr>
          <w:p>
            <w:pPr>
              <w:ind w:left="60"/>
              <w:spacing w:after="0"/>
              <w:rPr>
                <w:sz w:val="20"/>
                <w:szCs w:val="20"/>
                <w:color w:val="auto"/>
              </w:rPr>
            </w:pPr>
            <w:r>
              <w:rPr>
                <w:rFonts w:ascii="Arial" w:cs="Arial" w:eastAsia="Arial" w:hAnsi="Arial"/>
                <w:sz w:val="18"/>
                <w:szCs w:val="18"/>
                <w:color w:val="auto"/>
              </w:rPr>
              <w:t>___ Custodian ___</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TEN ENT</w:t>
            </w:r>
          </w:p>
        </w:tc>
        <w:tc>
          <w:tcPr>
            <w:tcW w:w="4660" w:type="dxa"/>
            <w:vAlign w:val="bottom"/>
          </w:tcPr>
          <w:p>
            <w:pPr>
              <w:ind w:left="700"/>
              <w:spacing w:after="0"/>
              <w:rPr>
                <w:sz w:val="20"/>
                <w:szCs w:val="20"/>
                <w:color w:val="auto"/>
              </w:rPr>
            </w:pPr>
            <w:r>
              <w:rPr>
                <w:rFonts w:ascii="Arial" w:cs="Arial" w:eastAsia="Arial" w:hAnsi="Arial"/>
                <w:sz w:val="18"/>
                <w:szCs w:val="18"/>
                <w:color w:val="auto"/>
              </w:rPr>
              <w:t>as tenants by the entireties (Cust)</w:t>
            </w:r>
          </w:p>
        </w:tc>
        <w:tc>
          <w:tcPr>
            <w:tcW w:w="2840" w:type="dxa"/>
            <w:vAlign w:val="bottom"/>
          </w:tcPr>
          <w:p>
            <w:pPr>
              <w:ind w:left="2320"/>
              <w:spacing w:after="0"/>
              <w:rPr>
                <w:sz w:val="20"/>
                <w:szCs w:val="20"/>
                <w:color w:val="auto"/>
              </w:rPr>
            </w:pPr>
            <w:r>
              <w:rPr>
                <w:rFonts w:ascii="Arial" w:cs="Arial" w:eastAsia="Arial" w:hAnsi="Arial"/>
                <w:sz w:val="18"/>
                <w:szCs w:val="18"/>
                <w:color w:val="auto"/>
              </w:rPr>
              <w:t>(Cust)</w:t>
            </w:r>
          </w:p>
        </w:tc>
        <w:tc>
          <w:tcPr>
            <w:tcW w:w="2000" w:type="dxa"/>
            <w:vAlign w:val="bottom"/>
          </w:tcPr>
          <w:p>
            <w:pPr>
              <w:ind w:left="800"/>
              <w:spacing w:after="0"/>
              <w:rPr>
                <w:sz w:val="20"/>
                <w:szCs w:val="20"/>
                <w:color w:val="auto"/>
              </w:rPr>
            </w:pPr>
            <w:r>
              <w:rPr>
                <w:rFonts w:ascii="Arial" w:cs="Arial" w:eastAsia="Arial" w:hAnsi="Arial"/>
                <w:sz w:val="18"/>
                <w:szCs w:val="18"/>
                <w:color w:val="auto"/>
              </w:rPr>
              <w:t>(Minor)</w:t>
            </w: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JT TEN</w:t>
            </w:r>
          </w:p>
        </w:tc>
        <w:tc>
          <w:tcPr>
            <w:tcW w:w="4660" w:type="dxa"/>
            <w:vAlign w:val="bottom"/>
          </w:tcPr>
          <w:p>
            <w:pPr>
              <w:ind w:left="700"/>
              <w:spacing w:after="0"/>
              <w:rPr>
                <w:sz w:val="20"/>
                <w:szCs w:val="20"/>
                <w:color w:val="auto"/>
              </w:rPr>
            </w:pPr>
            <w:r>
              <w:rPr>
                <w:rFonts w:ascii="Arial" w:cs="Arial" w:eastAsia="Arial" w:hAnsi="Arial"/>
                <w:sz w:val="18"/>
                <w:szCs w:val="18"/>
                <w:color w:val="auto"/>
                <w:w w:val="96"/>
              </w:rPr>
              <w:t>as joint tenants with right of survivorship and not as</w:t>
            </w:r>
          </w:p>
        </w:tc>
        <w:tc>
          <w:tcPr>
            <w:tcW w:w="4840" w:type="dxa"/>
            <w:vAlign w:val="bottom"/>
            <w:gridSpan w:val="2"/>
          </w:tcPr>
          <w:p>
            <w:pPr>
              <w:ind w:left="2320"/>
              <w:spacing w:after="0"/>
              <w:rPr>
                <w:sz w:val="20"/>
                <w:szCs w:val="20"/>
                <w:color w:val="auto"/>
              </w:rPr>
            </w:pPr>
            <w:r>
              <w:rPr>
                <w:rFonts w:ascii="Arial" w:cs="Arial" w:eastAsia="Arial" w:hAnsi="Arial"/>
                <w:sz w:val="18"/>
                <w:szCs w:val="18"/>
                <w:color w:val="auto"/>
                <w:w w:val="93"/>
              </w:rPr>
              <w:t>under Uniform Gifts to Minors Act</w:t>
            </w:r>
          </w:p>
        </w:tc>
      </w:tr>
      <w:tr>
        <w:trPr>
          <w:trHeight w:val="230"/>
        </w:trPr>
        <w:tc>
          <w:tcPr>
            <w:tcW w:w="1500" w:type="dxa"/>
            <w:vAlign w:val="bottom"/>
          </w:tcPr>
          <w:p>
            <w:pPr>
              <w:spacing w:after="0"/>
              <w:rPr>
                <w:sz w:val="20"/>
                <w:szCs w:val="20"/>
                <w:color w:val="auto"/>
              </w:rPr>
            </w:pPr>
          </w:p>
        </w:tc>
        <w:tc>
          <w:tcPr>
            <w:tcW w:w="4660" w:type="dxa"/>
            <w:vAlign w:val="bottom"/>
          </w:tcPr>
          <w:p>
            <w:pPr>
              <w:ind w:left="700"/>
              <w:spacing w:after="0"/>
              <w:rPr>
                <w:sz w:val="20"/>
                <w:szCs w:val="20"/>
                <w:color w:val="auto"/>
              </w:rPr>
            </w:pPr>
            <w:r>
              <w:rPr>
                <w:rFonts w:ascii="Arial" w:cs="Arial" w:eastAsia="Arial" w:hAnsi="Arial"/>
                <w:sz w:val="18"/>
                <w:szCs w:val="18"/>
                <w:color w:val="auto"/>
              </w:rPr>
              <w:t>tenants in common</w:t>
            </w:r>
          </w:p>
        </w:tc>
        <w:tc>
          <w:tcPr>
            <w:tcW w:w="2840" w:type="dxa"/>
            <w:vAlign w:val="bottom"/>
          </w:tcPr>
          <w:p>
            <w:pPr>
              <w:ind w:left="2320"/>
              <w:spacing w:after="0"/>
              <w:rPr>
                <w:sz w:val="20"/>
                <w:szCs w:val="20"/>
                <w:color w:val="auto"/>
              </w:rPr>
            </w:pPr>
            <w:r>
              <w:rPr>
                <w:rFonts w:ascii="Arial" w:cs="Arial" w:eastAsia="Arial" w:hAnsi="Arial"/>
                <w:sz w:val="18"/>
                <w:szCs w:val="18"/>
                <w:color w:val="auto"/>
              </w:rPr>
              <w:t>___</w:t>
            </w:r>
          </w:p>
        </w:tc>
        <w:tc>
          <w:tcPr>
            <w:tcW w:w="2000" w:type="dxa"/>
            <w:vAlign w:val="bottom"/>
          </w:tcPr>
          <w:p>
            <w:pPr>
              <w:spacing w:after="0"/>
              <w:rPr>
                <w:sz w:val="20"/>
                <w:szCs w:val="20"/>
                <w:color w:val="auto"/>
              </w:rPr>
            </w:pPr>
          </w:p>
        </w:tc>
      </w:tr>
    </w:tbl>
    <w:p>
      <w:pPr>
        <w:spacing w:after="0" w:line="94"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(State)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Form of Purchase Notice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PURCHASE NOTICE</w:t>
      </w:r>
    </w:p>
    <w:p>
      <w:pPr>
        <w:spacing w:after="0" w:line="225" w:lineRule="exact"/>
        <w:rPr>
          <w:sz w:val="20"/>
          <w:szCs w:val="20"/>
          <w:color w:val="auto"/>
        </w:rPr>
      </w:pPr>
    </w:p>
    <w:p>
      <w:pPr>
        <w:ind w:left="1240" w:hanging="253"/>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Pursuant to Section 6.3 of the Supplemental Indenture, the undersigned hereby elects to have this Note repurchased by the Company.</w:t>
      </w:r>
    </w:p>
    <w:p>
      <w:pPr>
        <w:spacing w:after="0" w:line="248" w:lineRule="exact"/>
        <w:rPr>
          <w:rFonts w:ascii="Arial" w:cs="Arial" w:eastAsia="Arial" w:hAnsi="Arial"/>
          <w:sz w:val="16"/>
          <w:szCs w:val="16"/>
          <w:color w:val="auto"/>
        </w:rPr>
      </w:pPr>
    </w:p>
    <w:p>
      <w:pPr>
        <w:ind w:right="60" w:firstLine="987"/>
        <w:spacing w:after="0" w:line="263" w:lineRule="auto"/>
        <w:tabs>
          <w:tab w:leader="none" w:pos="12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hereby directs the Paying Agent or the Company to pay it an amount in cash equal to 101% of the aggregate principal amount to be repurchased (as set forth below), plus interest accrued to, but excluding, the Change of Control Purchase Date, as applicable, as provided in the Supplemental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 with 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program pursuant to Rule 17Ad 15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490"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Principal amount to be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Remaining aggregate principal amount following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repurchase (which must be €100,000 or an integral multiple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794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80" w:right="480" w:hanging="879"/>
        <w:spacing w:after="0" w:line="277" w:lineRule="auto"/>
        <w:tabs>
          <w:tab w:leader="none" w:pos="860" w:val="left"/>
        </w:tabs>
        <w:rPr>
          <w:sz w:val="20"/>
          <w:szCs w:val="20"/>
          <w:color w:val="auto"/>
        </w:rPr>
      </w:pPr>
      <w:r>
        <w:rPr>
          <w:rFonts w:ascii="Arial" w:cs="Arial" w:eastAsia="Arial" w:hAnsi="Arial"/>
          <w:sz w:val="18"/>
          <w:szCs w:val="18"/>
          <w:color w:val="auto"/>
        </w:rPr>
        <w:t>NOTICE:</w:t>
        <w:tab/>
        <w:t>The signature to the foregoing election must correspond to the name as written upon the face of this Note in every particular, without alteration or any change whatsoever.</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Form of Certificate of Authentication</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Trustee’s certificate of authentication shall be in substantially the following form: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U.S. BANK TRUST COMPANY, NATIONAL</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ASSOCIATION,</w:t>
      </w:r>
    </w:p>
    <w:p>
      <w:pPr>
        <w:spacing w:after="0" w:line="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Registration; Registration of Transfer and Exchange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Clause (2) of the last paragraph of Section 305 of the Indenture shall, with respect to the Notes, be replaced in its entirety by the following:</w:t>
      </w:r>
    </w:p>
    <w:p>
      <w:pPr>
        <w:spacing w:after="0" w:line="248"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Depository for such Global Security or a nominee thereof unless (A) such Depositary (i) has notified the Company that it is unwilling or unable to continue as Depositary for such Global Security or (ii) has ceased to be a clearing agency registered as such under the Exchange Act, if so required by applicable law or regulation, (B) there shall have occurred and be continuing an Event of Default with respect to such Global Security or (C) the Company, in its sole discretion, determines that such</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40" w:top="490" w:right="539" w:bottom="1440" w:gutter="0" w:footer="0" w:header="0"/>
        </w:sectPr>
      </w:pPr>
    </w:p>
    <w:bookmarkStart w:id="29" w:name="page30"/>
    <w:bookmarkEnd w:id="2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Global Security shall be exchangeable for Securities registered in the name of any Person other than the Depositary for such Global Security and executes a Company Order to the effect that such Global Security shall be so exchangeable. In such event, the Company shall execute, and the Trustee, upon receipt of a Company Order for the authentication and delivery of certificated Securities of such series of like tenor and terms, shall authenticate and deliver, without charge, to each Person that is identified by or on behalf of the ICSDs as the beneficial holder thereof, Securities of such series of like tenor and terms in certificated form, in authorized denominations and in an aggregate principal amount equal to the principal amount of such Global Security in exchange for such Global Security. Neither the Company nor the Trustee will be liable for any delay by an ICSD or any participant or indirect participant in an ICSD in identifying the beneficial owners of the related Notes and each of those Persons may conclusively rely on, and will be protected in relying on, instructions from the ICSD for all purposes, including with respect to the registration and delivery, and the respective principal amounts, of the certificated Notes to be issued.”</w:t>
      </w:r>
    </w:p>
    <w:p>
      <w:pPr>
        <w:spacing w:after="0" w:line="39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501 of the Indenture shall, with respect to the Notes, be replaced in its entirety by the following:</w:t>
      </w:r>
    </w:p>
    <w:p>
      <w:pPr>
        <w:spacing w:after="0" w:line="117"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with respect to the Notes,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6" w:lineRule="exact"/>
        <w:rPr>
          <w:sz w:val="20"/>
          <w:szCs w:val="20"/>
          <w:color w:val="auto"/>
        </w:rPr>
      </w:pPr>
    </w:p>
    <w:p>
      <w:pPr>
        <w:ind w:right="40" w:firstLine="987"/>
        <w:spacing w:after="0" w:line="277" w:lineRule="auto"/>
        <w:tabs>
          <w:tab w:leader="none" w:pos="12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when it becomes due and payable, and continuance of such default for a period of 30 consecutive days;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default in the payment of the principal of or premium, if any, on any Note at its Stated Maturity or when otherwise due and payable;</w:t>
      </w:r>
    </w:p>
    <w:p>
      <w:pPr>
        <w:spacing w:after="0" w:line="248" w:lineRule="exact"/>
        <w:rPr>
          <w:rFonts w:ascii="Arial" w:cs="Arial" w:eastAsia="Arial" w:hAnsi="Arial"/>
          <w:sz w:val="16"/>
          <w:szCs w:val="16"/>
          <w:color w:val="auto"/>
        </w:rPr>
      </w:pPr>
    </w:p>
    <w:p>
      <w:pPr>
        <w:ind w:firstLine="987"/>
        <w:spacing w:after="0" w:line="254" w:lineRule="auto"/>
        <w:tabs>
          <w:tab w:leader="none" w:pos="12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(which shall not have been cured or waived) (a) in the payment of any principal of or interest on any Indebtedness for borrowed money of the Company, aggregating more than $300,000,000 in principal amount, after giving effect to any applicable grace period or (b) in the performance of any other term or provision of any such Indebtedness of the Company, aggregating more than $300,000,000 in principal amount, that results in such Indebtedness becoming or being declared due and payable prior to the date on which it would otherwise become due and payable, and such acceleration shall not have been rescinded or annulled, or such Indebtedness shall not have been discharged, within a period of 60 consecutive days after there has been given, by registered or certified mail, to the Company by the Trustee or to the Company and the Trustee by the Holders of at least 25% in principal amount of the Outstanding Notes, a written notice specifying such default and stating that such notice is a “</w:t>
      </w:r>
      <w:r>
        <w:rPr>
          <w:rFonts w:ascii="Arial" w:cs="Arial" w:eastAsia="Arial" w:hAnsi="Arial"/>
          <w:sz w:val="18"/>
          <w:szCs w:val="18"/>
          <w:u w:val="single" w:color="auto"/>
          <w:color w:val="auto"/>
        </w:rPr>
        <w:t>Notice of Default</w:t>
      </w:r>
      <w:r>
        <w:rPr>
          <w:rFonts w:ascii="Arial" w:cs="Arial" w:eastAsia="Arial" w:hAnsi="Arial"/>
          <w:sz w:val="18"/>
          <w:szCs w:val="18"/>
          <w:color w:val="auto"/>
        </w:rPr>
        <w:t>” hereunder;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490" w:right="459" w:bottom="1440" w:gutter="0" w:footer="0" w:header="0"/>
        </w:sectPr>
      </w:pPr>
    </w:p>
    <w:bookmarkStart w:id="30" w:name="page31"/>
    <w:bookmarkEnd w:id="30"/>
    <w:p>
      <w:pPr>
        <w:ind w:right="20" w:firstLine="987"/>
        <w:spacing w:after="0" w:line="257" w:lineRule="auto"/>
        <w:tabs>
          <w:tab w:leader="none" w:pos="1246"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default in the performance, or breach, of any covenant, agreement or warranty of the Company applicable to the Notes in this Supplemental Indenture, the Indenture as supplemented or amended or the Notes, and continuance of such default for a period of 90 consecutive days after there has been given, by registered or certified mail, to the Company by the Trustee or to the Company and the Trustee by the Holders of at least 25% in principal amount of the Outstanding Notes, a written notice specifying such default and requiring it to be remedied and stating that such notice is a “</w:t>
      </w:r>
      <w:r>
        <w:rPr>
          <w:rFonts w:ascii="Arial" w:cs="Arial" w:eastAsia="Arial" w:hAnsi="Arial"/>
          <w:sz w:val="18"/>
          <w:szCs w:val="18"/>
          <w:u w:val="single" w:color="auto"/>
          <w:color w:val="auto"/>
        </w:rPr>
        <w:t>Notice of Default</w:t>
      </w:r>
      <w:r>
        <w:rPr>
          <w:rFonts w:ascii="Arial" w:cs="Arial" w:eastAsia="Arial" w:hAnsi="Arial"/>
          <w:sz w:val="18"/>
          <w:szCs w:val="18"/>
          <w:color w:val="auto"/>
        </w:rPr>
        <w:t>” hereunder;</w:t>
      </w:r>
    </w:p>
    <w:p>
      <w:pPr>
        <w:spacing w:after="0" w:line="187" w:lineRule="exact"/>
        <w:rPr>
          <w:rFonts w:ascii="Arial" w:cs="Arial" w:eastAsia="Arial" w:hAnsi="Arial"/>
          <w:sz w:val="18"/>
          <w:szCs w:val="18"/>
          <w:color w:val="auto"/>
        </w:rPr>
      </w:pPr>
    </w:p>
    <w:p>
      <w:pPr>
        <w:ind w:firstLine="987"/>
        <w:spacing w:after="0" w:line="270" w:lineRule="auto"/>
        <w:tabs>
          <w:tab w:leader="none" w:pos="12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a decree or order for relief in respect of the Company or any Restricted Subsidiary of the Company in an involuntary case or proceeding under any applicable Federal or State bankruptcy, insolvency, reorganization or other similar law or (b) a decree or order (i) adjudging the Company or any Restricted Subsidiary of the Company a bankrupt or insolvent, (ii) that approves as properly filed a petition seeking reorganization, arrangement, adjustment or composition of or in respect of the Company or any Restricted Subsidiary of the Company under any applicable Federal or State law, (iii) appointing a custodian, receiver, liquidator, assignee, trustee, sequestrator or other similar official in respect of the Company or any Restricted Subsidiary of the Company or in respect of any substantial part of the Property of the Company or any Restricted Subsidiary of the Company, or (iv) ordering the winding up or liquidation of the affairs of the Company or any Restricted Subsidiary of the Company, and, in each case, the continuance of any such decree or order for relief or any such other decree or order unstayed and in effect for a period of 60 consecutive days; or</w:t>
      </w:r>
    </w:p>
    <w:p>
      <w:pPr>
        <w:spacing w:after="0" w:line="180" w:lineRule="exact"/>
        <w:rPr>
          <w:rFonts w:ascii="Arial" w:cs="Arial" w:eastAsia="Arial" w:hAnsi="Arial"/>
          <w:sz w:val="17"/>
          <w:szCs w:val="17"/>
          <w:color w:val="auto"/>
        </w:rPr>
      </w:pPr>
    </w:p>
    <w:p>
      <w:pPr>
        <w:ind w:firstLine="987"/>
        <w:spacing w:after="0" w:line="268" w:lineRule="auto"/>
        <w:tabs>
          <w:tab w:leader="none" w:pos="12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the commencement by the Company or any Restricted Subsidiary of the Company of a voluntary case or proceeding under any applicable Federal or State bankruptcy, insolvency, reorganization or other similar law or of any other case or proceeding to be adjudicated a bankrupt or insolvent, (b) the consent by the Company or a Restricted Subsidiary of the Company to the entry of a decree or order for relief in respect of the Company or any Restricted Subsidiary of the Company in an involuntary case or proceeding under any applicable Federal or State bankruptcy, insolvency, reorganization or other similar law or to the commencement of any bankruptcy or insolvency case or proceeding against the Company or any Restricted Subsidiary of the Company, (c) the filing by the Company or a Restricted Subsidiary of the Company of a petition or answer or consent seeking reorganization or similar relief under any applicable Federal or State law, or the consent by the Company or a Restricted Subsidiary of the Company to the filing of such petition, (d) the consent by the Company or any Restricted Subsidiary of the Company to the appointment of a custodian, receiver, liquidator, assignee, trustee, sequestrator or other similar official in respect of the Company or a Restricted Subsidiary of the Company or of any substantial part of the Property of the Company or any Restricted Subsidiary of the Company or to any such custodian, receiver, liquidator, assignee, trustee, sequestrator or other similar official taking possession thereof, (e) the making by the Company or any Restricted Subsidiary of the Company of a general assignment for the benefit of creditors, (f) the admission by the Company or a Restricted Subsidiary of the Company in writing of its inability to pay its debts generally as they become due, or (g) the taking of corporate action by the Company or any Restricted Subsidiary of the Company in furtherance of any such action.”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490" w:right="459" w:bottom="1440" w:gutter="0" w:footer="0" w:header="0"/>
        </w:sectPr>
      </w:pPr>
    </w:p>
    <w:bookmarkStart w:id="31" w:name="page32"/>
    <w:bookmarkEnd w:id="3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4.2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second paragraph of Section 502 of the Indenture shall not be applicable to the Notes.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 The first paragraph of Section 502 of the Indenture shall, with respect to the Notes, be replaced in its entirety with the following:</w:t>
      </w:r>
    </w:p>
    <w:p>
      <w:pPr>
        <w:spacing w:after="0" w:line="129" w:lineRule="exact"/>
        <w:rPr>
          <w:sz w:val="20"/>
          <w:szCs w:val="20"/>
          <w:color w:val="auto"/>
        </w:rPr>
      </w:pPr>
    </w:p>
    <w:p>
      <w:pPr>
        <w:ind w:left="980" w:right="20"/>
        <w:spacing w:after="0" w:line="254" w:lineRule="auto"/>
        <w:rPr>
          <w:sz w:val="20"/>
          <w:szCs w:val="20"/>
          <w:color w:val="auto"/>
        </w:rPr>
      </w:pPr>
      <w:r>
        <w:rPr>
          <w:rFonts w:ascii="Arial" w:cs="Arial" w:eastAsia="Arial" w:hAnsi="Arial"/>
          <w:sz w:val="18"/>
          <w:szCs w:val="18"/>
          <w:color w:val="auto"/>
        </w:rPr>
        <w:t>“If an Event of Default, other than an Event of Default specified in Section 4.1(5) or Section 4.1(6) of this Supplemental Indenture, occurs with respect to the Outstanding Notes and is continuing, then either the Trustee, by notice to the Company, or the Holders of not less than 25% in principal amount of the Outstanding Notes, by notice to the Trustee and the Company, may declare the principal of, and premium, if any, and accrued and unpaid interest on, all of the Notes to be due and payable immediately. If an Event of Default specified in Section 4.1(5) or Section 4.1(6) of this Supplemental Indenture occurs, the principal amount of, and premium, if any, and accrued and unpaid interest on, all the Notes shall automatically become immediately due and payable without any declaration or act by the Trustee, the Holders of the Notes or any other party.”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provisions of Article Eleven of the Indenture shall, with respect to the Notes, be replaced in their entirety with the provisions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3" w:lineRule="auto"/>
        <w:tabs>
          <w:tab w:leader="none" w:pos="1246"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Prior to the Par Call Date, the Company may redeem the Notes, at its option, in whole or in part, at any time and from time to time, at a Redemption Price (expressed as a percentage of principal amount and rounded to three decimal places) equal to the greater of (i) (a) the sum of the present values of the remaining scheduled payments of principal of and interest on the Notes to be redeemed discounted to the Redemption Date (assuming that the Notes matured on the Par Call Date), on an annual (ACTUAL/ACTUAL (ICMA)) basis at a rate equal to the sum of the Comparable Government Bond Rate plus 35 basis points, less (b) interest accrued to the date of redemption; and (ii) 100% of the principal amount of the Notes to be redeemed; </w:t>
      </w:r>
      <w:r>
        <w:rPr>
          <w:rFonts w:ascii="Arial" w:cs="Arial" w:eastAsia="Arial" w:hAnsi="Arial"/>
          <w:sz w:val="17"/>
          <w:szCs w:val="17"/>
          <w:i w:val="1"/>
          <w:iCs w:val="1"/>
          <w:color w:val="auto"/>
        </w:rPr>
        <w:t>plus</w:t>
      </w:r>
      <w:r>
        <w:rPr>
          <w:rFonts w:ascii="Arial" w:cs="Arial" w:eastAsia="Arial" w:hAnsi="Arial"/>
          <w:sz w:val="17"/>
          <w:szCs w:val="17"/>
          <w:color w:val="auto"/>
        </w:rPr>
        <w:t>, in either case, accrued and unpaid interest on the Notes to the Redemption Date.</w:t>
      </w:r>
    </w:p>
    <w:p>
      <w:pPr>
        <w:spacing w:after="0" w:line="177" w:lineRule="exact"/>
        <w:rPr>
          <w:rFonts w:ascii="Arial" w:cs="Arial" w:eastAsia="Arial" w:hAnsi="Arial"/>
          <w:sz w:val="17"/>
          <w:szCs w:val="17"/>
          <w:color w:val="auto"/>
        </w:rPr>
      </w:pPr>
    </w:p>
    <w:p>
      <w:pPr>
        <w:jc w:val="both"/>
        <w:ind w:right="40" w:firstLine="987"/>
        <w:spacing w:after="0" w:line="263"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On or after the Par Call Date for the Notes, the Company may redeem the Notes in whole or in part, at any time and from time to time, at a Redemption Price equal to 100% of the principal amount of the Notes being redeemed,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thereon to the Redemption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490" w:right="479" w:bottom="1440" w:gutter="0" w:footer="0" w:header="0"/>
        </w:sectPr>
      </w:pPr>
    </w:p>
    <w:bookmarkStart w:id="32" w:name="page33"/>
    <w:bookmarkEnd w:id="3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5.2 </w:t>
      </w:r>
      <w:r>
        <w:rPr>
          <w:rFonts w:ascii="Arial" w:cs="Arial" w:eastAsia="Arial" w:hAnsi="Arial"/>
          <w:sz w:val="18"/>
          <w:szCs w:val="18"/>
          <w:u w:val="single" w:color="auto"/>
          <w:color w:val="auto"/>
        </w:rPr>
        <w:t>Optional Tax Redemption</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86" w:lineRule="auto"/>
        <w:tabs>
          <w:tab w:leader="none" w:pos="1247"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Surviving Person may, at its option, redeem the Notes, in whole but not in part, at a redemption price equal to 100% of the principal amount of the Notes to be redeemed, plus accrued and unpaid interest on the Notes being redeemed (and any Additional Amounts) to, but not including the Redemption Date, if (a) at any time following a transaction to which the provisions of Section 801 of the Indenture (as amended by this Supplemental Indenture) applies, the Surviving Person is required to pay Additional Amounts pursuant to Section 6.4 of this Supplemental Indenture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obligation cannot be avoided by the Surviving Person taking reasonable measures available to it.</w:t>
      </w:r>
    </w:p>
    <w:p>
      <w:pPr>
        <w:spacing w:after="0" w:line="210" w:lineRule="exact"/>
        <w:rPr>
          <w:rFonts w:ascii="Arial" w:cs="Arial" w:eastAsia="Arial" w:hAnsi="Arial"/>
          <w:sz w:val="18"/>
          <w:szCs w:val="18"/>
          <w:color w:val="auto"/>
        </w:rPr>
      </w:pPr>
    </w:p>
    <w:p>
      <w:pPr>
        <w:ind w:left="4" w:right="120" w:firstLine="987"/>
        <w:spacing w:after="0" w:line="342" w:lineRule="auto"/>
        <w:tabs>
          <w:tab w:leader="none" w:pos="1250" w:val="left"/>
        </w:tabs>
        <w:numPr>
          <w:ilvl w:val="1"/>
          <w:numId w:val="19"/>
        </w:numPr>
        <w:rPr>
          <w:rFonts w:ascii="Arial" w:cs="Arial" w:eastAsia="Arial" w:hAnsi="Arial"/>
          <w:sz w:val="16"/>
          <w:szCs w:val="16"/>
          <w:color w:val="auto"/>
        </w:rPr>
      </w:pPr>
      <w:r>
        <w:rPr>
          <w:rFonts w:ascii="Arial" w:cs="Arial" w:eastAsia="Arial" w:hAnsi="Arial"/>
          <w:sz w:val="16"/>
          <w:szCs w:val="16"/>
          <w:color w:val="auto"/>
        </w:rPr>
        <w:t>Prior to the giving of any notice of redemption in respect of the foregoing, the Surviving Person shall deliver to the Trustee an opinion of independent tax counsel of recognized standing to the effect that the Surviving Person is or would be obligated to pay such Additional Amounts.</w:t>
      </w:r>
    </w:p>
    <w:p>
      <w:pPr>
        <w:spacing w:after="0" w:line="123" w:lineRule="exact"/>
        <w:rPr>
          <w:rFonts w:ascii="Arial" w:cs="Arial" w:eastAsia="Arial" w:hAnsi="Arial"/>
          <w:sz w:val="16"/>
          <w:szCs w:val="16"/>
          <w:color w:val="auto"/>
        </w:rPr>
      </w:pPr>
    </w:p>
    <w:p>
      <w:pPr>
        <w:ind w:left="4" w:right="40" w:firstLine="987"/>
        <w:spacing w:after="0" w:line="277" w:lineRule="auto"/>
        <w:tabs>
          <w:tab w:leader="none" w:pos="12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 notice of redemption pursuant to this Section 5.2 may be given earlier than 90 days prior to the earliest date on which the Surviving Person would be obligated to pay Additional Amounts if a payment in respect of the relevant Notes were then due.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Optional Redemption Procedures</w:t>
      </w:r>
      <w:r>
        <w:rPr>
          <w:rFonts w:ascii="Arial" w:cs="Arial" w:eastAsia="Arial" w:hAnsi="Arial"/>
          <w:sz w:val="18"/>
          <w:szCs w:val="18"/>
          <w:color w:val="auto"/>
        </w:rPr>
        <w:t>.</w:t>
      </w:r>
    </w:p>
    <w:p>
      <w:pPr>
        <w:spacing w:after="0" w:line="225" w:lineRule="exact"/>
        <w:rPr>
          <w:sz w:val="20"/>
          <w:szCs w:val="20"/>
          <w:color w:val="auto"/>
        </w:rPr>
      </w:pPr>
    </w:p>
    <w:p>
      <w:pPr>
        <w:ind w:left="4" w:right="440" w:firstLine="987"/>
        <w:spacing w:after="0" w:line="259" w:lineRule="auto"/>
        <w:tabs>
          <w:tab w:leader="none" w:pos="12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actions and determinations in determining the Redemption Price shall be conclusive and binding for all purposes, absent manifest error. For so long as the Notes are registered in the name of the Common Depositary (or its nominee) on behalf of Euroclear and Clearstream, the redemption of the Notes shall be done in accordance with the policies and the Applicable Procedures of the Common Depositary, Euroclear and Clearstream.</w:t>
      </w:r>
    </w:p>
    <w:p>
      <w:pPr>
        <w:spacing w:after="0" w:line="186" w:lineRule="exact"/>
        <w:rPr>
          <w:rFonts w:ascii="Arial" w:cs="Arial" w:eastAsia="Arial" w:hAnsi="Arial"/>
          <w:sz w:val="18"/>
          <w:szCs w:val="18"/>
          <w:color w:val="auto"/>
        </w:rPr>
      </w:pPr>
    </w:p>
    <w:p>
      <w:pPr>
        <w:ind w:left="4" w:right="180" w:firstLine="987"/>
        <w:spacing w:after="0" w:line="277" w:lineRule="auto"/>
        <w:tabs>
          <w:tab w:leader="none" w:pos="12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election of the Company to redeem any Notes pursuant to Section 5.1 or Section 5.2 shall be evidenced by a Board Resolution or an Officers’ Certificate issued pursuant to a Board Resolution.</w:t>
      </w:r>
    </w:p>
    <w:p>
      <w:pPr>
        <w:spacing w:after="0" w:line="170" w:lineRule="exact"/>
        <w:rPr>
          <w:rFonts w:ascii="Arial" w:cs="Arial" w:eastAsia="Arial" w:hAnsi="Arial"/>
          <w:sz w:val="18"/>
          <w:szCs w:val="18"/>
          <w:color w:val="auto"/>
        </w:rPr>
      </w:pPr>
    </w:p>
    <w:p>
      <w:pPr>
        <w:jc w:val="both"/>
        <w:ind w:left="4" w:right="60" w:firstLine="987"/>
        <w:spacing w:after="0" w:line="263" w:lineRule="auto"/>
        <w:tabs>
          <w:tab w:leader="none" w:pos="12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Company chooses to redeem less than all of the Notes pursuant to Section 5.1, then the Company shall notify the Trustee at least five days before giving notice of redemption, or such shorter period as is satisfactory to the Trustee, of the aggregate principal amount of the Notes to be redeemed and the Redemption Date.</w:t>
      </w:r>
    </w:p>
    <w:p>
      <w:pPr>
        <w:spacing w:after="0" w:line="184" w:lineRule="exact"/>
        <w:rPr>
          <w:sz w:val="20"/>
          <w:szCs w:val="20"/>
          <w:color w:val="auto"/>
        </w:rPr>
      </w:pPr>
    </w:p>
    <w:p>
      <w:pPr>
        <w:ind w:left="4" w:right="400" w:firstLine="991"/>
        <w:spacing w:after="0" w:line="342" w:lineRule="auto"/>
        <w:rPr>
          <w:sz w:val="20"/>
          <w:szCs w:val="20"/>
          <w:color w:val="auto"/>
        </w:rPr>
      </w:pPr>
      <w:r>
        <w:rPr>
          <w:rFonts w:ascii="Arial" w:cs="Arial" w:eastAsia="Arial" w:hAnsi="Arial"/>
          <w:sz w:val="16"/>
          <w:szCs w:val="16"/>
          <w:color w:val="auto"/>
        </w:rPr>
        <w:t>In the case of a partial redemption, selection of the Notes for redemption shall be made pro rata, by lot or by such other method as the Trustee in its sole discretion deems appropriate and fair. No Notes of a principal amount of €100,000 or less shall be redeemed in part.</w:t>
      </w:r>
    </w:p>
    <w:p>
      <w:pPr>
        <w:spacing w:after="0" w:line="124"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Notes selected for partial redemption, the principal amount thereof to be redeemed.</w:t>
      </w:r>
    </w:p>
    <w:p>
      <w:pPr>
        <w:spacing w:after="0" w:line="170" w:lineRule="exact"/>
        <w:rPr>
          <w:sz w:val="20"/>
          <w:szCs w:val="20"/>
          <w:color w:val="auto"/>
        </w:rPr>
      </w:pPr>
    </w:p>
    <w:p>
      <w:pPr>
        <w:jc w:val="both"/>
        <w:ind w:left="4" w:right="140" w:firstLine="991"/>
        <w:spacing w:after="0" w:line="263" w:lineRule="auto"/>
        <w:rPr>
          <w:sz w:val="20"/>
          <w:szCs w:val="20"/>
          <w:color w:val="auto"/>
        </w:rPr>
      </w:pPr>
      <w:r>
        <w:rPr>
          <w:rFonts w:ascii="Arial" w:cs="Arial" w:eastAsia="Arial" w:hAnsi="Arial"/>
          <w:sz w:val="18"/>
          <w:szCs w:val="18"/>
          <w:color w:val="auto"/>
        </w:rPr>
        <w:t>For all purposes of this Supplemental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490" w:right="439" w:bottom="1440" w:gutter="0" w:footer="0" w:header="0"/>
        </w:sectPr>
      </w:pPr>
    </w:p>
    <w:bookmarkStart w:id="33" w:name="page34"/>
    <w:bookmarkEnd w:id="33"/>
    <w:p>
      <w:pPr>
        <w:ind w:right="20" w:firstLine="987"/>
        <w:spacing w:after="0" w:line="291" w:lineRule="auto"/>
        <w:tabs>
          <w:tab w:leader="none" w:pos="1246"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Notice of any redemption pursuant to Section 5.1 and Section 5.2 shall be mailed or electronically delivered (or otherwise transmitted in accordance with the Applicable Procedures of Euroclear or Clearstream) at least 10 days but no more than 60 days before the Redemption Date to Holders of any Notes to be redeemed (with a copy to the Trustee), except that notice may be given more than 60 days prior to the date fixed for redemption if the notice is issued in connection with a Defeasance, Covenant Defeasance or satisfaction and discharge. Failure to give notice in the manner herein provided to the Holder of any Notes designated for redemption as a whole or in part, or any defect in the notice to any such Holder, shall not affect the validity of the proceedings for the redemption of any Notes or portion thereof, and any notice given in the manner herein provided shall be conclusively presumed to have been duly given, whether or not the applicable Holder receives the notice.</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1600" w:hanging="212"/>
        <w:spacing w:after="0"/>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Redemption Price or the manner of calculating the Redemption Price (in which case no Redemption Price need be specified);</w:t>
      </w:r>
    </w:p>
    <w:p>
      <w:pPr>
        <w:spacing w:after="0" w:line="140" w:lineRule="exact"/>
        <w:rPr>
          <w:rFonts w:ascii="Arial" w:cs="Arial" w:eastAsia="Arial" w:hAnsi="Arial"/>
          <w:sz w:val="16"/>
          <w:szCs w:val="16"/>
          <w:color w:val="auto"/>
        </w:rPr>
      </w:pPr>
    </w:p>
    <w:p>
      <w:pPr>
        <w:ind w:left="1700" w:hanging="312"/>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Notes to be redeemed;</w:t>
      </w:r>
    </w:p>
    <w:p>
      <w:pPr>
        <w:spacing w:after="0" w:line="117" w:lineRule="exact"/>
        <w:rPr>
          <w:rFonts w:ascii="Arial" w:cs="Arial" w:eastAsia="Arial" w:hAnsi="Arial"/>
          <w:sz w:val="18"/>
          <w:szCs w:val="18"/>
          <w:color w:val="auto"/>
        </w:rPr>
      </w:pPr>
    </w:p>
    <w:p>
      <w:pPr>
        <w:ind w:left="440" w:firstLine="948"/>
        <w:spacing w:after="0" w:line="277" w:lineRule="auto"/>
        <w:tabs>
          <w:tab w:leader="none" w:pos="16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less than all of the Outstanding Notes are to be redeemed, the identification (and, in the case of partial redemption, the portions of the principal amounts) of the particular Notes to be redeemed;</w:t>
      </w:r>
    </w:p>
    <w:p>
      <w:pPr>
        <w:spacing w:after="0" w:line="62" w:lineRule="exact"/>
        <w:rPr>
          <w:rFonts w:ascii="Arial" w:cs="Arial" w:eastAsia="Arial" w:hAnsi="Arial"/>
          <w:sz w:val="18"/>
          <w:szCs w:val="18"/>
          <w:color w:val="auto"/>
        </w:rPr>
      </w:pPr>
    </w:p>
    <w:p>
      <w:pPr>
        <w:ind w:left="440" w:right="160" w:firstLine="948"/>
        <w:spacing w:after="0" w:line="277" w:lineRule="auto"/>
        <w:tabs>
          <w:tab w:leader="none" w:pos="16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shall become due and payable upon each such Note to be redeemed and that interest thereon shall cease to accrue on and after said date;</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place or places where such Notes are to be surrendered for payment of the Redemption Price;</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CUSIP numbers of such Notes, if any (or any other numbers used by the Depositary to identify such Notes);</w:t>
      </w:r>
    </w:p>
    <w:p>
      <w:pPr>
        <w:spacing w:after="0" w:line="117" w:lineRule="exact"/>
        <w:rPr>
          <w:rFonts w:ascii="Arial" w:cs="Arial" w:eastAsia="Arial" w:hAnsi="Arial"/>
          <w:sz w:val="18"/>
          <w:szCs w:val="18"/>
          <w:color w:val="auto"/>
        </w:rPr>
      </w:pPr>
    </w:p>
    <w:p>
      <w:pPr>
        <w:ind w:left="440" w:firstLine="948"/>
        <w:spacing w:after="0" w:line="263" w:lineRule="auto"/>
        <w:tabs>
          <w:tab w:leader="none" w:pos="17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redemption is subject to the satisfaction of one or more conditions precedent, each such condition, and that such redemption may not occur and such notice may be rescinded in the event that any or all such conditions shall not have been satisfied (or waived by the Company in its sole discretion) by the Redemption Date; and</w:t>
      </w:r>
    </w:p>
    <w:p>
      <w:pPr>
        <w:spacing w:after="0" w:line="75" w:lineRule="exact"/>
        <w:rPr>
          <w:rFonts w:ascii="Arial" w:cs="Arial" w:eastAsia="Arial" w:hAnsi="Arial"/>
          <w:sz w:val="18"/>
          <w:szCs w:val="18"/>
          <w:color w:val="auto"/>
        </w:rPr>
      </w:pPr>
    </w:p>
    <w:p>
      <w:pPr>
        <w:ind w:left="440" w:right="720" w:firstLine="948"/>
        <w:spacing w:after="0" w:line="277" w:lineRule="auto"/>
        <w:tabs>
          <w:tab w:leader="none" w:pos="16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unless the Company defaults in paying the Redemption Price, interest shall cease to accrue on the Notes called for redemption on the Redemption Date.</w:t>
      </w:r>
    </w:p>
    <w:p>
      <w:pPr>
        <w:spacing w:after="0" w:line="170"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Any notice of any redemption of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so subject to satisfaction of one or more conditions precedent, such notice shall describe each such condition, and such notice may be rescinded in the event that any or all such conditions shall not have been satisfied or otherwise waived by the relevant Redemption Date.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490" w:right="459" w:bottom="1440" w:gutter="0" w:footer="0" w:header="0"/>
        </w:sectPr>
      </w:pPr>
    </w:p>
    <w:bookmarkStart w:id="34" w:name="page35"/>
    <w:bookmarkEnd w:id="34"/>
    <w:p>
      <w:pPr>
        <w:ind w:right="1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Notice of redemption of Notes to be redeemed shall be given by the Company or, on Company Request, by the Trustee at the expense of the Company. Any notice of redemption may provide that payment of the Redemption Price and the performance of the Company’s obligations with respect to such redemption may be performed by another Person.</w:t>
      </w:r>
    </w:p>
    <w:p>
      <w:pPr>
        <w:spacing w:after="0" w:line="184" w:lineRule="exact"/>
        <w:rPr>
          <w:sz w:val="20"/>
          <w:szCs w:val="20"/>
          <w:color w:val="auto"/>
        </w:rPr>
      </w:pPr>
    </w:p>
    <w:p>
      <w:pPr>
        <w:ind w:right="60" w:firstLine="987"/>
        <w:spacing w:after="0" w:line="263" w:lineRule="auto"/>
        <w:tabs>
          <w:tab w:leader="none" w:pos="12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or before 11:00 a.m., London time, on any Redemption Date, the Company shall deposit with the Trustee or with the Paying Agent (or, if the Company is acting as its own Paying Agent, segregate and hold in trust as provided in Section 1003 of the Indenture) an amount of money sufficient to pay the Redemption Price of all the Notes which are to be redeemed on that date.</w:t>
      </w:r>
    </w:p>
    <w:p>
      <w:pPr>
        <w:spacing w:after="0" w:line="183" w:lineRule="exact"/>
        <w:rPr>
          <w:rFonts w:ascii="Arial" w:cs="Arial" w:eastAsia="Arial" w:hAnsi="Arial"/>
          <w:sz w:val="18"/>
          <w:szCs w:val="18"/>
          <w:color w:val="auto"/>
        </w:rPr>
      </w:pPr>
    </w:p>
    <w:p>
      <w:pPr>
        <w:jc w:val="both"/>
        <w:ind w:right="100" w:firstLine="987"/>
        <w:spacing w:after="0" w:line="296" w:lineRule="auto"/>
        <w:tabs>
          <w:tab w:leader="none" w:pos="12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Notice of redemption having been given as aforesaid, the Notes so to be redeemed shall, on the Redemption Date, become due and payable at the Redemption Price therein specified, and from and after such date (unless the Company shall default in the payment of the Redemption Price) such Notes shall cease to bear interest. Upon surrender of any such Note for redemption in accordance with said notice, such Note shall be paid by the Company at the Redemption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installments of interest whose Stated Maturity is prior to the Redemption Date shall be payable to the Holders of such Notes registered as such at the close of business on the relevant Regular Record Dates according to their terms.</w:t>
      </w:r>
    </w:p>
    <w:p>
      <w:pPr>
        <w:spacing w:after="0" w:line="161"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If any Note called for redemption shall not be so paid upon surrender thereof for redemption, the principal thereof shall, until paid, bear interest from the Redemption Date at the rate borne by the Note.</w:t>
      </w:r>
    </w:p>
    <w:p>
      <w:pPr>
        <w:spacing w:after="0" w:line="170" w:lineRule="exact"/>
        <w:rPr>
          <w:sz w:val="20"/>
          <w:szCs w:val="20"/>
          <w:color w:val="auto"/>
        </w:rPr>
      </w:pPr>
    </w:p>
    <w:p>
      <w:pPr>
        <w:ind w:firstLine="987"/>
        <w:spacing w:after="0" w:line="296" w:lineRule="auto"/>
        <w:tabs>
          <w:tab w:leader="none" w:pos="12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Note which is to be redeemed only in part shall be surrendered at an office or agency in accordance with the notice of redemption (with, if the Company or the Trustee shall so require,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Note, without service charge, a new Note or Notes of any authorized denominations as requested by such Holder, in aggregate principal amount equal to and in exchange for the unredeemed portion of the principal of the Note so surrendered.</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PARTICULAR COVENANTS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The Company shall not, and shall not permit any of its Restricted Subsidiaries to, create or assume, except in the Company’s favor or in favor of one or more of its Wholly-Owned Subsidiaries, any Lien on any Principal Property, or upon any Capital Stock or Indebtedness of any of the Company’s Restricted Subsidiaries, that secures any Indebtedness of the Company or such Restricted Subsidiary unless the Outstanding Notes are secured equally and ratably with (or prior to) the obligations so secured by such Lien, except that the foregoing restriction does not apply to any one or more of the following types of Liens: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40" w:top="490" w:right="539" w:bottom="1440" w:gutter="0" w:footer="0" w:header="0"/>
        </w:sectPr>
      </w:pPr>
    </w:p>
    <w:bookmarkStart w:id="35" w:name="page36"/>
    <w:bookmarkEnd w:id="35"/>
    <w:p>
      <w:pPr>
        <w:ind w:left="4" w:right="80" w:firstLine="987"/>
        <w:spacing w:after="0" w:line="277" w:lineRule="auto"/>
        <w:tabs>
          <w:tab w:leader="none" w:pos="1250"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Liens in connection with workers’ compensation, unemployment insurance or other social security obligations (which phrase shall not be construed to refer to ERISA or the minimum funding obligations under Section 412 of the Code);</w:t>
      </w:r>
    </w:p>
    <w:p>
      <w:pPr>
        <w:spacing w:after="0" w:line="170" w:lineRule="exact"/>
        <w:rPr>
          <w:rFonts w:ascii="Arial" w:cs="Arial" w:eastAsia="Arial" w:hAnsi="Arial"/>
          <w:sz w:val="18"/>
          <w:szCs w:val="18"/>
          <w:color w:val="auto"/>
        </w:rPr>
      </w:pPr>
    </w:p>
    <w:p>
      <w:pPr>
        <w:ind w:left="4" w:firstLine="987"/>
        <w:spacing w:after="0" w:line="263" w:lineRule="auto"/>
        <w:tabs>
          <w:tab w:leader="none" w:pos="12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Liens to secure the performance of bids, tenders, letters of credit, contracts (other than contracts for the payment of Indebtedness), leases, statutory obligations, surety, customs, appeal, performance and payment bonds and other obligations of a similar nature, in each such case arising in the ordinary course of business;</w:t>
      </w:r>
    </w:p>
    <w:p>
      <w:pPr>
        <w:spacing w:after="0" w:line="183" w:lineRule="exact"/>
        <w:rPr>
          <w:rFonts w:ascii="Arial" w:cs="Arial" w:eastAsia="Arial" w:hAnsi="Arial"/>
          <w:sz w:val="18"/>
          <w:szCs w:val="18"/>
          <w:color w:val="auto"/>
        </w:rPr>
      </w:pPr>
    </w:p>
    <w:p>
      <w:pPr>
        <w:ind w:left="4" w:right="120" w:firstLine="987"/>
        <w:spacing w:after="0" w:line="291" w:lineRule="auto"/>
        <w:tabs>
          <w:tab w:leader="none" w:pos="1250" w:val="left"/>
        </w:tabs>
        <w:numPr>
          <w:ilvl w:val="1"/>
          <w:numId w:val="25"/>
        </w:numPr>
        <w:rPr>
          <w:rFonts w:ascii="Arial" w:cs="Arial" w:eastAsia="Arial" w:hAnsi="Arial"/>
          <w:sz w:val="16"/>
          <w:szCs w:val="16"/>
          <w:color w:val="auto"/>
        </w:rPr>
      </w:pPr>
      <w:r>
        <w:rPr>
          <w:rFonts w:ascii="Arial" w:cs="Arial" w:eastAsia="Arial" w:hAnsi="Arial"/>
          <w:sz w:val="16"/>
          <w:szCs w:val="16"/>
          <w:color w:val="auto"/>
        </w:rPr>
        <w:t>mechanics’, workmen’s, carriers’, warehousemen’s, materialmen’s, landlords’, or other similar Liens arising in the ordinary course of business with respect to obligations (i) which are not more than 30 days’ past due or are being contested in good faith and by appropriate action or</w:t>
      </w:r>
    </w:p>
    <w:p>
      <w:pPr>
        <w:ind w:left="4" w:right="100" w:hanging="4"/>
        <w:spacing w:after="0" w:line="260"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nonpayment of which in the aggregate would not reasonably be expected to have a material adverse effect on the Company and its Subsidiaries, taken as a whole;</w:t>
      </w:r>
    </w:p>
    <w:p>
      <w:pPr>
        <w:spacing w:after="0" w:line="185" w:lineRule="exact"/>
        <w:rPr>
          <w:rFonts w:ascii="Arial" w:cs="Arial" w:eastAsia="Arial" w:hAnsi="Arial"/>
          <w:sz w:val="18"/>
          <w:szCs w:val="18"/>
          <w:color w:val="auto"/>
        </w:rPr>
      </w:pPr>
    </w:p>
    <w:p>
      <w:pPr>
        <w:ind w:left="4" w:right="380" w:firstLine="987"/>
        <w:spacing w:after="0" w:line="286" w:lineRule="auto"/>
        <w:tabs>
          <w:tab w:leader="none" w:pos="1250" w:val="left"/>
        </w:tabs>
        <w:numPr>
          <w:ilvl w:val="1"/>
          <w:numId w:val="26"/>
        </w:numPr>
        <w:rPr>
          <w:rFonts w:ascii="Arial" w:cs="Arial" w:eastAsia="Arial" w:hAnsi="Arial"/>
          <w:sz w:val="17"/>
          <w:szCs w:val="17"/>
          <w:color w:val="auto"/>
        </w:rPr>
      </w:pPr>
      <w:r>
        <w:rPr>
          <w:rFonts w:ascii="Arial" w:cs="Arial" w:eastAsia="Arial" w:hAnsi="Arial"/>
          <w:sz w:val="17"/>
          <w:szCs w:val="17"/>
          <w:color w:val="auto"/>
        </w:rPr>
        <w:t>Liens for taxes, assessments, fees or governmental charges or levies which (a) are not delinquent, (b) are payable without material penalty, (c) are being contested in good faith and by appropriate action or (d) the nonpayment of which in the aggregate would not reasonably be expected to have a material adverse effect on the Company and its Subsidiaries, taken as a whole;</w:t>
      </w:r>
    </w:p>
    <w:p>
      <w:pPr>
        <w:spacing w:after="0" w:line="165" w:lineRule="exact"/>
        <w:rPr>
          <w:rFonts w:ascii="Arial" w:cs="Arial" w:eastAsia="Arial" w:hAnsi="Arial"/>
          <w:sz w:val="17"/>
          <w:szCs w:val="17"/>
          <w:color w:val="auto"/>
        </w:rPr>
      </w:pPr>
    </w:p>
    <w:p>
      <w:pPr>
        <w:jc w:val="both"/>
        <w:ind w:left="4" w:firstLine="987"/>
        <w:spacing w:after="0" w:line="259" w:lineRule="auto"/>
        <w:tabs>
          <w:tab w:leader="none" w:pos="12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Liens consisting of attachments, judgments or awards against the Company or any of its Subsidiaries with respect to which an appeal or proceeding for review shall be pending or a stay of execution shall have been obtained, or which are otherwise being contested in good faith and by appropriate action, and in respect of which adequate reserves shall have been established in accordance with GAAP on the books of the Company or any of its Subsidiaries;</w:t>
      </w:r>
    </w:p>
    <w:p>
      <w:pPr>
        <w:spacing w:after="0" w:line="186" w:lineRule="exact"/>
        <w:rPr>
          <w:rFonts w:ascii="Arial" w:cs="Arial" w:eastAsia="Arial" w:hAnsi="Arial"/>
          <w:sz w:val="18"/>
          <w:szCs w:val="18"/>
          <w:color w:val="auto"/>
        </w:rPr>
      </w:pPr>
    </w:p>
    <w:p>
      <w:pPr>
        <w:ind w:left="4" w:right="60" w:firstLine="987"/>
        <w:spacing w:after="0" w:line="263" w:lineRule="auto"/>
        <w:tabs>
          <w:tab w:leader="none" w:pos="12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easements, rights of way, restrictions, leases of Property to others, easements for installations of public utilities, title imperfections and restrictions, zoning ordinances and other similar encumbrances affecting Property which in the aggregate do not materially impair the operation of the business of the Company and its Subsidiaries taken as a whole;</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1"/>
          <w:numId w:val="26"/>
        </w:numPr>
        <w:rPr>
          <w:rFonts w:ascii="Arial" w:cs="Arial" w:eastAsia="Arial" w:hAnsi="Arial"/>
          <w:sz w:val="16"/>
          <w:szCs w:val="16"/>
          <w:color w:val="auto"/>
        </w:rPr>
      </w:pPr>
      <w:r>
        <w:rPr>
          <w:rFonts w:ascii="Arial" w:cs="Arial" w:eastAsia="Arial" w:hAnsi="Arial"/>
          <w:sz w:val="16"/>
          <w:szCs w:val="16"/>
          <w:color w:val="auto"/>
        </w:rPr>
        <w:t>Liens existing on the date of the Supplemental Indenture and securing Indebtedness or other obligations of the Company or any of its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left="1244" w:hanging="253"/>
        <w:spacing w:after="0"/>
        <w:tabs>
          <w:tab w:leader="none" w:pos="12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statutory Liens in favor of lessors arising in connection with Property leased to the Company or any of its Subsidiaries;</w:t>
      </w:r>
    </w:p>
    <w:p>
      <w:pPr>
        <w:spacing w:after="0" w:line="225" w:lineRule="exact"/>
        <w:rPr>
          <w:rFonts w:ascii="Arial" w:cs="Arial" w:eastAsia="Arial" w:hAnsi="Arial"/>
          <w:sz w:val="18"/>
          <w:szCs w:val="18"/>
          <w:color w:val="auto"/>
        </w:rPr>
      </w:pPr>
    </w:p>
    <w:p>
      <w:pPr>
        <w:ind w:left="4" w:right="200" w:firstLine="987"/>
        <w:spacing w:after="0" w:line="342" w:lineRule="auto"/>
        <w:tabs>
          <w:tab w:leader="none" w:pos="1250" w:val="left"/>
        </w:tabs>
        <w:numPr>
          <w:ilvl w:val="1"/>
          <w:numId w:val="26"/>
        </w:numPr>
        <w:rPr>
          <w:rFonts w:ascii="Arial" w:cs="Arial" w:eastAsia="Arial" w:hAnsi="Arial"/>
          <w:sz w:val="16"/>
          <w:szCs w:val="16"/>
          <w:color w:val="auto"/>
        </w:rPr>
      </w:pPr>
      <w:r>
        <w:rPr>
          <w:rFonts w:ascii="Arial" w:cs="Arial" w:eastAsia="Arial" w:hAnsi="Arial"/>
          <w:sz w:val="16"/>
          <w:szCs w:val="16"/>
          <w:color w:val="auto"/>
        </w:rPr>
        <w:t>Liens on Margin Stock to the extent that a prohibition on such Liens pursuant to this Section 6.1 would violate Regulation U of the Board of Governors of the Federal Reserve System of the United States of America, as the same may be amended or supplemented from time to time;</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490" w:right="479" w:bottom="1440" w:gutter="0" w:footer="0" w:header="0"/>
        </w:sectPr>
      </w:pPr>
    </w:p>
    <w:bookmarkStart w:id="36" w:name="page37"/>
    <w:bookmarkEnd w:id="36"/>
    <w:p>
      <w:pPr>
        <w:ind w:left="4" w:right="80" w:firstLine="987"/>
        <w:spacing w:after="0" w:line="296" w:lineRule="auto"/>
        <w:tabs>
          <w:tab w:leader="none" w:pos="1340" w:val="left"/>
        </w:tabs>
        <w:numPr>
          <w:ilvl w:val="1"/>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Liens on Property hereafter acquired by the Company or any of its Subsidiaries created within 365 days of such acquisition (or in the case of real property, completion of construction including any improvements or the commencement of operation of the Property, whichever occurs later) to secure or provide for the payment or financing of all or any part of the purchase price or construction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Lien secured thereby shall attach only to the Property so acquired or constructed and related assets (except that individual financings by one Person (or an Affiliate thereof) may be cross-collateralized to other financings provided by such Person and its Affiliates that are permitted by this clause (10));</w:t>
      </w:r>
    </w:p>
    <w:p>
      <w:pPr>
        <w:spacing w:after="0" w:line="161" w:lineRule="exact"/>
        <w:rPr>
          <w:rFonts w:ascii="Arial" w:cs="Arial" w:eastAsia="Arial" w:hAnsi="Arial"/>
          <w:sz w:val="16"/>
          <w:szCs w:val="16"/>
          <w:color w:val="auto"/>
        </w:rPr>
      </w:pPr>
    </w:p>
    <w:p>
      <w:pPr>
        <w:ind w:left="1324" w:hanging="333"/>
        <w:spacing w:after="0"/>
        <w:tabs>
          <w:tab w:leader="none" w:pos="13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Liens in respect of financing leases and Permitted Sale-Leaseback Transactions;</w:t>
      </w:r>
    </w:p>
    <w:p>
      <w:pPr>
        <w:spacing w:after="0" w:line="225" w:lineRule="exact"/>
        <w:rPr>
          <w:rFonts w:ascii="Arial" w:cs="Arial" w:eastAsia="Arial" w:hAnsi="Arial"/>
          <w:sz w:val="18"/>
          <w:szCs w:val="18"/>
          <w:color w:val="auto"/>
        </w:rPr>
      </w:pPr>
    </w:p>
    <w:p>
      <w:pPr>
        <w:ind w:left="4" w:firstLine="987"/>
        <w:spacing w:after="0" w:line="273" w:lineRule="auto"/>
        <w:tabs>
          <w:tab w:leader="none" w:pos="13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(a) Liens on the Property of a Person that becomes a Subsidiary of the Company after the date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Liens existed at the time such Person becomes a Subsidiary of the Company and were not created in anticipation thereof, (ii) any such Liens are not extended to any Property of the Company or of any Subsidiary of the Company, other than the Property or assets of such Subsidiary and (b) Liens on the proceeds of Indebtedness incurred to finance an acquisition, investment or refinancing pursuant to customary escrow or similar arrangements to the extent such proceeds (i) secure such Indebtedness or are otherwise restricted in favor of the holders of such Indebtedness and (ii) shall be required to repay such Indebtedness if such acquisition, investment or refinancing is not consummated;</w:t>
      </w:r>
    </w:p>
    <w:p>
      <w:pPr>
        <w:spacing w:after="0" w:line="177" w:lineRule="exact"/>
        <w:rPr>
          <w:rFonts w:ascii="Arial" w:cs="Arial" w:eastAsia="Arial" w:hAnsi="Arial"/>
          <w:sz w:val="17"/>
          <w:szCs w:val="17"/>
          <w:color w:val="auto"/>
        </w:rPr>
      </w:pPr>
    </w:p>
    <w:p>
      <w:pPr>
        <w:ind w:left="1344" w:hanging="353"/>
        <w:spacing w:after="0"/>
        <w:tabs>
          <w:tab w:leader="none" w:pos="13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and not created in contemplation thereof;</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27"/>
        </w:numPr>
        <w:rPr>
          <w:rFonts w:ascii="Arial" w:cs="Arial" w:eastAsia="Arial" w:hAnsi="Arial"/>
          <w:sz w:val="16"/>
          <w:szCs w:val="16"/>
          <w:color w:val="auto"/>
        </w:rPr>
      </w:pPr>
      <w:r>
        <w:rPr>
          <w:rFonts w:ascii="Arial" w:cs="Arial" w:eastAsia="Arial" w:hAnsi="Arial"/>
          <w:sz w:val="16"/>
          <w:szCs w:val="16"/>
          <w:color w:val="auto"/>
        </w:rPr>
        <w:t>Liens (a) of a collecting bank arising under Section 4-208 of the Uniform Commercial Code on the items in the course of collection,</w:t>
      </w:r>
    </w:p>
    <w:p>
      <w:pPr>
        <w:spacing w:after="0" w:line="46" w:lineRule="exact"/>
        <w:rPr>
          <w:rFonts w:ascii="Arial" w:cs="Arial" w:eastAsia="Arial" w:hAnsi="Arial"/>
          <w:sz w:val="16"/>
          <w:szCs w:val="16"/>
          <w:color w:val="auto"/>
        </w:rPr>
      </w:pPr>
    </w:p>
    <w:p>
      <w:pPr>
        <w:ind w:left="4" w:right="380" w:hanging="4"/>
        <w:spacing w:after="0" w:line="290" w:lineRule="auto"/>
        <w:tabs>
          <w:tab w:leader="none" w:pos="2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favor of a banking institution arising as a matter of law encumbering deposits (including the right of set off) and which are within the general parameters customary in the banking industry, and (c) Liens on assets in order to secure defeased and/or discharged Indebtedness;</w:t>
      </w:r>
    </w:p>
    <w:p>
      <w:pPr>
        <w:spacing w:after="0" w:line="161" w:lineRule="exact"/>
        <w:rPr>
          <w:rFonts w:ascii="Arial" w:cs="Arial" w:eastAsia="Arial" w:hAnsi="Arial"/>
          <w:sz w:val="17"/>
          <w:szCs w:val="17"/>
          <w:color w:val="auto"/>
        </w:rPr>
      </w:pPr>
    </w:p>
    <w:p>
      <w:pPr>
        <w:ind w:left="1344" w:hanging="353"/>
        <w:spacing w:after="0"/>
        <w:tabs>
          <w:tab w:leader="none" w:pos="13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securing Securitized Indebtedness and receivables factoring, discounting, facilities or securitizations;</w:t>
      </w:r>
    </w:p>
    <w:p>
      <w:pPr>
        <w:spacing w:after="0" w:line="225" w:lineRule="exact"/>
        <w:rPr>
          <w:rFonts w:ascii="Arial" w:cs="Arial" w:eastAsia="Arial" w:hAnsi="Arial"/>
          <w:sz w:val="18"/>
          <w:szCs w:val="18"/>
          <w:color w:val="auto"/>
        </w:rPr>
      </w:pPr>
    </w:p>
    <w:p>
      <w:pPr>
        <w:ind w:left="4" w:right="100" w:firstLine="987"/>
        <w:spacing w:after="0" w:line="293" w:lineRule="auto"/>
        <w:tabs>
          <w:tab w:leader="none" w:pos="13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any extension, renewal, refinancing, substitution or replacement (or successive extensions, renewals, refinancings, substitutions or replacements), as a whole or in part, of any of the Liens referred to in paragraphs (7), (10), (12), (13), and (21) of this Section 6.1 to the extent that the principal amount secured by such Lien at such time is not increased (other than increases related to required premiums, accrued interest and reasonable fees and expenses in connection with such extensions, renewals, refinancings, substitutions or replacements);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extension, renewal, refinancing, substitution or replacement Lien shall be limited to all or any part of substantially the same Property or assets that secured the Lien extended, renewed, refinanced, substituted or replaced (plus improvements on such Property and proceeds thereof);</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490" w:right="479" w:bottom="1440" w:gutter="0" w:footer="0" w:header="0"/>
        </w:sectPr>
      </w:pPr>
    </w:p>
    <w:bookmarkStart w:id="37" w:name="page38"/>
    <w:bookmarkEnd w:id="37"/>
    <w:p>
      <w:pPr>
        <w:ind w:left="1340" w:hanging="353"/>
        <w:spacing w:after="0"/>
        <w:tabs>
          <w:tab w:leader="none" w:pos="1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Liens on proceeds of any of the assets permitted to be the subject of any Lien or assignment permitted by this Section 6.1;</w:t>
      </w:r>
    </w:p>
    <w:p>
      <w:pPr>
        <w:spacing w:after="0" w:line="236" w:lineRule="exact"/>
        <w:rPr>
          <w:rFonts w:ascii="Arial" w:cs="Arial" w:eastAsia="Arial" w:hAnsi="Arial"/>
          <w:sz w:val="17"/>
          <w:szCs w:val="17"/>
          <w:color w:val="auto"/>
        </w:rPr>
      </w:pPr>
    </w:p>
    <w:p>
      <w:pPr>
        <w:ind w:right="240" w:firstLine="987"/>
        <w:spacing w:after="0" w:line="263" w:lineRule="auto"/>
        <w:tabs>
          <w:tab w:leader="none" w:pos="13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of any Person securing such Person’s obligation in respect of banker’s acceptances issued or created in the ordinary course of business for the account of such Person to facilitate the purchase, shipment, or storage of such inventory or other goods;</w:t>
      </w:r>
    </w:p>
    <w:p>
      <w:pPr>
        <w:spacing w:after="0" w:line="183" w:lineRule="exact"/>
        <w:rPr>
          <w:rFonts w:ascii="Arial" w:cs="Arial" w:eastAsia="Arial" w:hAnsi="Arial"/>
          <w:sz w:val="18"/>
          <w:szCs w:val="18"/>
          <w:color w:val="auto"/>
        </w:rPr>
      </w:pPr>
    </w:p>
    <w:p>
      <w:pPr>
        <w:ind w:right="40" w:firstLine="987"/>
        <w:spacing w:after="0" w:line="269" w:lineRule="auto"/>
        <w:tabs>
          <w:tab w:leader="none" w:pos="13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Liens (a) that are contractual rights of set-off (i) relating to the establishment of depository relations with banks not given in connection with the issuance of debt, (ii) relating to pooled deposit or sweep accounts to permit satisfaction of overdraft or similar obligations and other cash management activities incurred in the ordinary course of business or (iii) relating to purchase orders and other agreements entered into with customers in the ordinary course of business and (b) (i) of a collection bank arising under Section 4-210 of the Uniform Commercial Code on items in the course of collection, (ii) encumbering reasonable customary initial deposits and margin deposits and attaching to commodity trading accounts or other brokerage accounts incurred in the ordinary course of business, (iii) in favor of banking institutions arising as a matter of law or pursuant to customary account agreements encumbering deposits (including the right of set-off) and which are within the general parameters customary in the banking industry, and (iv) of financial institutions funding the vault cash or other arrangements, pursuant to which various financial institutions fund the cash requirements of automated teller machines and cash access facilities operated by the Company or its Subsidiaries at customer locations (the “</w:t>
      </w:r>
      <w:r>
        <w:rPr>
          <w:rFonts w:ascii="Arial" w:cs="Arial" w:eastAsia="Arial" w:hAnsi="Arial"/>
          <w:sz w:val="17"/>
          <w:szCs w:val="17"/>
          <w:u w:val="single" w:color="auto"/>
          <w:color w:val="auto"/>
        </w:rPr>
        <w:t>Vault</w:t>
      </w:r>
      <w:r>
        <w:rPr>
          <w:rFonts w:ascii="Arial" w:cs="Arial" w:eastAsia="Arial" w:hAnsi="Arial"/>
          <w:sz w:val="17"/>
          <w:szCs w:val="17"/>
          <w:color w:val="auto"/>
        </w:rPr>
        <w:t xml:space="preserve"> </w:t>
      </w:r>
      <w:r>
        <w:rPr>
          <w:rFonts w:ascii="Arial" w:cs="Arial" w:eastAsia="Arial" w:hAnsi="Arial"/>
          <w:sz w:val="17"/>
          <w:szCs w:val="17"/>
          <w:u w:val="single" w:color="auto"/>
          <w:color w:val="auto"/>
        </w:rPr>
        <w:t>Cash Operations</w:t>
      </w:r>
      <w:r>
        <w:rPr>
          <w:rFonts w:ascii="Arial" w:cs="Arial" w:eastAsia="Arial" w:hAnsi="Arial"/>
          <w:sz w:val="17"/>
          <w:szCs w:val="17"/>
          <w:color w:val="auto"/>
        </w:rPr>
        <w:t>”), in the cash provided by such institutions for such Vault Cash Operations;</w:t>
      </w:r>
    </w:p>
    <w:p>
      <w:pPr>
        <w:spacing w:after="0" w:line="185" w:lineRule="exact"/>
        <w:rPr>
          <w:rFonts w:ascii="Arial" w:cs="Arial" w:eastAsia="Arial" w:hAnsi="Arial"/>
          <w:sz w:val="17"/>
          <w:szCs w:val="17"/>
          <w:color w:val="auto"/>
        </w:rPr>
      </w:pPr>
    </w:p>
    <w:p>
      <w:pPr>
        <w:ind w:left="1340" w:hanging="353"/>
        <w:spacing w:after="0"/>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pursuant to the terms and conditions of any contracts between the Company or any Subsidiary and the U.S. government; and</w:t>
      </w:r>
    </w:p>
    <w:p>
      <w:pPr>
        <w:spacing w:after="0" w:line="248" w:lineRule="exact"/>
        <w:rPr>
          <w:rFonts w:ascii="Arial" w:cs="Arial" w:eastAsia="Arial" w:hAnsi="Arial"/>
          <w:sz w:val="16"/>
          <w:szCs w:val="16"/>
          <w:color w:val="auto"/>
        </w:rPr>
      </w:pPr>
    </w:p>
    <w:p>
      <w:pPr>
        <w:ind w:firstLine="987"/>
        <w:spacing w:after="0" w:line="254" w:lineRule="auto"/>
        <w:tabs>
          <w:tab w:leader="none" w:pos="13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other Liens;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duplication, the aggregate sum of all obligations and Indebtedness secured by Liens incurred pursuant to this paragraph (21), together with the aggregate principal amount secured by Liens incurred pursuant to paragraph (16) of this Section 6.1 that extend, renew, refinance, substitute for or replace Liens incurred under this paragraph (21) and the aggregate Attributable Value of any Property involved in a sale-leaseback transaction that is permitted to be incurred solely because it falls under the Applicable Threshold described in the proviso contained in the definition of “Permitted Sale-Leaseback Transactions,” would not exceed the greater of (i) $2,000,000,000 and (ii) 15.0% of Net Worth as determined at the time of, and immediately after giving effect to, the incurrence of such Lien based on the balance sheet for the end of the most recent quarter for which financial statements are available.</w:t>
      </w:r>
    </w:p>
    <w:p>
      <w:pPr>
        <w:spacing w:after="0" w:line="19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Any Lien created for the benefit of the Holders of the Notes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provide by its terms that such Lien shall be automatically and unconditionally released and discharged upon the release and discharge of the Lien giving rise to the obligation to equally and ratably secure the notes.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490" w:right="479" w:bottom="1440" w:gutter="0" w:footer="0" w:header="0"/>
        </w:sectPr>
      </w:pPr>
    </w:p>
    <w:bookmarkStart w:id="38" w:name="page39"/>
    <w:bookmarkEnd w:id="3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6.2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Neither the Company nor any of its Restricted Subsidiaries may sell or transfer to any Person other than the Company or any of its Subsidiaries any Principal Property owned by the Company or any of its Restricted Subsidiaries with the intention of taking back a lease thereof, other than Permitted Sale-Leaseback Transactions.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Right to Require Repurchase Upon a Change of Control Triggering Event</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96" w:lineRule="auto"/>
        <w:tabs>
          <w:tab w:leader="none" w:pos="12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the occurrence of any Change of Control Triggering Event, each Holder of Notes shall have the right to require the Company to repurchase all or any part of such Holder’s Notes pursuant to the offer described below (the “</w:t>
      </w:r>
      <w:r>
        <w:rPr>
          <w:rFonts w:ascii="Arial" w:cs="Arial" w:eastAsia="Arial" w:hAnsi="Arial"/>
          <w:sz w:val="16"/>
          <w:szCs w:val="16"/>
          <w:u w:val="single" w:color="auto"/>
          <w:color w:val="auto"/>
        </w:rPr>
        <w:t>Change of Control Offer</w:t>
      </w:r>
      <w:r>
        <w:rPr>
          <w:rFonts w:ascii="Arial" w:cs="Arial" w:eastAsia="Arial" w:hAnsi="Arial"/>
          <w:sz w:val="16"/>
          <w:szCs w:val="16"/>
          <w:color w:val="auto"/>
        </w:rPr>
        <w:t>”) on the terms set forth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the Notes submitted for repurchase in part, the remaining portion of such Notes is in a principal amount of €100,000 or an integral multiple of €1,000 in excess thereof) at a purchase price in cash equal to 101% of the aggregate principal amount of the Notes repurchased plus accrued and unpaid interest, if any, on the Notes repurchased, to, but not including, the date of purchase (the “</w:t>
      </w:r>
      <w:r>
        <w:rPr>
          <w:rFonts w:ascii="Arial" w:cs="Arial" w:eastAsia="Arial" w:hAnsi="Arial"/>
          <w:sz w:val="16"/>
          <w:szCs w:val="16"/>
          <w:u w:val="single" w:color="auto"/>
          <w:color w:val="auto"/>
        </w:rPr>
        <w:t>Change of Control Payment</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firstLine="987"/>
        <w:spacing w:after="0" w:line="263" w:lineRule="auto"/>
        <w:tabs>
          <w:tab w:leader="none" w:pos="12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Within 30 days following any Change of Control Triggering Event, the Company shall mail (or otherwise deliver in accordance with the Applicable Procedures) a notice to Holders of Notes, with a written copy to the Trustee and the Paying Agent, which notice shall govern the terms of the Change of Control Offer. Such notice shall state:</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description of the transaction or transactions that constitute the Change of Control Triggering Event;</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that the Change of Control Offer is being made pursuant to this Section 6.3 and that all Notes validly tendered shall be accepted</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for payment;</w:t>
      </w:r>
    </w:p>
    <w:p>
      <w:pPr>
        <w:spacing w:after="0" w:line="102" w:lineRule="exact"/>
        <w:rPr>
          <w:rFonts w:ascii="Arial" w:cs="Arial" w:eastAsia="Arial" w:hAnsi="Arial"/>
          <w:sz w:val="16"/>
          <w:szCs w:val="16"/>
          <w:color w:val="auto"/>
        </w:rPr>
      </w:pPr>
    </w:p>
    <w:p>
      <w:pPr>
        <w:ind w:left="440" w:right="460" w:firstLine="948"/>
        <w:spacing w:after="0" w:line="308" w:lineRule="auto"/>
        <w:tabs>
          <w:tab w:leader="none" w:pos="1707"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Change of Control Payment and the “</w:t>
      </w:r>
      <w:r>
        <w:rPr>
          <w:rFonts w:ascii="Arial" w:cs="Arial" w:eastAsia="Arial" w:hAnsi="Arial"/>
          <w:sz w:val="17"/>
          <w:szCs w:val="17"/>
          <w:u w:val="single" w:color="auto"/>
          <w:color w:val="auto"/>
        </w:rPr>
        <w:t>Change of Control Purchase Date</w:t>
      </w:r>
      <w:r>
        <w:rPr>
          <w:rFonts w:ascii="Arial" w:cs="Arial" w:eastAsia="Arial" w:hAnsi="Arial"/>
          <w:sz w:val="17"/>
          <w:szCs w:val="17"/>
          <w:color w:val="auto"/>
        </w:rPr>
        <w:t>,” which date shall be a Business Day that is no earlier than 10 days and no later than 60 days from the date such notice is given, other than as may be required by law; and</w:t>
      </w:r>
    </w:p>
    <w:p>
      <w:pPr>
        <w:spacing w:after="0" w:line="38" w:lineRule="exact"/>
        <w:rPr>
          <w:rFonts w:ascii="Arial" w:cs="Arial" w:eastAsia="Arial" w:hAnsi="Arial"/>
          <w:sz w:val="17"/>
          <w:szCs w:val="17"/>
          <w:color w:val="auto"/>
        </w:rPr>
      </w:pPr>
    </w:p>
    <w:p>
      <w:pPr>
        <w:jc w:val="both"/>
        <w:ind w:left="440" w:right="140" w:firstLine="948"/>
        <w:spacing w:after="0" w:line="259" w:lineRule="auto"/>
        <w:tabs>
          <w:tab w:leader="none" w:pos="1697"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if the notice is mailed prior to the date of the consummation of the Change of Control, the notice shall state that the Change of Control Offer is conditioned on the Change of Control Triggering Event occurring on or prior to the Change of Control Purchase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Change of Control Triggering Event occurs after such Change of Control Purchase Date, the Company shall be required to offer to purchase the Notes as otherwise set forth in this Section 6.3.</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the Change of Control Purchase Date, the Company shall be required, to the extent lawful, to:</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accept for payment all Notes or portions of Notes properly tendered and not properly withdrawn pursuant to the Change of</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Control Offer;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490" w:right="499" w:bottom="1440" w:gutter="0" w:footer="0" w:header="0"/>
        </w:sectPr>
      </w:pPr>
    </w:p>
    <w:bookmarkStart w:id="39" w:name="page40"/>
    <w:bookmarkEnd w:id="39"/>
    <w:p>
      <w:pPr>
        <w:ind w:left="440" w:right="300" w:firstLine="948"/>
        <w:spacing w:after="0" w:line="277" w:lineRule="auto"/>
        <w:tabs>
          <w:tab w:leader="none" w:pos="1657"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440" w:right="460" w:firstLine="948"/>
        <w:spacing w:after="0" w:line="277" w:lineRule="auto"/>
        <w:tabs>
          <w:tab w:leader="none" w:pos="17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w:t>
      </w:r>
    </w:p>
    <w:p>
      <w:pPr>
        <w:spacing w:after="0" w:line="170"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The Paying Agent shall promptly mail or otherwise deliver to each Holder of Notes properly tendered the Change of Control Payment for such Notes (or with respect to Global Notes otherwise make such payment in accordance with the Applicable Procedures of the ICSDs), and the Trustee shall promptly authenticate and mail (or cause to be transferred by book-entry) to each Holder of Notes properly tendered a new Note equal in principal amount to any unpurchased portion of any Notes surrendered;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principal amount of €100,000 or an integral multiple of €1,000 in excess thereof.</w:t>
      </w:r>
    </w:p>
    <w:p>
      <w:pPr>
        <w:spacing w:after="0" w:line="188" w:lineRule="exact"/>
        <w:rPr>
          <w:sz w:val="20"/>
          <w:szCs w:val="20"/>
          <w:color w:val="auto"/>
        </w:rPr>
      </w:pPr>
    </w:p>
    <w:p>
      <w:pPr>
        <w:ind w:right="40" w:firstLine="987"/>
        <w:spacing w:after="0" w:line="301" w:lineRule="auto"/>
        <w:tabs>
          <w:tab w:leader="none" w:pos="12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those laws and regulations are applicable in connection with the repurchase of Notes as a result of a Change of Control Triggering Event. To the extent that the provisions of any securities laws or regulations conflict with this Section 6.3, the Company shall comply with the applicable securities laws and regulations and shall not be deemed to have breached its obligations under this Section 6.3 by virtue of such conflicts.</w:t>
      </w:r>
    </w:p>
    <w:p>
      <w:pPr>
        <w:spacing w:after="0" w:line="157" w:lineRule="exact"/>
        <w:rPr>
          <w:rFonts w:ascii="Arial" w:cs="Arial" w:eastAsia="Arial" w:hAnsi="Arial"/>
          <w:sz w:val="16"/>
          <w:szCs w:val="16"/>
          <w:color w:val="auto"/>
        </w:rPr>
      </w:pPr>
    </w:p>
    <w:p>
      <w:pPr>
        <w:ind w:right="100" w:firstLine="987"/>
        <w:spacing w:after="0" w:line="275" w:lineRule="auto"/>
        <w:tabs>
          <w:tab w:leader="none" w:pos="1246"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Notwithstanding the foregoing, the Company shall not be required to make a Change of Control Offer for the Notes upon a Change of Control Triggering Event if (a) a third party makes such an offer in the manner, at the times and otherwise in compliance with the requirements for an offer made by the Company and such third party purchases all the Notes properly tendered and not withdrawn under its offer or (b) prior to the occurrence of the related Change of Control Triggering Event, the Company has given written notice of a redemption as provided under Section 5.1 unless the Company has failed to pay the Redemption Price on the Redemption Date.</w:t>
      </w:r>
    </w:p>
    <w:p>
      <w:pPr>
        <w:spacing w:after="0" w:line="176" w:lineRule="exact"/>
        <w:rPr>
          <w:rFonts w:ascii="Arial" w:cs="Arial" w:eastAsia="Arial" w:hAnsi="Arial"/>
          <w:sz w:val="17"/>
          <w:szCs w:val="17"/>
          <w:color w:val="auto"/>
        </w:rPr>
      </w:pPr>
    </w:p>
    <w:p>
      <w:pPr>
        <w:ind w:firstLine="987"/>
        <w:spacing w:after="0" w:line="291" w:lineRule="auto"/>
        <w:tabs>
          <w:tab w:leader="none" w:pos="124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Holders of not less than 90% in aggregate principal amount of the Outstanding Notes validly tender and do not withdraw such Notes in a Change of Control Offer and the Company, or any third party making such an offer in lieu of the Company as described in Section 6.3(5) of this Supplemental Indenture, purchase all of such Notes properly tendered and not withdrawn by such Holders, the Company or such third party have the right, upon not less than 10 days’ nor more than 60 days’ prior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notice is given not more than 60 days following such repurchase pursuant to the applicable Change of Control Offer) to redeem all Notes that remain Outstanding following such purchase on a date specified in such notice (the “</w:t>
      </w:r>
      <w:r>
        <w:rPr>
          <w:rFonts w:ascii="Arial" w:cs="Arial" w:eastAsia="Arial" w:hAnsi="Arial"/>
          <w:sz w:val="16"/>
          <w:szCs w:val="16"/>
          <w:u w:val="single" w:color="auto"/>
          <w:color w:val="auto"/>
        </w:rPr>
        <w:t>Second Change of Control Purchase Date</w:t>
      </w:r>
      <w:r>
        <w:rPr>
          <w:rFonts w:ascii="Arial" w:cs="Arial" w:eastAsia="Arial" w:hAnsi="Arial"/>
          <w:sz w:val="16"/>
          <w:szCs w:val="16"/>
          <w:color w:val="auto"/>
        </w:rPr>
        <w:t>”) and at a price in cash equal to 101% of the aggregate principal amount of the Notes repurchased plus accrued and unpaid interest, if any, on the Notes repurchased to, but excluding, the Second Change of Control Purchase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490" w:right="479" w:bottom="1440" w:gutter="0" w:footer="0" w:header="0"/>
        </w:sectPr>
      </w:pPr>
    </w:p>
    <w:bookmarkStart w:id="40" w:name="page41"/>
    <w:bookmarkEnd w:id="4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6.4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If, following any transaction permitted by Section 801 of the Indenture (as amended by this Supplemental Indenture), the Surviving Person is organized under the laws of a jurisdiction other than the United States, any state or territory thereof or the District of Columbia, all payments made to each holder or beneficial owner by the Surviving Person under, or with respect to, the Notes shall be made free and clear of, and without withholding or deduction for or on account of, any Taxes imposed or levied by or on behalf of the jurisdiction of organization of the Surviving Person or any political subdivision thereof or taxing authority therein (the “</w:t>
      </w:r>
      <w:r>
        <w:rPr>
          <w:rFonts w:ascii="Arial" w:cs="Arial" w:eastAsia="Arial" w:hAnsi="Arial"/>
          <w:sz w:val="18"/>
          <w:szCs w:val="18"/>
          <w:u w:val="single" w:color="auto"/>
          <w:color w:val="auto"/>
        </w:rPr>
        <w:t>Taxing Jurisdiction</w:t>
      </w:r>
      <w:r>
        <w:rPr>
          <w:rFonts w:ascii="Arial" w:cs="Arial" w:eastAsia="Arial" w:hAnsi="Arial"/>
          <w:sz w:val="18"/>
          <w:szCs w:val="18"/>
          <w:color w:val="auto"/>
        </w:rPr>
        <w:t>”), unless such withholding or deduction is required by law or by the official interpretation or administration thereof.</w:t>
      </w:r>
    </w:p>
    <w:p>
      <w:pPr>
        <w:spacing w:after="0" w:line="192" w:lineRule="exact"/>
        <w:rPr>
          <w:sz w:val="20"/>
          <w:szCs w:val="20"/>
          <w:color w:val="auto"/>
        </w:rPr>
      </w:pPr>
    </w:p>
    <w:p>
      <w:pPr>
        <w:ind w:right="140" w:firstLine="991"/>
        <w:spacing w:after="0" w:line="275" w:lineRule="auto"/>
        <w:rPr>
          <w:sz w:val="20"/>
          <w:szCs w:val="20"/>
          <w:color w:val="auto"/>
        </w:rPr>
      </w:pPr>
      <w:r>
        <w:rPr>
          <w:rFonts w:ascii="Arial" w:cs="Arial" w:eastAsia="Arial" w:hAnsi="Arial"/>
          <w:sz w:val="17"/>
          <w:szCs w:val="17"/>
          <w:color w:val="auto"/>
        </w:rPr>
        <w:t>If any amount for, or on account of, such Taxes is required to be withheld or deducted by the Surviving Person from any payment made under or with respect to the Notes to a holder or beneficial owner, the Surviving Person shall pay such additional amounts (the “</w:t>
      </w:r>
      <w:r>
        <w:rPr>
          <w:rFonts w:ascii="Arial" w:cs="Arial" w:eastAsia="Arial" w:hAnsi="Arial"/>
          <w:sz w:val="17"/>
          <w:szCs w:val="17"/>
          <w:u w:val="single" w:color="auto"/>
          <w:color w:val="auto"/>
        </w:rPr>
        <w:t>Additional Amounts</w:t>
      </w:r>
      <w:r>
        <w:rPr>
          <w:rFonts w:ascii="Arial" w:cs="Arial" w:eastAsia="Arial" w:hAnsi="Arial"/>
          <w:sz w:val="17"/>
          <w:szCs w:val="17"/>
          <w:color w:val="auto"/>
        </w:rPr>
        <w:t xml:space="preserve">”) as may be necessary so that the net amount received by each Holder or beneficial owner (including Additional Amounts) after such withholding or deduction shall not be less than the amount such Holder or beneficial owner would have received if such Taxes had not been required to be withheld or deducted;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obligation to pay Additional Amounts does not apply to:</w:t>
      </w:r>
    </w:p>
    <w:p>
      <w:pPr>
        <w:spacing w:after="0" w:line="68" w:lineRule="exact"/>
        <w:rPr>
          <w:sz w:val="20"/>
          <w:szCs w:val="20"/>
          <w:color w:val="auto"/>
        </w:rPr>
      </w:pPr>
    </w:p>
    <w:p>
      <w:pPr>
        <w:ind w:left="440" w:firstLine="948"/>
        <w:spacing w:after="0" w:line="259" w:lineRule="auto"/>
        <w:tabs>
          <w:tab w:leader="none" w:pos="16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Taxes imposed by the United States, including any Taxes withheld or deducted pursuant to Sections 1471 through 1474 of the Internal Revenue Code of 1986, as amended (or any amended or successor version of such Sections), any U.S. Treasury regulations promulgated thereunder, any official interpretations thereof or any agreements (including any law implementing any such agreement) entered into in connection with the implementation thereof;</w:t>
      </w:r>
    </w:p>
    <w:p>
      <w:pPr>
        <w:spacing w:after="0" w:line="78" w:lineRule="exact"/>
        <w:rPr>
          <w:rFonts w:ascii="Arial" w:cs="Arial" w:eastAsia="Arial" w:hAnsi="Arial"/>
          <w:sz w:val="18"/>
          <w:szCs w:val="18"/>
          <w:color w:val="auto"/>
        </w:rPr>
      </w:pPr>
    </w:p>
    <w:p>
      <w:pPr>
        <w:ind w:left="440" w:right="240" w:firstLine="948"/>
        <w:spacing w:after="0" w:line="301" w:lineRule="auto"/>
        <w:tabs>
          <w:tab w:leader="none" w:pos="165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Taxes that would not have been so imposed but for the existence of any present or former connection between the relevant Holder or any beneficial owner (or between a fiduciary, settlor, beneficiary, member or shareholder of, or possessor of power over the relevant holder or beneficial owner, if the relevant Holder or beneficial owner is an estate, nominee, trust or entity) and a Taxing Jurisdiction (other than the mere receipt of such payment or the ownership or holding of such Note outside of the Surviving Person’s country of organization);</w:t>
      </w:r>
    </w:p>
    <w:p>
      <w:pPr>
        <w:spacing w:after="0" w:line="49" w:lineRule="exact"/>
        <w:rPr>
          <w:rFonts w:ascii="Arial" w:cs="Arial" w:eastAsia="Arial" w:hAnsi="Arial"/>
          <w:sz w:val="16"/>
          <w:szCs w:val="16"/>
          <w:color w:val="auto"/>
        </w:rPr>
      </w:pPr>
    </w:p>
    <w:p>
      <w:pPr>
        <w:ind w:left="440" w:right="60" w:firstLine="948"/>
        <w:spacing w:after="0" w:line="255" w:lineRule="auto"/>
        <w:tabs>
          <w:tab w:leader="none" w:pos="17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Taxes that are imposed or withheld by reason of the failure by the relevant Holder or any beneficial owner of the Notes to comply on a timely basis with a written request of the Surviving Person addressed to such Holder or any beneficial owner to provide certification, information, documents or other evidence concerning the nationality, residence or identity of such Holder or beneficial owner or to make any declaration or similar claim or satisfy any other reporting requirement relating to such matters, which is required by a statute, treaty, regulation or administrative practice of the applicable Taxing Jurisdiction as a precondition to exemption from, or reduction in the rate of withholding or deduction of, all or part of such Taxes;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490" w:right="459" w:bottom="1440" w:gutter="0" w:footer="0" w:header="0"/>
        </w:sectPr>
      </w:pPr>
    </w:p>
    <w:bookmarkStart w:id="41" w:name="page42"/>
    <w:bookmarkEnd w:id="41"/>
    <w:p>
      <w:pPr>
        <w:ind w:left="1700" w:hanging="312"/>
        <w:spacing w:after="0"/>
        <w:tabs>
          <w:tab w:leader="none" w:pos="1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estate, inheritance, gift, sales, excise, transfer, personal property tax or similar tax, duty, assessment or governmental charge;</w:t>
      </w:r>
    </w:p>
    <w:p>
      <w:pPr>
        <w:spacing w:after="0" w:line="140" w:lineRule="exact"/>
        <w:rPr>
          <w:rFonts w:ascii="Arial" w:cs="Arial" w:eastAsia="Arial" w:hAnsi="Arial"/>
          <w:sz w:val="16"/>
          <w:szCs w:val="16"/>
          <w:color w:val="auto"/>
        </w:rPr>
      </w:pPr>
    </w:p>
    <w:p>
      <w:pPr>
        <w:ind w:left="1640" w:hanging="252"/>
        <w:spacing w:after="0"/>
        <w:tabs>
          <w:tab w:leader="none" w:pos="1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Taxes that are payable other than by deduction or withholding from a payment on or in respect of the Notes;</w:t>
      </w:r>
    </w:p>
    <w:p>
      <w:pPr>
        <w:spacing w:after="0" w:line="117" w:lineRule="exact"/>
        <w:rPr>
          <w:rFonts w:ascii="Arial" w:cs="Arial" w:eastAsia="Arial" w:hAnsi="Arial"/>
          <w:sz w:val="18"/>
          <w:szCs w:val="18"/>
          <w:color w:val="auto"/>
        </w:rPr>
      </w:pPr>
    </w:p>
    <w:p>
      <w:pPr>
        <w:ind w:left="440" w:right="160" w:firstLine="948"/>
        <w:spacing w:after="0" w:line="263" w:lineRule="auto"/>
        <w:tabs>
          <w:tab w:leader="none" w:pos="16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Taxes that are withheld or deducted by a Paying Agent from a payment if the Notes were presented for payment by or on behalf of a Holder to such Paying Agent and such withholding or deduction could have been avoided by presenting the relevant notes to another Paying Agent;</w:t>
      </w:r>
    </w:p>
    <w:p>
      <w:pPr>
        <w:spacing w:after="0" w:line="75" w:lineRule="exact"/>
        <w:rPr>
          <w:rFonts w:ascii="Arial" w:cs="Arial" w:eastAsia="Arial" w:hAnsi="Arial"/>
          <w:sz w:val="18"/>
          <w:szCs w:val="18"/>
          <w:color w:val="auto"/>
        </w:rPr>
      </w:pPr>
    </w:p>
    <w:p>
      <w:pPr>
        <w:ind w:left="440" w:firstLine="948"/>
        <w:spacing w:after="0" w:line="263" w:lineRule="auto"/>
        <w:tabs>
          <w:tab w:leader="none" w:pos="17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Taxes that are payable by any Person acting as custodian bank or collecting agent on behalf of a Holder, or otherwise in any manner which does not constitute a withholding or deduction by the Surviving Person, its Paying Agent, or any successor thereof from payments made by it;</w:t>
      </w:r>
    </w:p>
    <w:p>
      <w:pPr>
        <w:spacing w:after="0" w:line="75" w:lineRule="exact"/>
        <w:rPr>
          <w:rFonts w:ascii="Arial" w:cs="Arial" w:eastAsia="Arial" w:hAnsi="Arial"/>
          <w:sz w:val="18"/>
          <w:szCs w:val="18"/>
          <w:color w:val="auto"/>
        </w:rPr>
      </w:pPr>
    </w:p>
    <w:p>
      <w:pPr>
        <w:ind w:left="440" w:right="200" w:firstLine="948"/>
        <w:spacing w:after="0" w:line="263" w:lineRule="auto"/>
        <w:tabs>
          <w:tab w:leader="none" w:pos="17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Taxes that are payable by reason of a change in law that becomes effective more than 15 days after the relevant payment becomes due and is made available for payment to the Holders, unless such Taxes would have been applicable had payment been made within such 15 day period;</w:t>
      </w:r>
    </w:p>
    <w:p>
      <w:pPr>
        <w:spacing w:after="0" w:line="75" w:lineRule="exact"/>
        <w:rPr>
          <w:rFonts w:ascii="Arial" w:cs="Arial" w:eastAsia="Arial" w:hAnsi="Arial"/>
          <w:sz w:val="18"/>
          <w:szCs w:val="18"/>
          <w:color w:val="auto"/>
        </w:rPr>
      </w:pPr>
    </w:p>
    <w:p>
      <w:pPr>
        <w:ind w:left="440" w:right="20" w:firstLine="948"/>
        <w:spacing w:after="0" w:line="259" w:lineRule="auto"/>
        <w:tabs>
          <w:tab w:leader="none" w:pos="16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Taxes that are deducted or withheld pursuant to (a) any European Union directive or regulation concerning the taxation of interest income; (b) any international treaty or understanding relating to such taxation and to which the Taxing Jurisdiction or the European Union is a party or (c) any provision of law implementing, or complying with, or introduced to conform with, such directive, regulation, treaty or understanding; or</w:t>
      </w:r>
    </w:p>
    <w:p>
      <w:pPr>
        <w:spacing w:after="0" w:line="78" w:lineRule="exact"/>
        <w:rPr>
          <w:rFonts w:ascii="Arial" w:cs="Arial" w:eastAsia="Arial" w:hAnsi="Arial"/>
          <w:sz w:val="18"/>
          <w:szCs w:val="18"/>
          <w:color w:val="auto"/>
        </w:rPr>
      </w:pPr>
    </w:p>
    <w:p>
      <w:pPr>
        <w:ind w:left="1640" w:hanging="252"/>
        <w:spacing w:after="0"/>
        <w:tabs>
          <w:tab w:leader="none" w:pos="1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combination of the Taxes described above.</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addition, the Surviving Person shall not be required to pay Additional Amounts to a Holder that is a fiduciary or partnership or any Person other than the sole beneficial owner of such payment, to the extent that a beneficiary or settlor with respect to such fiduciary, a member of such a partnership or the beneficial owner of such payment would not have been entitled to the Additional Amounts had such beneficiary, settlor, member or beneficial owner been the actual Holder of such note.</w:t>
      </w:r>
    </w:p>
    <w:p>
      <w:pPr>
        <w:spacing w:after="0" w:line="187" w:lineRule="exact"/>
        <w:rPr>
          <w:sz w:val="20"/>
          <w:szCs w:val="20"/>
          <w:color w:val="auto"/>
        </w:rPr>
      </w:pPr>
    </w:p>
    <w:p>
      <w:pPr>
        <w:jc w:val="both"/>
        <w:ind w:right="220" w:firstLine="991"/>
        <w:spacing w:after="0" w:line="286" w:lineRule="auto"/>
        <w:rPr>
          <w:sz w:val="20"/>
          <w:szCs w:val="20"/>
          <w:color w:val="auto"/>
        </w:rPr>
      </w:pPr>
      <w:r>
        <w:rPr>
          <w:rFonts w:ascii="Arial" w:cs="Arial" w:eastAsia="Arial" w:hAnsi="Arial"/>
          <w:sz w:val="17"/>
          <w:szCs w:val="17"/>
          <w:color w:val="auto"/>
        </w:rPr>
        <w:t>Whenever in this Supplemental Indenture, the Indenture, a Board Resolution, an Officers’ Certificate, or any Note, reference is made in any context to the principal of, and any interest on, any Note, such mention shall be deemed to include any relevant Additional Amounts to the extent that, in such context, Additional Amounts are, were or would be payable in respect of such Note.</w:t>
      </w:r>
    </w:p>
    <w:p>
      <w:pPr>
        <w:spacing w:after="0" w:line="165" w:lineRule="exact"/>
        <w:rPr>
          <w:sz w:val="20"/>
          <w:szCs w:val="20"/>
          <w:color w:val="auto"/>
        </w:rPr>
      </w:pPr>
    </w:p>
    <w:p>
      <w:pPr>
        <w:ind w:right="420" w:firstLine="991"/>
        <w:spacing w:after="0" w:line="286" w:lineRule="auto"/>
        <w:rPr>
          <w:sz w:val="20"/>
          <w:szCs w:val="20"/>
          <w:color w:val="auto"/>
        </w:rPr>
      </w:pPr>
      <w:r>
        <w:rPr>
          <w:rFonts w:ascii="Arial" w:cs="Arial" w:eastAsia="Arial" w:hAnsi="Arial"/>
          <w:sz w:val="17"/>
          <w:szCs w:val="17"/>
          <w:color w:val="auto"/>
        </w:rPr>
        <w:t xml:space="preserve">The obligations described under this Section 6.4 shall survive any termination or discharge of the Indenture or this Supplemental Indenture, any Defeasance of the Notes and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any jurisdiction in which any successor Person to the Company or any Surviving Person is organized or any political subdivision or taxing authority or agency thereof or therein.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490" w:right="49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VII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Supplemental Indentures without Consent of Holders of Notes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901 of the Indenture shall, with respect to the Notes, be replaced in its entirety with the following:</w:t>
      </w:r>
    </w:p>
    <w:p>
      <w:pPr>
        <w:spacing w:after="0" w:line="117"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“Without the consent of any Holders of the Notes, the Company, when authorized by a Board Resolution, together with the Trustee, at any time and from time to time, may modify or amend the Indenture, this Supplemental Indenture and the terms of the Notes to:</w:t>
      </w:r>
    </w:p>
    <w:p>
      <w:pPr>
        <w:spacing w:after="0" w:line="38" w:lineRule="exact"/>
        <w:rPr>
          <w:sz w:val="20"/>
          <w:szCs w:val="20"/>
          <w:color w:val="auto"/>
        </w:rPr>
      </w:pPr>
    </w:p>
    <w:p>
      <w:pPr>
        <w:ind w:right="640" w:firstLine="987"/>
        <w:spacing w:after="0" w:line="277"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allow the successor (or successive successors) to the Company to assume the Company’s obligations under the Indenture, this Supplemental Indenture and the Notes pursuant to the provisions under Article VIII;</w:t>
      </w:r>
    </w:p>
    <w:p>
      <w:pPr>
        <w:spacing w:after="0" w:line="170" w:lineRule="exact"/>
        <w:rPr>
          <w:rFonts w:ascii="Arial" w:cs="Arial" w:eastAsia="Arial" w:hAnsi="Arial"/>
          <w:sz w:val="18"/>
          <w:szCs w:val="18"/>
          <w:color w:val="auto"/>
        </w:rPr>
      </w:pPr>
    </w:p>
    <w:p>
      <w:pPr>
        <w:ind w:right="60" w:firstLine="987"/>
        <w:spacing w:after="0" w:line="342" w:lineRule="auto"/>
        <w:tabs>
          <w:tab w:leader="none" w:pos="12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add to the covenants of the Company for the benefit of the Holders of the Notes or the Trustee, Paying Agent, Registrar or other agent or similar Person or surrender any right or power conferred upon the Company under this Supplemental Indenture, the Indenture or the Notes;</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225" w:lineRule="exact"/>
        <w:rPr>
          <w:rFonts w:ascii="Arial" w:cs="Arial" w:eastAsia="Arial" w:hAnsi="Arial"/>
          <w:sz w:val="18"/>
          <w:szCs w:val="18"/>
          <w:color w:val="auto"/>
        </w:rPr>
      </w:pPr>
    </w:p>
    <w:p>
      <w:pPr>
        <w:ind w:right="600" w:firstLine="987"/>
        <w:spacing w:after="0" w:line="277"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 to or change any provisions of this Supplemental Indenture, the Indenture or the Notes to the extent necessary to permit or facilitate the issuance of Notes in uncertificated form;</w:t>
      </w:r>
    </w:p>
    <w:p>
      <w:pPr>
        <w:spacing w:after="0" w:line="170" w:lineRule="exact"/>
        <w:rPr>
          <w:rFonts w:ascii="Arial" w:cs="Arial" w:eastAsia="Arial" w:hAnsi="Arial"/>
          <w:sz w:val="18"/>
          <w:szCs w:val="18"/>
          <w:color w:val="auto"/>
        </w:rPr>
      </w:pPr>
    </w:p>
    <w:p>
      <w:pPr>
        <w:jc w:val="both"/>
        <w:ind w:right="420" w:firstLine="987"/>
        <w:spacing w:after="0" w:line="263"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 or supplement any provisions of this Supplemental Indenture, the Indenture or the Notes to the extent such amendment or supplement does not apply to any outstanding Notes issued prior to the date of such amendment or supplement and entitled to the benefits of such provision;</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secure the Notes and provide for the terms of the release of such security;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add guarantees with respect to the obligations of the Company under the Notes and provide for the terms of the release of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guarantees;</w:t>
      </w:r>
    </w:p>
    <w:p>
      <w:pPr>
        <w:spacing w:after="0" w:line="210" w:lineRule="exact"/>
        <w:rPr>
          <w:rFonts w:ascii="Arial" w:cs="Arial" w:eastAsia="Arial" w:hAnsi="Arial"/>
          <w:sz w:val="17"/>
          <w:szCs w:val="17"/>
          <w:color w:val="auto"/>
        </w:rPr>
      </w:pPr>
    </w:p>
    <w:p>
      <w:pPr>
        <w:ind w:right="220" w:firstLine="987"/>
        <w:spacing w:after="0" w:line="263"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a successor Trustee or Paying Agent with respect to the Notes or otherwise change any of the provisions of this Supplemental Indenture or the Indenture as shall be necessary to provide for or facilitate the administration of the trusts thereunder by more than one Trustee or Paying Agent;</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the issuance of Additional Notes to the extent permitted under the Indenture;</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a co-issuer with respect to the Notes;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440" w:top="486" w:right="519" w:bottom="1440" w:gutter="0" w:footer="0" w:header="0"/>
        </w:sectPr>
      </w:pPr>
    </w:p>
    <w:bookmarkStart w:id="43" w:name="page44"/>
    <w:bookmarkEnd w:id="43"/>
    <w:p>
      <w:pPr>
        <w:ind w:left="1320" w:hanging="333"/>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cure any ambiguity, omission, defect or inconsistency, as determined in good faith by the Company;</w:t>
      </w:r>
    </w:p>
    <w:p>
      <w:pPr>
        <w:spacing w:after="0" w:line="225" w:lineRule="exact"/>
        <w:rPr>
          <w:rFonts w:ascii="Arial" w:cs="Arial" w:eastAsia="Arial" w:hAnsi="Arial"/>
          <w:sz w:val="18"/>
          <w:szCs w:val="18"/>
          <w:color w:val="auto"/>
        </w:rPr>
      </w:pPr>
    </w:p>
    <w:p>
      <w:pPr>
        <w:ind w:right="160" w:firstLine="987"/>
        <w:spacing w:after="0" w:line="308" w:lineRule="auto"/>
        <w:tabs>
          <w:tab w:leader="none" w:pos="13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conform this Supplemental Indenture, the Indenture or the Notes to the Description of the Notes and Description of Debt Securities contained in the Company’s prospectus supplement dated May 17, 2023 and prospectus dated July 29, 2021 relating to the Notes;</w:t>
      </w:r>
    </w:p>
    <w:p>
      <w:pPr>
        <w:spacing w:after="0" w:line="146" w:lineRule="exact"/>
        <w:rPr>
          <w:rFonts w:ascii="Arial" w:cs="Arial" w:eastAsia="Arial" w:hAnsi="Arial"/>
          <w:sz w:val="17"/>
          <w:szCs w:val="17"/>
          <w:color w:val="auto"/>
        </w:rPr>
      </w:pPr>
    </w:p>
    <w:p>
      <w:pPr>
        <w:ind w:right="180" w:firstLine="987"/>
        <w:spacing w:after="0" w:line="277" w:lineRule="auto"/>
        <w:tabs>
          <w:tab w:leader="none" w:pos="13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 with the rules and regulations of the ICSDs or any other clearing system or Depositary and the rules and regulations of any securities exchange or automated quotation system on which the Notes may be listed or traded; or</w:t>
      </w:r>
    </w:p>
    <w:p>
      <w:pPr>
        <w:spacing w:after="0" w:line="170" w:lineRule="exact"/>
        <w:rPr>
          <w:rFonts w:ascii="Arial" w:cs="Arial" w:eastAsia="Arial" w:hAnsi="Arial"/>
          <w:sz w:val="18"/>
          <w:szCs w:val="18"/>
          <w:color w:val="auto"/>
        </w:rPr>
      </w:pPr>
    </w:p>
    <w:p>
      <w:pPr>
        <w:ind w:right="120" w:firstLine="987"/>
        <w:spacing w:after="0" w:line="342" w:lineRule="auto"/>
        <w:tabs>
          <w:tab w:leader="none" w:pos="13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make any other amendment or supplement to this Supplemental Indenture, the Indenture or the Notes, as long as that amendment or supplement does not adversely affect the rights of the Holders of any Notes in any material respect, as determined in good faith by the Company.</w:t>
      </w:r>
    </w:p>
    <w:p>
      <w:pPr>
        <w:spacing w:after="0" w:line="124" w:lineRule="exact"/>
        <w:rPr>
          <w:sz w:val="20"/>
          <w:szCs w:val="20"/>
          <w:color w:val="auto"/>
        </w:rPr>
      </w:pPr>
    </w:p>
    <w:p>
      <w:pPr>
        <w:ind w:right="280" w:firstLine="991"/>
        <w:spacing w:after="0" w:line="311" w:lineRule="auto"/>
        <w:rPr>
          <w:sz w:val="20"/>
          <w:szCs w:val="20"/>
          <w:color w:val="auto"/>
        </w:rPr>
      </w:pPr>
      <w:r>
        <w:rPr>
          <w:rFonts w:ascii="Arial" w:cs="Arial" w:eastAsia="Arial" w:hAnsi="Arial"/>
          <w:sz w:val="16"/>
          <w:szCs w:val="16"/>
          <w:color w:val="auto"/>
        </w:rPr>
        <w:t>No amendment to this Supplemental Indenture, the Indenture or the Notes made solely to conform this Supplemental Indenture, the Indenture or the Notes to the Description of the Notes and Description of Debt Securities contained in the Company’s prospectus supplement dated May 17, 2023 and prospectus dated July 29, 2021 relating to the Notes, shall be deemed to adversely affect the interests of the Holders of the Notes.</w:t>
      </w:r>
    </w:p>
    <w:p>
      <w:pPr>
        <w:spacing w:after="0" w:line="149"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Upon the request of the Company, when authorized by a Board Resolution, the Trustee shall join with the Company in the execution of any amended Supplemental Indenture authorized or permitted by the terms of the Indenture or this Supplemental Indenture and to make any further appropriate agreements and stipulations which may be contained therein.”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Supplemental Indentures with Consent of Holders of Notes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first paragraph, including clauses (1) through (5) thereof, of Section 902 of the Indenture shall, with respect to the Notes, be replaced with the following:</w:t>
      </w:r>
    </w:p>
    <w:p>
      <w:pPr>
        <w:spacing w:after="0" w:line="170"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“With the consent of the Holders of a majority in principal amount of the Outstanding Notes affected by such supplemental indenture, by Act of said Holders delivered to the Company and the Trustee, the Company, when authorized by a Board Resolution, and the Trustee may enter into an indenture or indentures supplemental hereto for purpose adding any provisions to or changing an any manner or eliminating any of the provisions of the Indenture, the Supplemental Indenture or the Notes or of modifying in any manner the rights of the Holders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indenture shall, without the consent of the Holder of each Outstanding Note affected thereby:</w:t>
      </w:r>
    </w:p>
    <w:p>
      <w:pPr>
        <w:spacing w:after="0" w:line="53" w:lineRule="exact"/>
        <w:rPr>
          <w:sz w:val="20"/>
          <w:szCs w:val="20"/>
          <w:color w:val="auto"/>
        </w:rPr>
      </w:pPr>
    </w:p>
    <w:p>
      <w:pPr>
        <w:ind w:left="1240" w:hanging="253"/>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Note;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of, or rate of interest on, any Note;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490" w:right="519" w:bottom="1440" w:gutter="0" w:footer="0" w:header="0"/>
        </w:sectPr>
      </w:pPr>
    </w:p>
    <w:bookmarkStart w:id="44" w:name="page45"/>
    <w:bookmarkEnd w:id="44"/>
    <w:p>
      <w:pPr>
        <w:ind w:left="1240" w:hanging="253"/>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reduce any amount payable upon the redemption or purchase at the option of the Holder of any Note;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 any place of payment where, or the currency in which, any principal of, or premium, if any, or interest on, any Note is payable;</w:t>
      </w:r>
    </w:p>
    <w:p>
      <w:pPr>
        <w:spacing w:after="0" w:line="248" w:lineRule="exact"/>
        <w:rPr>
          <w:rFonts w:ascii="Arial" w:cs="Arial" w:eastAsia="Arial" w:hAnsi="Arial"/>
          <w:sz w:val="16"/>
          <w:szCs w:val="16"/>
          <w:color w:val="auto"/>
        </w:rPr>
      </w:pPr>
    </w:p>
    <w:p>
      <w:pPr>
        <w:ind w:right="160" w:firstLine="987"/>
        <w:spacing w:after="0" w:line="277"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Note on or after the Stated Maturity or Redemption Date; or</w:t>
      </w:r>
    </w:p>
    <w:p>
      <w:pPr>
        <w:spacing w:after="0" w:line="170" w:lineRule="exact"/>
        <w:rPr>
          <w:rFonts w:ascii="Arial" w:cs="Arial" w:eastAsia="Arial" w:hAnsi="Arial"/>
          <w:sz w:val="18"/>
          <w:szCs w:val="18"/>
          <w:color w:val="auto"/>
        </w:rPr>
      </w:pPr>
    </w:p>
    <w:p>
      <w:pPr>
        <w:ind w:right="20" w:firstLine="987"/>
        <w:spacing w:after="0" w:line="259"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Notes the consent of whose Holders is required for modification or amendment of the Indenture or this Supplemental Indenture or for waiver of compliance with provisions of the Indenture or this Supplemental Indenture or waiver of defaults, in each case, with respect to or in respect of provisions hereof and thereof that cannot be modified or waived without the consent of the Holder of each Outstanding Note affected thereby.”</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second paragraph of Section 902 of the Indenture shall, with respect to the Notes, add the following as the last sentence thereto:</w:t>
      </w:r>
    </w:p>
    <w:p>
      <w:pPr>
        <w:spacing w:after="0" w:line="129" w:lineRule="exact"/>
        <w:rPr>
          <w:sz w:val="20"/>
          <w:szCs w:val="20"/>
          <w:color w:val="auto"/>
        </w:rPr>
      </w:pPr>
    </w:p>
    <w:p>
      <w:pPr>
        <w:ind w:right="60" w:firstLine="991"/>
        <w:spacing w:after="0" w:line="308" w:lineRule="auto"/>
        <w:rPr>
          <w:sz w:val="20"/>
          <w:szCs w:val="20"/>
          <w:color w:val="auto"/>
        </w:rPr>
      </w:pPr>
      <w:r>
        <w:rPr>
          <w:rFonts w:ascii="Arial" w:cs="Arial" w:eastAsia="Arial" w:hAnsi="Arial"/>
          <w:sz w:val="17"/>
          <w:szCs w:val="17"/>
          <w:color w:val="auto"/>
        </w:rPr>
        <w:t>“In addition, the Holders of at least a majority in aggregate principal amount of the Outstanding Notes may, on behalf of the Holders of all Notes waive compliance with the Company’s covenants described under Section 6.1 and 6.2 of this Supplemental Indenture.”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Company May Consolidate, Etc. on Certain Terms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801 of the Indenture shall, with respect to the Notes, be replaced with the following:</w:t>
      </w:r>
    </w:p>
    <w:p>
      <w:pPr>
        <w:spacing w:after="0" w:line="11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Company shall not in a single transaction or a series of related transactions, consolidate or merge with or into any other Person, permit any other Person to consolidate with or merge into the Company or convey, transfer or lease all or substantially all of the Properties and assets of the Company and its Subsidiaries, taken as a whole, to any other Person, unless:</w:t>
      </w:r>
    </w:p>
    <w:p>
      <w:pPr>
        <w:spacing w:after="0" w:line="76" w:lineRule="exact"/>
        <w:rPr>
          <w:sz w:val="20"/>
          <w:szCs w:val="20"/>
          <w:color w:val="auto"/>
        </w:rPr>
      </w:pPr>
    </w:p>
    <w:p>
      <w:pPr>
        <w:ind w:firstLine="987"/>
        <w:spacing w:after="0" w:line="271" w:lineRule="auto"/>
        <w:tabs>
          <w:tab w:leader="none" w:pos="124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is the surviving entity, or the Person formed by such consolidation or merger (if other than the Company) or the Person to which all or substantially all of the Properties and assets of the Company and its Subsidiaries, taken as a whole, are conveyed, transferred or leased, as the case may be (the “</w:t>
      </w:r>
      <w:r>
        <w:rPr>
          <w:rFonts w:ascii="Arial" w:cs="Arial" w:eastAsia="Arial" w:hAnsi="Arial"/>
          <w:sz w:val="17"/>
          <w:szCs w:val="17"/>
          <w:u w:val="single" w:color="auto"/>
          <w:color w:val="auto"/>
        </w:rPr>
        <w:t>Surviving Person</w:t>
      </w:r>
      <w:r>
        <w:rPr>
          <w:rFonts w:ascii="Arial" w:cs="Arial" w:eastAsia="Arial" w:hAnsi="Arial"/>
          <w:sz w:val="17"/>
          <w:szCs w:val="17"/>
          <w:color w:val="auto"/>
        </w:rPr>
        <w:t>”), shall be an entity organized and existing under the laws of the United States of America (or any state or territory thereof or the District of Columbia), the United Kingdom (or any constituent country thereof), Germany, France, Luxembourg, the Netherlands, Ireland or Canada (or any province or territory thereof) and shall expressly assume, by a supplemental indenture executed and delivered to the Trustee, in form reasonably satisfactory to the Trustee, the due and punctual payment of the principal of and any premium and interest on the Outstanding Notes and the performance and observance of every covenant of any paying agency agreement, this Supplemental Indenture and the Indenture on the part of the Company to be performed or observed;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490" w:right="459" w:bottom="1440" w:gutter="0" w:footer="0" w:header="0"/>
        </w:sectPr>
      </w:pPr>
    </w:p>
    <w:bookmarkStart w:id="45" w:name="page46"/>
    <w:bookmarkEnd w:id="45"/>
    <w:p>
      <w:pPr>
        <w:ind w:right="40" w:firstLine="987"/>
        <w:spacing w:after="0" w:line="263"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immediately after giving effect to any such transaction and treating any Indebtedness that becomes an obligation of the Company or any Subsidiary of the Company as a result of such transaction as having been incurred by the Company or any Subsidiary of the Company at the time of such transaction, there shall not be any Default or Event of Default;</w:t>
      </w:r>
    </w:p>
    <w:p>
      <w:pPr>
        <w:spacing w:after="0" w:line="183" w:lineRule="exact"/>
        <w:rPr>
          <w:rFonts w:ascii="Arial" w:cs="Arial" w:eastAsia="Arial" w:hAnsi="Arial"/>
          <w:sz w:val="18"/>
          <w:szCs w:val="18"/>
          <w:color w:val="auto"/>
        </w:rPr>
      </w:pPr>
    </w:p>
    <w:p>
      <w:pPr>
        <w:ind w:right="240" w:firstLine="987"/>
        <w:spacing w:after="0" w:line="286" w:lineRule="auto"/>
        <w:tabs>
          <w:tab w:leader="none" w:pos="124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as a result of any such transaction, the Properties or assets of the Company would become subject to a Lien which would not be permitted under Section 6.1 of this Supplemental Indenture, the Company or such successor Person, as the case may be, shall take those steps that are necessary to secure all the Outstanding Notes equally and ratably with Indebtedness secured by that Lien; and</w:t>
      </w:r>
    </w:p>
    <w:p>
      <w:pPr>
        <w:spacing w:after="0" w:line="165" w:lineRule="exact"/>
        <w:rPr>
          <w:rFonts w:ascii="Arial" w:cs="Arial" w:eastAsia="Arial" w:hAnsi="Arial"/>
          <w:sz w:val="17"/>
          <w:szCs w:val="17"/>
          <w:color w:val="auto"/>
        </w:rPr>
      </w:pPr>
    </w:p>
    <w:p>
      <w:pPr>
        <w:ind w:right="320" w:firstLine="987"/>
        <w:spacing w:after="0" w:line="263"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consummation of the particular consolidation, merger, conveyance, transfer or lease under this Supplemental Indenture and the Indenture have been complied with.”</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802 of the Indenture shall, with respect to the Notes, be replaced with the following:</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“Upon any consolidation or merger by the Company with or into any other Person or any sale, transfer, lease or conveyance of all or substantially all of the Properties and assets of the Company and its Subsidiaries, taken as a whole, to any other Person in accordance with Section 8.1, the successor Person formed by such consolidation or merger or to which such conveyance, transfer or lease is made shall succeed to, and be substituted for, and may exercise every right and power of, the Company under this Supplemental Indenture and the Indenture with the same effect as if such successor Person has been named as the Company herein, and thereafter, except in the case of a lease to another Person, the predecessor Person shall be relieved of all obligations and covenants under the Indenture, this Supplemental Indenture and the Notes (to the extent the Company was the predecessor Person).”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GUARANTORS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Article 15 of the Indenture shall not be applicable to the Notes.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490" w:right="4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DEFEASANCE AND SATISFACTION AND DISCHARGE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provisions of Article Thirteen of the Indenture shall be applicable to the Notes, except that any reference to “Holders”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1304(2), (3) of the Indenture shall be replaced by “beneficial owners” with respect to the Notes. For purposes of the foregoing, (1) the phrase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any covenants provided pursuant to Section 301(19)” appearing in the first sentence of Section 1303 of the Indenture, and words of like import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appearing throughout the Indenture in furtherance of the application of the provisions of Article Thirteen of the Indenture to the Notes, shall be deemed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refer explicitly to the provisions of Articles VI (exclusive of Section 6.3 thereof to which the provisions of Article Thirteen of the Indenture shall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apply) and VIII of this Supplemental Indenture and (2) all references to “U.S. Government Obligations” in Article Thirteen of the Indenture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replaced with references to “Government Obligations” and the definition of “U.S. Government Obligations” set forth in Section 1304 of the Indenture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be replaced with the definition of “Government Obligations” contained in this Supplemental Indenture.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Satisfaction and Discharge</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The provisions of Article Four of the Indenture shall be applicable to the Notes, except that the words “lawful money of the United States or U.S. Governmental Obligations” in Section 401(1) of the Indenture shall be replaced with the words “euro, Dollars or Government Obligations.”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Survivability, Governing Law, etc</w:t>
      </w:r>
      <w:r>
        <w:rPr>
          <w:rFonts w:ascii="Arial" w:cs="Arial" w:eastAsia="Arial" w:hAnsi="Arial"/>
          <w:sz w:val="18"/>
          <w:szCs w:val="18"/>
          <w:color w:val="auto"/>
        </w:rPr>
        <w:t>.</w:t>
      </w:r>
    </w:p>
    <w:p>
      <w:pPr>
        <w:spacing w:after="0" w:line="225" w:lineRule="exact"/>
        <w:rPr>
          <w:sz w:val="20"/>
          <w:szCs w:val="20"/>
          <w:color w:val="auto"/>
        </w:rPr>
      </w:pPr>
    </w:p>
    <w:p>
      <w:pPr>
        <w:jc w:val="both"/>
        <w:ind w:firstLine="987"/>
        <w:spacing w:after="0" w:line="263" w:lineRule="auto"/>
        <w:tabs>
          <w:tab w:leader="none" w:pos="12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Indenture, as supplemented and amended by this Supplemental Indenture, is in all respects adopted, ratified and confirmed, and all of the terms, provisions and conditions thereof shall be and remain in full force and effect, and this Supplemental Indenture and all its provisions shall be deemed a part thereof.</w:t>
      </w:r>
    </w:p>
    <w:p>
      <w:pPr>
        <w:spacing w:after="0" w:line="183"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case any provision in this Supplemental Indenture shall be invalid, illegal or unenforceable, the validity, legality and enforceability of the remaining provisions shall not in any way be affected or impaired thereby.</w:t>
      </w:r>
    </w:p>
    <w:p>
      <w:pPr>
        <w:spacing w:after="0" w:line="170" w:lineRule="exact"/>
        <w:rPr>
          <w:rFonts w:ascii="Arial" w:cs="Arial" w:eastAsia="Arial" w:hAnsi="Arial"/>
          <w:sz w:val="18"/>
          <w:szCs w:val="18"/>
          <w:color w:val="auto"/>
        </w:rPr>
      </w:pPr>
    </w:p>
    <w:p>
      <w:pPr>
        <w:ind w:right="160" w:firstLine="987"/>
        <w:spacing w:after="0" w:line="308" w:lineRule="auto"/>
        <w:tabs>
          <w:tab w:leader="none" w:pos="12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SUPPLEMENTAL INDENTURE AND THE NOTES SHALL BE GOVERNED BY AND CONSTRUED IN ACCORDANCE WITH THE LAWS OF THE STATE OF NEW YORK WITHOUT REGARD TO THE CONFLICTS OF LAWS AND RULES THEREOF.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486" w:right="439" w:bottom="1440" w:gutter="0" w:footer="0" w:header="0"/>
        </w:sectPr>
      </w:pPr>
    </w:p>
    <w:bookmarkStart w:id="47" w:name="page48"/>
    <w:bookmarkEnd w:id="47"/>
    <w:p>
      <w:pPr>
        <w:ind w:left="-120" w:firstLine="987"/>
        <w:spacing w:after="0" w:line="289" w:lineRule="auto"/>
        <w:tabs>
          <w:tab w:leader="none" w:pos="1123"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Supplemental Indenture and the Notes (and each amendment, modification and waiver in respect of this Supplemental Indenture or the Notes) may be executed and delivered in counterparts (including by electronic transmission (including .pdf file, .jpeg file or any electronic signature complying with the U.S. federal ESIGN Act of 2000, including Orbit, Adobe Sign, DocuSign, or any other similar platform identified by the Company and reasonably available at no undue burden or expense to the Trustee), each of which shall be deemed an original, and all of which together constitute one and the same instrument. Delivery of an executed counterpart signature page of this Supplemental Indenture by facsimile or any such electronic transmission shall be effective as delivery of a manually executed counterpart of this Supplemental Indenture. Any electronically signed document delivered via email from a person purporting to be an authorized officer shall be considered signed or executed by such authorized officer on behalf of the applicable person. The Trustee shall have no duty to inquire into or investigate the authenticity or authorization of any such electronic signature and shall be entitled to conclusively rely on any such electronic signature without any liability with respect thereto.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60"/>
          </w:cols>
          <w:pgMar w:left="560" w:top="490" w:right="579" w:bottom="1440" w:gutter="0" w:footer="0" w:header="0"/>
        </w:sectPr>
      </w:pPr>
    </w:p>
    <w:bookmarkStart w:id="48" w:name="page49"/>
    <w:bookmarkEnd w:id="48"/>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hereto have caused this Supplemental Indenture to be duly executed all as of the day and year first above written.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5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Robert W. Hau</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5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U.S. BANK TRUST COMPANY, NATIONAL</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ASSOCIATION, as Trustee</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Yvonne Siira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Yvonne Siira</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Twenty-Ninth Supplemental Indenture]</w:t>
      </w:r>
    </w:p>
    <w:p>
      <w:pPr>
        <w:sectPr>
          <w:pgSz w:w="11900" w:h="16838" w:orient="portrait"/>
          <w:cols w:equalWidth="0" w:num="1">
            <w:col w:w="10840"/>
          </w:cols>
          <w:pgMar w:left="440" w:top="490" w:right="6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ATED</w:t>
      </w:r>
      <w:r>
        <w:rPr>
          <w:rFonts w:ascii="Arial" w:cs="Arial" w:eastAsia="Arial" w:hAnsi="Arial"/>
          <w:sz w:val="18"/>
          <w:szCs w:val="18"/>
          <w:color w:val="auto"/>
        </w:rPr>
        <w:t xml:space="preserve"> M</w:t>
      </w:r>
      <w:r>
        <w:rPr>
          <w:rFonts w:ascii="Arial" w:cs="Arial" w:eastAsia="Arial" w:hAnsi="Arial"/>
          <w:sz w:val="14"/>
          <w:szCs w:val="14"/>
          <w:color w:val="auto"/>
        </w:rPr>
        <w:t>AY</w:t>
      </w:r>
      <w:r>
        <w:rPr>
          <w:rFonts w:ascii="Arial" w:cs="Arial" w:eastAsia="Arial" w:hAnsi="Arial"/>
          <w:sz w:val="18"/>
          <w:szCs w:val="18"/>
          <w:color w:val="auto"/>
        </w:rPr>
        <w:t xml:space="preserve">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ISSUER</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ISERV</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PAYING AGENT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ELAVON FINANCIAL SERVICES DAC, UK BRANCH</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SECURITY REGISTRAR</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U.S. BANK TRUST COMPANY, NATIONAL ASSOCIATION</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4"/>
          <w:szCs w:val="14"/>
          <w:color w:val="auto"/>
        </w:rPr>
        <w:t>AND</w:t>
      </w:r>
      <w:r>
        <w:rPr>
          <w:rFonts w:ascii="Arial" w:cs="Arial" w:eastAsia="Arial" w:hAnsi="Arial"/>
          <w:sz w:val="18"/>
          <w:szCs w:val="18"/>
          <w:color w:val="auto"/>
        </w:rPr>
        <w:t xml:space="preserve"> -</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U.S. BANK TRUST COMPANY, NATIONAL ASSOCIATION</w:t>
      </w:r>
    </w:p>
    <w:p>
      <w:pPr>
        <w:spacing w:after="0" w:line="252"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AGENCY AGREEMENT</w:t>
      </w:r>
    </w:p>
    <w:p>
      <w:pPr>
        <w:spacing w:after="0" w:line="233"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relating to Notes issued pursuant to a registration statement</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including a base prospectus dated July 29, 2021,</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as supplemented by a prospectus supplement dated May 17, 2023</w:t>
      </w:r>
    </w:p>
    <w:p>
      <w:pPr>
        <w:sectPr>
          <w:pgSz w:w="11900" w:h="16838" w:orient="portrait"/>
          <w:cols w:equalWidth="0" w:num="1">
            <w:col w:w="10020"/>
          </w:cols>
          <w:pgMar w:left="1440" w:top="121" w:right="4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ONTENTS</w:t>
            </w:r>
          </w:p>
        </w:tc>
        <w:tc>
          <w:tcPr>
            <w:tcW w:w="3300" w:type="dxa"/>
            <w:vAlign w:val="bottom"/>
          </w:tcPr>
          <w:p>
            <w:pPr>
              <w:spacing w:after="0"/>
              <w:rPr>
                <w:sz w:val="20"/>
                <w:szCs w:val="20"/>
                <w:color w:val="auto"/>
              </w:rPr>
            </w:pPr>
          </w:p>
        </w:tc>
      </w:tr>
      <w:tr>
        <w:trPr>
          <w:trHeight w:val="441"/>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LAUSE</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NTERPRETATION</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GREEMENTS OF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EGISTRAR</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3.</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PPOINTMENT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AYMENT</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EDEMPTION</w:t>
            </w:r>
            <w:r>
              <w:rPr>
                <w:rFonts w:ascii="Arial" w:cs="Arial" w:eastAsia="Arial" w:hAnsi="Arial"/>
                <w:sz w:val="18"/>
                <w:szCs w:val="18"/>
                <w:b w:val="1"/>
                <w:bCs w:val="1"/>
                <w:color w:val="auto"/>
              </w:rPr>
              <w:t>; N</w:t>
            </w:r>
            <w:r>
              <w:rPr>
                <w:rFonts w:ascii="Arial" w:cs="Arial" w:eastAsia="Arial" w:hAnsi="Arial"/>
                <w:sz w:val="14"/>
                <w:szCs w:val="14"/>
                <w:b w:val="1"/>
                <w:bCs w:val="1"/>
                <w:color w:val="auto"/>
              </w:rPr>
              <w:t>OTICE OF WITHHOLDING OR DEDUCTION</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ECORDS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EES AND EXPENSES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NDEMNITY</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 OF APPOINTMENT</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 AND SPECIFIED OFFICES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OMMUNICATIONS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16.</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EGULATORY</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17.</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 LAW AND JURISDICTION</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18.</w:t>
            </w:r>
          </w:p>
        </w:tc>
        <w:tc>
          <w:tcPr>
            <w:tcW w:w="7380" w:type="dxa"/>
            <w:vAlign w:val="bottom"/>
          </w:tcPr>
          <w:p>
            <w:pPr>
              <w:ind w:left="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OUNTERPARTS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1</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486" w:right="499" w:bottom="1440" w:gutter="0" w:footer="0" w:header="0"/>
        </w:sectPr>
      </w:pPr>
    </w:p>
    <w:bookmarkStart w:id="51" w:name="page52"/>
    <w:bookmarkEnd w:id="5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w:t>
      </w:r>
      <w:r>
        <w:rPr>
          <w:rFonts w:ascii="Arial" w:cs="Arial" w:eastAsia="Arial" w:hAnsi="Arial"/>
          <w:sz w:val="14"/>
          <w:szCs w:val="14"/>
          <w:b w:val="1"/>
          <w:bCs w:val="1"/>
          <w:color w:val="auto"/>
        </w:rPr>
        <w: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made on M</w:t>
      </w:r>
      <w:r>
        <w:rPr>
          <w:rFonts w:ascii="Arial" w:cs="Arial" w:eastAsia="Arial" w:hAnsi="Arial"/>
          <w:sz w:val="14"/>
          <w:szCs w:val="14"/>
          <w:color w:val="auto"/>
        </w:rPr>
        <w:t>AY</w:t>
      </w:r>
      <w:r>
        <w:rPr>
          <w:rFonts w:ascii="Arial" w:cs="Arial" w:eastAsia="Arial" w:hAnsi="Arial"/>
          <w:sz w:val="18"/>
          <w:szCs w:val="18"/>
          <w:b w:val="1"/>
          <w:bCs w:val="1"/>
          <w:color w:val="auto"/>
        </w:rPr>
        <w:t xml:space="preserve"> </w:t>
      </w:r>
      <w:r>
        <w:rPr>
          <w:rFonts w:ascii="Arial" w:cs="Arial" w:eastAsia="Arial" w:hAnsi="Arial"/>
          <w:sz w:val="18"/>
          <w:szCs w:val="18"/>
          <w:color w:val="auto"/>
        </w:rPr>
        <w:t>24, 2023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ETWEEN</w:t>
      </w:r>
      <w:r>
        <w:rPr>
          <w:rFonts w:ascii="Arial" w:cs="Arial" w:eastAsia="Arial" w:hAnsi="Arial"/>
          <w:sz w:val="18"/>
          <w:szCs w:val="18"/>
          <w:b w:val="1"/>
          <w:bCs w:val="1"/>
          <w:color w:val="auto"/>
        </w:rPr>
        <w:t>:</w:t>
      </w:r>
    </w:p>
    <w:p>
      <w:pPr>
        <w:spacing w:after="0" w:line="131" w:lineRule="exact"/>
        <w:rPr>
          <w:sz w:val="20"/>
          <w:szCs w:val="20"/>
          <w:color w:val="auto"/>
        </w:rPr>
      </w:pPr>
    </w:p>
    <w:p>
      <w:pPr>
        <w:ind w:left="984" w:hanging="544"/>
        <w:spacing w:after="0"/>
        <w:tabs>
          <w:tab w:leader="none" w:pos="9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FISERV, INC., a Wisconsin corporation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84" w:right="80" w:hanging="544"/>
        <w:spacing w:after="0" w:line="275" w:lineRule="auto"/>
        <w:tabs>
          <w:tab w:leader="none" w:pos="984" w:val="left"/>
        </w:tabs>
        <w:numPr>
          <w:ilvl w:val="0"/>
          <w:numId w:val="43"/>
        </w:numPr>
        <w:rPr>
          <w:rFonts w:ascii="Arial" w:cs="Arial" w:eastAsia="Arial" w:hAnsi="Arial"/>
          <w:sz w:val="17"/>
          <w:szCs w:val="17"/>
          <w:color w:val="auto"/>
        </w:rPr>
      </w:pPr>
      <w:r>
        <w:rPr>
          <w:rFonts w:ascii="Arial" w:cs="Arial" w:eastAsia="Arial" w:hAnsi="Arial"/>
          <w:sz w:val="17"/>
          <w:szCs w:val="17"/>
          <w:color w:val="auto"/>
        </w:rPr>
        <w:t>ELAVON FINANCIAL SERVICES DAC, a designated activity company registered in Ireland with the Companies Registration Office, registered number 418442, with its registered office at Block F1, Cherrywood Business Park, Cherrywood, Dublin 18, D18 W2X7, Ireland, acting through its UK Branch (registered number BR009373) from its offices at 125 Old Broad Street, Fifth Floor, London EC2N 1AR, United Kingdom under the trade name U.S. Bank Global Corporate Trust Services, as Paying Agent (the “</w:t>
      </w:r>
      <w:r>
        <w:rPr>
          <w:rFonts w:ascii="Arial" w:cs="Arial" w:eastAsia="Arial" w:hAnsi="Arial"/>
          <w:sz w:val="17"/>
          <w:szCs w:val="17"/>
          <w:b w:val="1"/>
          <w:bCs w:val="1"/>
          <w:color w:val="auto"/>
        </w:rPr>
        <w:t>Paying Agent</w:t>
      </w:r>
      <w:r>
        <w:rPr>
          <w:rFonts w:ascii="Arial" w:cs="Arial" w:eastAsia="Arial" w:hAnsi="Arial"/>
          <w:sz w:val="17"/>
          <w:szCs w:val="17"/>
          <w:color w:val="auto"/>
        </w:rPr>
        <w:t>” which expression shall include any successor paying agent appointed in accordance with this Agreement);</w:t>
      </w:r>
    </w:p>
    <w:p>
      <w:pPr>
        <w:spacing w:after="0" w:line="81" w:lineRule="exact"/>
        <w:rPr>
          <w:rFonts w:ascii="Arial" w:cs="Arial" w:eastAsia="Arial" w:hAnsi="Arial"/>
          <w:sz w:val="17"/>
          <w:szCs w:val="17"/>
          <w:color w:val="auto"/>
        </w:rPr>
      </w:pPr>
    </w:p>
    <w:p>
      <w:pPr>
        <w:ind w:left="984" w:right="120" w:hanging="544"/>
        <w:spacing w:after="0" w:line="279" w:lineRule="auto"/>
        <w:tabs>
          <w:tab w:leader="none" w:pos="984" w:val="left"/>
        </w:tabs>
        <w:numPr>
          <w:ilvl w:val="0"/>
          <w:numId w:val="43"/>
        </w:numPr>
        <w:rPr>
          <w:rFonts w:ascii="Arial" w:cs="Arial" w:eastAsia="Arial" w:hAnsi="Arial"/>
          <w:sz w:val="17"/>
          <w:szCs w:val="17"/>
          <w:color w:val="auto"/>
        </w:rPr>
      </w:pPr>
      <w:r>
        <w:rPr>
          <w:rFonts w:ascii="Arial" w:cs="Arial" w:eastAsia="Arial" w:hAnsi="Arial"/>
          <w:sz w:val="17"/>
          <w:szCs w:val="17"/>
          <w:color w:val="auto"/>
        </w:rPr>
        <w:t>U.S. BANK TRUST COMPANY, NATIONAL ASSOCIATION, a national banking association chartered under the federal laws of the United States of America with its corporate trust office at 1555 N RiverCenter Drive, Suite 203, Milwaukee, WI 53212, United States of America, as Security Registrar (the “</w:t>
      </w:r>
      <w:r>
        <w:rPr>
          <w:rFonts w:ascii="Arial" w:cs="Arial" w:eastAsia="Arial" w:hAnsi="Arial"/>
          <w:sz w:val="17"/>
          <w:szCs w:val="17"/>
          <w:b w:val="1"/>
          <w:bCs w:val="1"/>
          <w:color w:val="auto"/>
        </w:rPr>
        <w:t>Security Registrar</w:t>
      </w:r>
      <w:r>
        <w:rPr>
          <w:rFonts w:ascii="Arial" w:cs="Arial" w:eastAsia="Arial" w:hAnsi="Arial"/>
          <w:sz w:val="17"/>
          <w:szCs w:val="17"/>
          <w:color w:val="auto"/>
        </w:rPr>
        <w:t>” which expression shall include any successor registrar appointed in accordance with the Base Indenture and the Supplemental Indenture (each as defined below)); and</w:t>
      </w:r>
    </w:p>
    <w:p>
      <w:pPr>
        <w:spacing w:after="0" w:line="76" w:lineRule="exact"/>
        <w:rPr>
          <w:rFonts w:ascii="Arial" w:cs="Arial" w:eastAsia="Arial" w:hAnsi="Arial"/>
          <w:sz w:val="17"/>
          <w:szCs w:val="17"/>
          <w:color w:val="auto"/>
        </w:rPr>
      </w:pPr>
    </w:p>
    <w:p>
      <w:pPr>
        <w:ind w:left="984" w:right="200" w:hanging="544"/>
        <w:spacing w:after="0" w:line="263" w:lineRule="auto"/>
        <w:tabs>
          <w:tab w:leader="none" w:pos="9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 BANK TRUST COMPANY, NATIONAL ASSOCIATION, a national banking association chartered under the federal laws of the United States of America with its corporate trust office at 1555 N RiverCenter Drive, Suite 203, Milwaukee, WI 53212, United States of America,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w:t>
      </w:r>
    </w:p>
    <w:p>
      <w:pPr>
        <w:spacing w:after="0" w:line="131" w:lineRule="exact"/>
        <w:rPr>
          <w:sz w:val="20"/>
          <w:szCs w:val="20"/>
          <w:color w:val="auto"/>
        </w:rPr>
      </w:pPr>
    </w:p>
    <w:p>
      <w:pPr>
        <w:ind w:left="984" w:hanging="544"/>
        <w:spacing w:after="0"/>
        <w:tabs>
          <w:tab w:leader="none" w:pos="9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Issuer has agreed to issue the 4.500% Senior Notes due 2031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100" w:hanging="544"/>
        <w:spacing w:after="0" w:line="282" w:lineRule="auto"/>
        <w:tabs>
          <w:tab w:leader="none" w:pos="9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Notes are to be constituted by an indenture dated November 20, 2007 (the “</w:t>
      </w:r>
      <w:r>
        <w:rPr>
          <w:rFonts w:ascii="Arial" w:cs="Arial" w:eastAsia="Arial" w:hAnsi="Arial"/>
          <w:sz w:val="18"/>
          <w:szCs w:val="18"/>
          <w:b w:val="1"/>
          <w:bCs w:val="1"/>
          <w:color w:val="auto"/>
        </w:rPr>
        <w:t>Base Indenture</w:t>
      </w:r>
      <w:r>
        <w:rPr>
          <w:rFonts w:ascii="Arial" w:cs="Arial" w:eastAsia="Arial" w:hAnsi="Arial"/>
          <w:sz w:val="18"/>
          <w:szCs w:val="18"/>
          <w:color w:val="auto"/>
        </w:rPr>
        <w:t>”), as supplemented by the Twenty-Ninth Supplemental Indenture, dated as of May 24, 2023 (the “</w:t>
      </w:r>
      <w:r>
        <w:rPr>
          <w:rFonts w:ascii="Arial" w:cs="Arial" w:eastAsia="Arial" w:hAnsi="Arial"/>
          <w:sz w:val="18"/>
          <w:szCs w:val="18"/>
          <w:b w:val="1"/>
          <w:bCs w:val="1"/>
          <w:color w:val="auto"/>
        </w:rPr>
        <w:t>Supplemental Indenture</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984" w:right="300" w:hanging="544"/>
        <w:spacing w:after="0" w:line="277" w:lineRule="auto"/>
        <w:tabs>
          <w:tab w:leader="none" w:pos="9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Issuer hereby appoints the Paying Agent in accordance with the terms of this Agreement, the Base Indenture and the Supplemental Indenture.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T IS AGREED</w:t>
      </w:r>
      <w:r>
        <w:rPr>
          <w:rFonts w:ascii="Arial" w:cs="Arial" w:eastAsia="Arial" w:hAnsi="Arial"/>
          <w:sz w:val="18"/>
          <w:szCs w:val="18"/>
          <w:b w:val="1"/>
          <w:bCs w:val="1"/>
          <w:color w:val="auto"/>
        </w:rPr>
        <w:t>:</w:t>
      </w:r>
    </w:p>
    <w:p>
      <w:pPr>
        <w:spacing w:after="0" w:line="131" w:lineRule="exact"/>
        <w:rPr>
          <w:sz w:val="20"/>
          <w:szCs w:val="20"/>
          <w:color w:val="auto"/>
        </w:rPr>
      </w:pPr>
    </w:p>
    <w:p>
      <w:pPr>
        <w:ind w:left="544" w:hanging="544"/>
        <w:spacing w:after="0"/>
        <w:tabs>
          <w:tab w:leader="none" w:pos="544"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Unless the context otherwise requires:</w:t>
      </w:r>
    </w:p>
    <w:p>
      <w:pPr>
        <w:spacing w:after="0" w:line="131" w:lineRule="exact"/>
        <w:rPr>
          <w:sz w:val="20"/>
          <w:szCs w:val="20"/>
          <w:color w:val="auto"/>
        </w:rPr>
      </w:pPr>
    </w:p>
    <w:p>
      <w:pPr>
        <w:ind w:left="544" w:right="180" w:hanging="550"/>
        <w:spacing w:after="0" w:line="277"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Capitalized terms used in this Agreement but not defined in this Agreement shall have the meanings given to them in the Base Indenture or the Supplemental Indenture, as applicable.</w:t>
      </w:r>
    </w:p>
    <w:p>
      <w:pPr>
        <w:spacing w:after="0" w:line="76" w:lineRule="exact"/>
        <w:rPr>
          <w:sz w:val="20"/>
          <w:szCs w:val="20"/>
          <w:color w:val="auto"/>
        </w:rPr>
      </w:pPr>
    </w:p>
    <w:p>
      <w:pPr>
        <w:ind w:left="544" w:right="160" w:hanging="550"/>
        <w:spacing w:after="0" w:line="308" w:lineRule="auto"/>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References in this Agreement to the payment of principal or interest in respect of any Note shall be deemed to include any Additional Amounts which may become payable in respect thereof pursuant to the Notes, the Base Indenture, and the Supplemental Indenture.</w:t>
      </w:r>
    </w:p>
    <w:p>
      <w:pPr>
        <w:spacing w:after="0" w:line="52" w:lineRule="exact"/>
        <w:rPr>
          <w:sz w:val="20"/>
          <w:szCs w:val="20"/>
          <w:color w:val="auto"/>
        </w:rPr>
      </w:pPr>
    </w:p>
    <w:p>
      <w:pPr>
        <w:ind w:left="544" w:hanging="550"/>
        <w:spacing w:after="0" w:line="263" w:lineRule="auto"/>
        <w:tabs>
          <w:tab w:leader="none" w:pos="52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All references in this Agreement to an agreement, instrument or other document (including this Agreement, the Base Indenture, the Supplemental Indenture and the Notes) shall be construed as a reference to that agreement, instrument or document as the same may be amended, modified, varied, supplemented or novated from time to time.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486" w:right="459" w:bottom="1440" w:gutter="0" w:footer="0" w:header="0"/>
        </w:sectPr>
      </w:pPr>
    </w:p>
    <w:bookmarkStart w:id="52" w:name="page53"/>
    <w:bookmarkEnd w:id="52"/>
    <w:p>
      <w:pPr>
        <w:jc w:val="both"/>
        <w:ind w:left="544" w:hanging="550"/>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1.5</w:t>
      </w:r>
      <w:r>
        <w:rPr>
          <w:sz w:val="20"/>
          <w:szCs w:val="20"/>
          <w:color w:val="auto"/>
        </w:rPr>
        <w:tab/>
      </w:r>
      <w:r>
        <w:rPr>
          <w:rFonts w:ascii="Arial" w:cs="Arial" w:eastAsia="Arial" w:hAnsi="Arial"/>
          <w:sz w:val="18"/>
          <w:szCs w:val="18"/>
          <w:color w:val="auto"/>
        </w:rPr>
        <w:t>Except as specifically set forth in this Agreement, this Agreement is for the exclusive benefit of the parties to this Agreement and their respective successors and permitted assigns, and shall not be deemed to give, either expressly or implicitly, any legal or equitable right, remedy, or claim to any other entity or person whatsoever.</w:t>
      </w:r>
    </w:p>
    <w:p>
      <w:pPr>
        <w:spacing w:after="0" w:line="89" w:lineRule="exact"/>
        <w:rPr>
          <w:sz w:val="20"/>
          <w:szCs w:val="20"/>
          <w:color w:val="auto"/>
        </w:rPr>
      </w:pPr>
    </w:p>
    <w:p>
      <w:pPr>
        <w:jc w:val="both"/>
        <w:ind w:left="544" w:right="220" w:hanging="550"/>
        <w:spacing w:after="0" w:line="263" w:lineRule="auto"/>
        <w:tabs>
          <w:tab w:leader="none" w:pos="52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This Agreement shall be read together with and interpreted in light of the Base Indenture and the Supplemental Indenture. In the event of any conflict or inconsistency between the Base Indenture or the Supplemental Indenture and this Agreement, the applicable provisions of the Base Indenture or the Supplemental Indenture, as applicable, shall govern.</w:t>
      </w:r>
    </w:p>
    <w:p>
      <w:pPr>
        <w:spacing w:after="0" w:line="328" w:lineRule="exact"/>
        <w:rPr>
          <w:sz w:val="20"/>
          <w:szCs w:val="20"/>
          <w:color w:val="auto"/>
        </w:rPr>
      </w:pPr>
    </w:p>
    <w:p>
      <w:pPr>
        <w:ind w:left="544" w:hanging="544"/>
        <w:spacing w:after="0"/>
        <w:tabs>
          <w:tab w:leader="none" w:pos="544"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GREEMENTS OF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EGISTRAR</w:t>
      </w:r>
    </w:p>
    <w:p>
      <w:pPr>
        <w:spacing w:after="0" w:line="135" w:lineRule="exact"/>
        <w:rPr>
          <w:sz w:val="20"/>
          <w:szCs w:val="20"/>
          <w:color w:val="auto"/>
        </w:rPr>
      </w:pPr>
    </w:p>
    <w:p>
      <w:pPr>
        <w:ind w:left="544" w:right="40" w:hanging="550"/>
        <w:spacing w:after="0" w:line="277"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On the date of this Agreement, the Security Registrar shall provide to the Paying Agent a complete and correct copy of each Security Register in respect of the Holders of Notes and the outstanding principal amount of Notes held by each Holder of Notes.</w:t>
      </w:r>
    </w:p>
    <w:p>
      <w:pPr>
        <w:spacing w:after="0" w:line="76" w:lineRule="exact"/>
        <w:rPr>
          <w:sz w:val="20"/>
          <w:szCs w:val="20"/>
          <w:color w:val="auto"/>
        </w:rPr>
      </w:pPr>
    </w:p>
    <w:p>
      <w:pPr>
        <w:ind w:left="544" w:right="40" w:hanging="550"/>
        <w:spacing w:after="0" w:line="342"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Security Registrar shall from time to time provide to the Paying Agent a complete and correct copy of each Security Register maintained by it as soon as reasonably practicable following any transfer or exchange of any Notes, and promptly on request therefor by the Paying Agent.</w:t>
      </w:r>
    </w:p>
    <w:p>
      <w:pPr>
        <w:spacing w:after="0" w:line="29" w:lineRule="exact"/>
        <w:rPr>
          <w:sz w:val="20"/>
          <w:szCs w:val="20"/>
          <w:color w:val="auto"/>
        </w:rPr>
      </w:pPr>
    </w:p>
    <w:p>
      <w:pPr>
        <w:ind w:left="544" w:right="140" w:hanging="550"/>
        <w:spacing w:after="0" w:line="277"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Paying Agent shall be entitled to treat as conclusive the most recent copy of each Security Register provided to it by the Security Registrar in accordance with this Agreement.</w:t>
      </w:r>
    </w:p>
    <w:p>
      <w:pPr>
        <w:spacing w:after="0" w:line="315" w:lineRule="exact"/>
        <w:rPr>
          <w:sz w:val="20"/>
          <w:szCs w:val="20"/>
          <w:color w:val="auto"/>
        </w:rPr>
      </w:pPr>
    </w:p>
    <w:p>
      <w:pPr>
        <w:ind w:left="544" w:hanging="544"/>
        <w:spacing w:after="0"/>
        <w:tabs>
          <w:tab w:leader="none" w:pos="544"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PPOINTMENT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35" w:lineRule="exact"/>
        <w:rPr>
          <w:sz w:val="20"/>
          <w:szCs w:val="20"/>
          <w:color w:val="auto"/>
        </w:rPr>
      </w:pPr>
    </w:p>
    <w:p>
      <w:pPr>
        <w:ind w:left="544" w:right="100" w:hanging="550"/>
        <w:spacing w:after="0" w:line="263"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Issuer hereby appoints the Paying Agent, and the Paying Agent hereby agrees, to act at its specified office as paying agent in relation to the Notes in accordance with the provisions of, and upon the terms and subject to the conditions contained in, this Agreement, the Base Indenture and the Supplemental Indenture.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Paying Agent is appointed hereunder for the purposes of:</w:t>
      </w:r>
    </w:p>
    <w:p>
      <w:pPr>
        <w:spacing w:after="0" w:line="131" w:lineRule="exact"/>
        <w:rPr>
          <w:sz w:val="20"/>
          <w:szCs w:val="20"/>
          <w:color w:val="auto"/>
        </w:rPr>
      </w:pPr>
    </w:p>
    <w:p>
      <w:pPr>
        <w:ind w:left="1204" w:hanging="653"/>
        <w:spacing w:after="0"/>
        <w:tabs>
          <w:tab w:leader="none" w:pos="12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paying sums due on the Notes referred to in Article II of the Twenty-Ninth Supplemental Indenture.</w:t>
      </w:r>
    </w:p>
    <w:p>
      <w:pPr>
        <w:spacing w:after="0" w:line="130" w:lineRule="exact"/>
        <w:rPr>
          <w:rFonts w:ascii="Arial" w:cs="Arial" w:eastAsia="Arial" w:hAnsi="Arial"/>
          <w:sz w:val="18"/>
          <w:szCs w:val="18"/>
          <w:color w:val="auto"/>
        </w:rPr>
      </w:pPr>
    </w:p>
    <w:p>
      <w:pPr>
        <w:ind w:left="1204" w:hanging="653"/>
        <w:spacing w:after="0"/>
        <w:tabs>
          <w:tab w:leader="none" w:pos="1204"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otherwise fulfilling its duties and obligations as set out in this Agreement, the Base Indenture and the Supplemental Indenture.</w:t>
      </w:r>
    </w:p>
    <w:p>
      <w:pPr>
        <w:spacing w:after="0" w:line="381" w:lineRule="exact"/>
        <w:rPr>
          <w:sz w:val="20"/>
          <w:szCs w:val="20"/>
          <w:color w:val="auto"/>
        </w:rPr>
      </w:pPr>
    </w:p>
    <w:p>
      <w:pPr>
        <w:ind w:left="544" w:hanging="544"/>
        <w:spacing w:after="0"/>
        <w:tabs>
          <w:tab w:leader="none" w:pos="544"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AYMENT</w:t>
      </w:r>
    </w:p>
    <w:p>
      <w:pPr>
        <w:spacing w:after="0" w:line="135" w:lineRule="exact"/>
        <w:rPr>
          <w:sz w:val="20"/>
          <w:szCs w:val="20"/>
          <w:color w:val="auto"/>
        </w:rPr>
      </w:pPr>
    </w:p>
    <w:p>
      <w:pPr>
        <w:ind w:left="544" w:right="1940"/>
        <w:spacing w:after="0" w:line="277" w:lineRule="auto"/>
        <w:rPr>
          <w:sz w:val="20"/>
          <w:szCs w:val="20"/>
          <w:color w:val="auto"/>
        </w:rPr>
      </w:pPr>
      <w:r>
        <w:rPr>
          <w:rFonts w:ascii="Arial" w:cs="Arial" w:eastAsia="Arial" w:hAnsi="Arial"/>
          <w:sz w:val="18"/>
          <w:szCs w:val="18"/>
          <w:color w:val="auto"/>
        </w:rPr>
        <w:t>Subject always to the Base Indenture and the Supplemental Indenture and, in particular, any restrictions on the Issuer followingdelivery of a notice of an Event of Default:</w:t>
      </w:r>
    </w:p>
    <w:p>
      <w:pPr>
        <w:spacing w:after="0" w:line="76" w:lineRule="exact"/>
        <w:rPr>
          <w:sz w:val="20"/>
          <w:szCs w:val="20"/>
          <w:color w:val="auto"/>
        </w:rPr>
      </w:pPr>
    </w:p>
    <w:p>
      <w:pPr>
        <w:ind w:left="1204" w:right="20" w:hanging="653"/>
        <w:spacing w:after="0" w:line="254" w:lineRule="auto"/>
        <w:tabs>
          <w:tab w:leader="none" w:pos="12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Issuer shall, not later than 11:00 am (London time) on each due date for the payment of principal and/or interest and/or other amounts referred to in Article II of the Twenty-Ninth Supplemental Indenture, pay to the applicable account specified by the Paying Agent such amount as is sufficient (together with any funds then held by the Paying Agent and available for the purpose) to pay all principal and interest and/or other amounts referred to in Article II of the Twenty-Ninth Supplemental Indenture, due in respect of the Notes on such date in immediately available funds;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date is not a Business Day such payment shall be made on the next succeeding date which is a Business Day. As used in this Agreement, “Business Day” shall have the meaning as set forth in the Supplemental Indenture.</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490" w:right="479" w:bottom="1440" w:gutter="0" w:footer="0" w:header="0"/>
        </w:sectPr>
      </w:pPr>
    </w:p>
    <w:bookmarkStart w:id="53" w:name="page54"/>
    <w:bookmarkEnd w:id="53"/>
    <w:p>
      <w:pPr>
        <w:ind w:left="1204" w:right="100" w:hanging="653"/>
        <w:spacing w:after="0" w:line="257" w:lineRule="auto"/>
        <w:tabs>
          <w:tab w:leader="none" w:pos="1204"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Issuer hereby authorises and directs the Paying Agent to make from funds so paid to the Paying Agent payment of all amounts due on the Notes in accordance with the terms of the Notes, the Base Indenture, the Supplemental Indenture and the provisions of this Agreement. If any payment provided for in clause 4(a) is made late but otherwise in accordance with the provisions of this Agreement, the Paying Agent shall nevertheless make payments in respect of the Notes as aforesaid following receipt by the Paying Agent of such payment.</w:t>
      </w:r>
    </w:p>
    <w:p>
      <w:pPr>
        <w:spacing w:after="0" w:line="93" w:lineRule="exact"/>
        <w:rPr>
          <w:rFonts w:ascii="Arial" w:cs="Arial" w:eastAsia="Arial" w:hAnsi="Arial"/>
          <w:sz w:val="18"/>
          <w:szCs w:val="18"/>
          <w:color w:val="auto"/>
        </w:rPr>
      </w:pPr>
    </w:p>
    <w:p>
      <w:pPr>
        <w:ind w:left="1204" w:right="40" w:hanging="653"/>
        <w:spacing w:after="0" w:line="257" w:lineRule="auto"/>
        <w:tabs>
          <w:tab w:leader="none" w:pos="12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Paying Agent shall forthwith notify the Issuer and the Trustee if: (a) it has not, on the date on which any payment is due to be made to the Paying Agent pursuant to clause 4(a), received the full amount payable in respect thereof on such date and (b) it receives unconditionally such full amount, together with accrued interest (if any), after that date. Unless and until the full amount of any such principal or interest payment due to be made to the Paying Agent pursuant to clause 4(a) has been received by it, the Paying Agent will not be bound to make any payments in accordance with clause 4(b).</w:t>
      </w:r>
    </w:p>
    <w:p>
      <w:pPr>
        <w:spacing w:after="0" w:line="93" w:lineRule="exact"/>
        <w:rPr>
          <w:rFonts w:ascii="Arial" w:cs="Arial" w:eastAsia="Arial" w:hAnsi="Arial"/>
          <w:sz w:val="18"/>
          <w:szCs w:val="18"/>
          <w:color w:val="auto"/>
        </w:rPr>
      </w:pPr>
    </w:p>
    <w:p>
      <w:pPr>
        <w:ind w:left="1204" w:right="20" w:hanging="653"/>
        <w:spacing w:after="0" w:line="255" w:lineRule="auto"/>
        <w:tabs>
          <w:tab w:leader="none" w:pos="12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Without prejudice to clause 4(c), if the Paying Agent pays out on or after the due date therefor to persons entitled thereto any amounts in accordance with clause 4(b) on the reasonable belief that the corresponding payment due from the Issuer in accordance with clause 4(a) has been or will be made, the Issuer shall, promptly after written demand, reimburse the Paying Agent for the relevant amount, and pay interest to the Paying Agent on such amount from (and including) the date on which it is paid out to (but excluding) the date of reimbursement at the rate per annum equal to the reasonable cost to the Paying Agent of funding the amount paid out, as certified by the Paying Agent and expressed as a rate per annum.</w:t>
      </w:r>
    </w:p>
    <w:p>
      <w:pPr>
        <w:spacing w:after="0" w:line="97" w:lineRule="exact"/>
        <w:rPr>
          <w:rFonts w:ascii="Arial" w:cs="Arial" w:eastAsia="Arial" w:hAnsi="Arial"/>
          <w:sz w:val="18"/>
          <w:szCs w:val="18"/>
          <w:color w:val="auto"/>
        </w:rPr>
      </w:pPr>
    </w:p>
    <w:p>
      <w:pPr>
        <w:ind w:left="1204" w:hanging="653"/>
        <w:spacing w:after="0" w:line="279" w:lineRule="auto"/>
        <w:tabs>
          <w:tab w:leader="none" w:pos="1204"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Payment of only part of the amount payable in respect of a Note may only be made at the discretion of the relevant Holder(s) (except as the result of a withholding or deduction for or on account of any taxes permitted by the Base Indenture or Supplemental Indenture). If at any time a Paying Agent makes a partial payment in respect of any Note presented to it, it shall inform the Security Registrar of the same such that the Security Registrar may record the same on the applicable Security Register.</w:t>
      </w:r>
    </w:p>
    <w:p>
      <w:pPr>
        <w:spacing w:after="0" w:line="316" w:lineRule="exact"/>
        <w:rPr>
          <w:sz w:val="20"/>
          <w:szCs w:val="20"/>
          <w:color w:val="auto"/>
        </w:rPr>
      </w:pPr>
    </w:p>
    <w:p>
      <w:pPr>
        <w:ind w:left="544" w:hanging="544"/>
        <w:spacing w:after="0"/>
        <w:tabs>
          <w:tab w:leader="none" w:pos="544"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w:t>
      </w:r>
    </w:p>
    <w:p>
      <w:pPr>
        <w:spacing w:after="0" w:line="121" w:lineRule="exact"/>
        <w:rPr>
          <w:sz w:val="20"/>
          <w:szCs w:val="20"/>
          <w:color w:val="auto"/>
        </w:rPr>
      </w:pPr>
    </w:p>
    <w:p>
      <w:pPr>
        <w:ind w:left="444" w:right="40"/>
        <w:spacing w:after="0" w:line="254" w:lineRule="auto"/>
        <w:rPr>
          <w:sz w:val="20"/>
          <w:szCs w:val="20"/>
          <w:color w:val="auto"/>
        </w:rPr>
      </w:pPr>
      <w:r>
        <w:rPr>
          <w:rFonts w:ascii="Arial" w:cs="Arial" w:eastAsia="Arial" w:hAnsi="Arial"/>
          <w:sz w:val="18"/>
          <w:szCs w:val="18"/>
          <w:color w:val="auto"/>
        </w:rPr>
        <w:t>Any sums paid by, or by arrangement with, the Issuer to the Paying Agent pursuant to the terms of this Agreement shall not be required to be repaid to the Issuer unless and until the Notes in respect of which such sums were paid shall have been purchased by the Issuer or any other Subsidiary of the Issuer and cancelled, but in any of these events the Paying Agent shall (provided that all other amounts due under this Agreement shall have been duly paid) upon written request by the Issuer forthwith repay to the Issuer sums equivalent to the amounts which would otherwise have been payable on the relevant Notes. Notwithstanding the foregoing, the Paying Agent shall not be obliged to make any repayment to the Issuer so long as any amounts which under this Agreement should have been paid to or to the order of the Paying Agent by the Issuer shall remain unpaid. The Paying Agent shall not, however, be otherwise required or entitled to repay any sums properly received by it under this Agreement.</w:t>
      </w:r>
    </w:p>
    <w:p>
      <w:pPr>
        <w:spacing w:after="0" w:line="336" w:lineRule="exact"/>
        <w:rPr>
          <w:sz w:val="20"/>
          <w:szCs w:val="20"/>
          <w:color w:val="auto"/>
        </w:rPr>
      </w:pPr>
    </w:p>
    <w:p>
      <w:pPr>
        <w:ind w:left="544" w:hanging="544"/>
        <w:spacing w:after="0"/>
        <w:tabs>
          <w:tab w:leader="none" w:pos="544"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EDEMPTION</w:t>
      </w:r>
      <w:r>
        <w:rPr>
          <w:rFonts w:ascii="Arial" w:cs="Arial" w:eastAsia="Arial" w:hAnsi="Arial"/>
          <w:sz w:val="18"/>
          <w:szCs w:val="18"/>
          <w:b w:val="1"/>
          <w:bCs w:val="1"/>
          <w:color w:val="auto"/>
        </w:rPr>
        <w:t>; N</w:t>
      </w:r>
      <w:r>
        <w:rPr>
          <w:rFonts w:ascii="Arial" w:cs="Arial" w:eastAsia="Arial" w:hAnsi="Arial"/>
          <w:sz w:val="14"/>
          <w:szCs w:val="14"/>
          <w:b w:val="1"/>
          <w:bCs w:val="1"/>
          <w:color w:val="auto"/>
        </w:rPr>
        <w:t>OTICE OF WITHHOLDING OR DEDUCTION</w:t>
      </w:r>
    </w:p>
    <w:p>
      <w:pPr>
        <w:spacing w:after="0" w:line="135" w:lineRule="exact"/>
        <w:rPr>
          <w:sz w:val="20"/>
          <w:szCs w:val="20"/>
          <w:color w:val="auto"/>
        </w:rPr>
      </w:pPr>
    </w:p>
    <w:p>
      <w:pPr>
        <w:ind w:left="544" w:right="40" w:hanging="550"/>
        <w:spacing w:after="0" w:line="259"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Issuer shall provide to the Paying Agent a copy of all notices of redemption that it delivers to Holders of the Notes under the Supplemental Indenture. Each such notice shall include the date(s) on which the applicable redemption is to be made, the Redemption Price or the manner of calculating the Redemption Price (in which case no Redemption Price need be specified) and the other information required by the Supplemental Indenture.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490" w:right="439" w:bottom="1440" w:gutter="0" w:footer="0" w:header="0"/>
        </w:sectPr>
      </w:pPr>
    </w:p>
    <w:bookmarkStart w:id="54" w:name="page55"/>
    <w:bookmarkEnd w:id="54"/>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6.2</w:t>
      </w:r>
      <w:r>
        <w:rPr>
          <w:sz w:val="20"/>
          <w:szCs w:val="20"/>
          <w:color w:val="auto"/>
        </w:rPr>
        <w:tab/>
      </w:r>
      <w:r>
        <w:rPr>
          <w:rFonts w:ascii="Arial" w:cs="Arial" w:eastAsia="Arial" w:hAnsi="Arial"/>
          <w:sz w:val="18"/>
          <w:szCs w:val="18"/>
          <w:color w:val="auto"/>
        </w:rPr>
        <w:t>If:</w:t>
      </w:r>
    </w:p>
    <w:p>
      <w:pPr>
        <w:spacing w:after="0" w:line="131" w:lineRule="exact"/>
        <w:rPr>
          <w:sz w:val="20"/>
          <w:szCs w:val="20"/>
          <w:color w:val="auto"/>
        </w:rPr>
      </w:pPr>
    </w:p>
    <w:p>
      <w:pPr>
        <w:ind w:left="1204" w:hanging="653"/>
        <w:spacing w:after="0"/>
        <w:tabs>
          <w:tab w:leader="none" w:pos="12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Issuer, in respect of any payment; or</w:t>
      </w:r>
    </w:p>
    <w:p>
      <w:pPr>
        <w:spacing w:after="0" w:line="130" w:lineRule="exact"/>
        <w:rPr>
          <w:rFonts w:ascii="Arial" w:cs="Arial" w:eastAsia="Arial" w:hAnsi="Arial"/>
          <w:sz w:val="18"/>
          <w:szCs w:val="18"/>
          <w:color w:val="auto"/>
        </w:rPr>
      </w:pPr>
    </w:p>
    <w:p>
      <w:pPr>
        <w:ind w:left="1204" w:right="160" w:hanging="653"/>
        <w:spacing w:after="0" w:line="277" w:lineRule="auto"/>
        <w:tabs>
          <w:tab w:leader="none" w:pos="12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Paying Agent, in respect of any payment of principal of or any premium or interest on the Notes, is required to withhold or deduct any amount for or on account of Tax,</w:t>
      </w:r>
    </w:p>
    <w:p>
      <w:pPr>
        <w:spacing w:after="0" w:line="75" w:lineRule="exact"/>
        <w:rPr>
          <w:rFonts w:ascii="Arial" w:cs="Arial" w:eastAsia="Arial" w:hAnsi="Arial"/>
          <w:sz w:val="18"/>
          <w:szCs w:val="18"/>
          <w:color w:val="auto"/>
        </w:rPr>
      </w:pPr>
    </w:p>
    <w:p>
      <w:pPr>
        <w:ind w:left="1204" w:right="20" w:hanging="653"/>
        <w:spacing w:after="0" w:line="263" w:lineRule="auto"/>
        <w:tabs>
          <w:tab w:leader="none" w:pos="12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Issuer shall give notice thereof to the Paying Agent and the Trustee reasonably promptly after it becomes aware of such requirement and shall give to the Paying Agent such information as the Paying Agent reasonably requires to enable it to make such deduction or withholding; and</w:t>
      </w:r>
    </w:p>
    <w:p>
      <w:pPr>
        <w:spacing w:after="0" w:line="89" w:lineRule="exact"/>
        <w:rPr>
          <w:rFonts w:ascii="Arial" w:cs="Arial" w:eastAsia="Arial" w:hAnsi="Arial"/>
          <w:sz w:val="18"/>
          <w:szCs w:val="18"/>
          <w:color w:val="auto"/>
        </w:rPr>
      </w:pPr>
    </w:p>
    <w:p>
      <w:pPr>
        <w:ind w:left="1204" w:hanging="653"/>
        <w:spacing w:after="0" w:line="259" w:lineRule="auto"/>
        <w:tabs>
          <w:tab w:leader="none" w:pos="12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where such requirement arises as a result of redemption of the Notes in accordance with the Supplemental Indenture or by virtue of the relevant Holder failing to satisfy any certification or other requirement in respect of its Notes, the Paying Agent shall give prompt notice thereof to the Issuer and the Trustee as soon as reasonably promptly after it becomes aware of the requirement to withhold or deduct.</w:t>
      </w:r>
    </w:p>
    <w:p>
      <w:pPr>
        <w:spacing w:after="0" w:line="331" w:lineRule="exact"/>
        <w:rPr>
          <w:sz w:val="20"/>
          <w:szCs w:val="20"/>
          <w:color w:val="auto"/>
        </w:rPr>
      </w:pPr>
    </w:p>
    <w:p>
      <w:pPr>
        <w:ind w:left="544" w:hanging="544"/>
        <w:spacing w:after="0"/>
        <w:tabs>
          <w:tab w:leader="none" w:pos="544"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ECORDS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Paying Agent shall:</w:t>
      </w:r>
    </w:p>
    <w:p>
      <w:pPr>
        <w:spacing w:after="0" w:line="131" w:lineRule="exact"/>
        <w:rPr>
          <w:sz w:val="20"/>
          <w:szCs w:val="20"/>
          <w:color w:val="auto"/>
        </w:rPr>
      </w:pPr>
    </w:p>
    <w:p>
      <w:pPr>
        <w:ind w:left="1204" w:hanging="653"/>
        <w:spacing w:after="0"/>
        <w:tabs>
          <w:tab w:leader="none" w:pos="1204" w:val="left"/>
        </w:tabs>
        <w:numPr>
          <w:ilvl w:val="0"/>
          <w:numId w:val="56"/>
        </w:numPr>
        <w:rPr>
          <w:rFonts w:ascii="Arial" w:cs="Arial" w:eastAsia="Arial" w:hAnsi="Arial"/>
          <w:sz w:val="18"/>
          <w:szCs w:val="18"/>
          <w:color w:val="auto"/>
        </w:rPr>
      </w:pPr>
      <w:r>
        <w:rPr>
          <w:rFonts w:ascii="Arial" w:cs="Arial" w:eastAsia="Arial" w:hAnsi="Arial"/>
          <w:sz w:val="18"/>
          <w:szCs w:val="18"/>
          <w:color w:val="auto"/>
        </w:rPr>
        <w:t>keep a full and complete record of all payments made by it in respect of the Notes; and</w:t>
      </w:r>
    </w:p>
    <w:p>
      <w:pPr>
        <w:spacing w:after="0" w:line="130" w:lineRule="exact"/>
        <w:rPr>
          <w:rFonts w:ascii="Arial" w:cs="Arial" w:eastAsia="Arial" w:hAnsi="Arial"/>
          <w:sz w:val="18"/>
          <w:szCs w:val="18"/>
          <w:color w:val="auto"/>
        </w:rPr>
      </w:pPr>
    </w:p>
    <w:p>
      <w:pPr>
        <w:ind w:left="1204" w:right="240" w:hanging="653"/>
        <w:spacing w:after="0" w:line="277" w:lineRule="auto"/>
        <w:tabs>
          <w:tab w:leader="none" w:pos="1204"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make such records available at all reasonable times to the Issuer and any persons authorised by it, and the Trustee, for inspection and for the taking of copies thereof.</w:t>
      </w:r>
    </w:p>
    <w:p>
      <w:pPr>
        <w:spacing w:after="0" w:line="76" w:lineRule="exact"/>
        <w:rPr>
          <w:sz w:val="20"/>
          <w:szCs w:val="20"/>
          <w:color w:val="auto"/>
        </w:rPr>
      </w:pPr>
    </w:p>
    <w:p>
      <w:pPr>
        <w:ind w:left="544" w:right="140" w:hanging="550"/>
        <w:spacing w:after="0" w:line="296"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In the event that the Issuer determines in its sole discretion that withholding will be required by applicable law in connection with any payment due to the Paying Agent on the Notes, then the Issuer will be entitled to redirect or reorganize any such payment in any way that it sees fit in order that the payment may be made without such withholding, provided that any such redirected or reorganized payment is made through a recognized institution of international standing and otherwise made in accordance with this Agreement, the Base Indenture, the Supplemental Indenture and any applicable law. The Issuer will promptly notify the Paying Agent and the Trustee of any such redirection or reorganization.</w:t>
      </w:r>
    </w:p>
    <w:p>
      <w:pPr>
        <w:spacing w:after="0" w:line="306" w:lineRule="exact"/>
        <w:rPr>
          <w:sz w:val="20"/>
          <w:szCs w:val="20"/>
          <w:color w:val="auto"/>
        </w:rPr>
      </w:pPr>
    </w:p>
    <w:p>
      <w:pPr>
        <w:ind w:left="544" w:hanging="544"/>
        <w:spacing w:after="0"/>
        <w:tabs>
          <w:tab w:leader="none" w:pos="544"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EES AND EXPENSES</w:t>
      </w:r>
    </w:p>
    <w:p>
      <w:pPr>
        <w:spacing w:after="0" w:line="135" w:lineRule="exact"/>
        <w:rPr>
          <w:sz w:val="20"/>
          <w:szCs w:val="20"/>
          <w:color w:val="auto"/>
        </w:rPr>
      </w:pPr>
    </w:p>
    <w:p>
      <w:pPr>
        <w:jc w:val="both"/>
        <w:ind w:left="544" w:right="220" w:hanging="550"/>
        <w:spacing w:after="0" w:line="311"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Issuer will pay to the Paying Agent such fees and expenses in respect of the Paying Agent’s services under this Agreement as agreed to in the fee letter, dated May 9, 2023 (the “</w:t>
      </w:r>
      <w:r>
        <w:rPr>
          <w:rFonts w:ascii="Arial" w:cs="Arial" w:eastAsia="Arial" w:hAnsi="Arial"/>
          <w:sz w:val="16"/>
          <w:szCs w:val="16"/>
          <w:b w:val="1"/>
          <w:bCs w:val="1"/>
          <w:color w:val="auto"/>
        </w:rPr>
        <w:t>Fee Letter</w:t>
      </w:r>
      <w:r>
        <w:rPr>
          <w:rFonts w:ascii="Arial" w:cs="Arial" w:eastAsia="Arial" w:hAnsi="Arial"/>
          <w:sz w:val="16"/>
          <w:szCs w:val="16"/>
          <w:color w:val="auto"/>
        </w:rPr>
        <w:t>”) from the Paying Agent to, and countersigned by, the Issuer; provided, however, that to the extent any of the provisions of this Agreement conflict with Schedule II of the Fee Letter, the terms of this Agreement shall prevail.</w:t>
      </w:r>
    </w:p>
    <w:p>
      <w:pPr>
        <w:spacing w:after="0" w:line="54" w:lineRule="exact"/>
        <w:rPr>
          <w:sz w:val="20"/>
          <w:szCs w:val="20"/>
          <w:color w:val="auto"/>
        </w:rPr>
      </w:pPr>
    </w:p>
    <w:p>
      <w:pPr>
        <w:ind w:left="544" w:right="120" w:hanging="550"/>
        <w:spacing w:after="0" w:line="272"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The Issuer will also pay within 60 days after receipt of such invoices and receipts as it may reasonably require, all reasonable and documented out-of-pocket expenses (including necessary advertising, facsimile and telex transmission, postage and insurance expenses and, the reasonable and documented fees and expenses of legal advisers) properly incurred by the Paying Agent directly in connection with the services under this Agreement, together with any applicable value added tax or similar tax properly chargeable thereon. Payment by the Issuer to the Paying Agent of such reasonable and documented out-of-pocket expenses shall be a good discharge of the obligations of the Issuer in respect thereof. Where the advice of legal counsel is sought by the Paying Agent, the Paying Agent will notify the Issuer and agree to the fees of any such counsel in advance where it is practical and permissible to do so.</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490" w:right="459" w:bottom="1440" w:gutter="0" w:footer="0" w:header="0"/>
        </w:sectPr>
      </w:pPr>
    </w:p>
    <w:bookmarkStart w:id="55" w:name="page56"/>
    <w:bookmarkEnd w:id="55"/>
    <w:p>
      <w:pPr>
        <w:ind w:left="544" w:hanging="544"/>
        <w:spacing w:after="0"/>
        <w:tabs>
          <w:tab w:leader="none" w:pos="544"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w:t>
      </w:r>
      <w:r>
        <w:rPr>
          <w:rFonts w:ascii="Arial" w:cs="Arial" w:eastAsia="Arial" w:hAnsi="Arial"/>
          <w:sz w:val="14"/>
          <w:szCs w:val="14"/>
          <w:b w:val="1"/>
          <w:bCs w:val="1"/>
          <w:color w:val="auto"/>
        </w:rPr>
        <w:t>NDEMNITY</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Issuer undertakes to indemnify and hold harmless, the Paying Agent and each of its directors, officers, employees or agents (each an</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losses, liabilities, properly incurred and documented costs, reasonable fees and expenses, claims (whether</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against the Issuer or any third party), actions, damages or demands (including, but not limited to, all properly incurred and documented costs,</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charges and reasonable expenses paid or incurred in disputing or defending the foregoing and the properly incurred and documented fees and</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reasonable expenses of one firm of legal counsel and one local counsel in each applicable jurisdiction, if required) which such Indemnified Party</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incurs or which have been made against it, as a result of or in connection with the appointment or the exercise of or performance of its powers</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and duties under this Agreement, except such as may result from its own gross negligence, wilful misconduct or fraud or that of its directors,</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officers, employees or agents. An Indemnified Party shall give the Issuer prompt written notice of the filing of any third party claim against such</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7"/>
          <w:szCs w:val="17"/>
          <w:color w:val="auto"/>
        </w:rPr>
        <w:t>Indemnified Party or of notice to the Issuer of the commencement of any third party claim, cause of action, litigation, proceeding, action or</w:t>
      </w:r>
    </w:p>
    <w:p>
      <w:pPr>
        <w:spacing w:after="0" w:line="21" w:lineRule="exact"/>
        <w:rPr>
          <w:sz w:val="20"/>
          <w:szCs w:val="20"/>
          <w:color w:val="auto"/>
        </w:rPr>
      </w:pPr>
    </w:p>
    <w:p>
      <w:pPr>
        <w:ind w:left="544"/>
        <w:spacing w:after="0"/>
        <w:rPr>
          <w:sz w:val="20"/>
          <w:szCs w:val="20"/>
          <w:color w:val="auto"/>
        </w:rPr>
      </w:pPr>
      <w:r>
        <w:rPr>
          <w:rFonts w:ascii="Arial" w:cs="Arial" w:eastAsia="Arial" w:hAnsi="Arial"/>
          <w:sz w:val="17"/>
          <w:szCs w:val="17"/>
          <w:color w:val="auto"/>
        </w:rPr>
        <w:t>investigation covered by the Indemnity, but the failure to so notify will not relieve the Issuer of any liabilities it may have to such Indemnified</w:t>
      </w:r>
    </w:p>
    <w:p>
      <w:pPr>
        <w:spacing w:after="0" w:line="21" w:lineRule="exact"/>
        <w:rPr>
          <w:sz w:val="20"/>
          <w:szCs w:val="20"/>
          <w:color w:val="auto"/>
        </w:rPr>
      </w:pPr>
    </w:p>
    <w:p>
      <w:pPr>
        <w:ind w:left="544"/>
        <w:spacing w:after="0"/>
        <w:rPr>
          <w:sz w:val="20"/>
          <w:szCs w:val="20"/>
          <w:color w:val="auto"/>
        </w:rPr>
      </w:pPr>
      <w:r>
        <w:rPr>
          <w:rFonts w:ascii="Arial" w:cs="Arial" w:eastAsia="Arial" w:hAnsi="Arial"/>
          <w:sz w:val="16"/>
          <w:szCs w:val="16"/>
          <w:color w:val="auto"/>
        </w:rPr>
        <w:t>Party, except to the extent that the Issuer has been prejudiced by the Indemnified Party’s failure to give such notice. Each Indemnified Party may,</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7"/>
          <w:szCs w:val="17"/>
          <w:color w:val="auto"/>
        </w:rPr>
        <w:t>with the prior written consent of the Issuer (such consent not to be unreasonably withheld or delayed), settle or resolve any claim, cause of</w:t>
      </w:r>
    </w:p>
    <w:p>
      <w:pPr>
        <w:spacing w:after="0" w:line="21" w:lineRule="exact"/>
        <w:rPr>
          <w:sz w:val="20"/>
          <w:szCs w:val="20"/>
          <w:color w:val="auto"/>
        </w:rPr>
      </w:pPr>
    </w:p>
    <w:p>
      <w:pPr>
        <w:ind w:left="544"/>
        <w:spacing w:after="0"/>
        <w:rPr>
          <w:sz w:val="20"/>
          <w:szCs w:val="20"/>
          <w:color w:val="auto"/>
        </w:rPr>
      </w:pPr>
      <w:r>
        <w:rPr>
          <w:rFonts w:ascii="Arial" w:cs="Arial" w:eastAsia="Arial" w:hAnsi="Arial"/>
          <w:sz w:val="17"/>
          <w:szCs w:val="17"/>
          <w:color w:val="auto"/>
        </w:rPr>
        <w:t xml:space="preserve">action, litigation or proceeding and the Issuer shall pay any settlement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Indemnified Party may settle a claim in a</w:t>
      </w:r>
    </w:p>
    <w:p>
      <w:pPr>
        <w:spacing w:after="0" w:line="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manner that would require anything other than the payment of money by the Issuer.</w:t>
      </w:r>
    </w:p>
    <w:p>
      <w:pPr>
        <w:spacing w:after="0" w:line="1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indemnity contained in clause 9.1 above shall survive the termination and expiry of this Agreement.</w:t>
      </w:r>
    </w:p>
    <w:p>
      <w:pPr>
        <w:spacing w:after="0" w:line="370" w:lineRule="exact"/>
        <w:rPr>
          <w:sz w:val="20"/>
          <w:szCs w:val="20"/>
          <w:color w:val="auto"/>
        </w:rPr>
      </w:pPr>
    </w:p>
    <w:p>
      <w:pPr>
        <w:ind w:left="544" w:hanging="544"/>
        <w:spacing w:after="0"/>
        <w:tabs>
          <w:tab w:leader="none" w:pos="544"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 OF APPOINTMENT</w:t>
      </w:r>
    </w:p>
    <w:p>
      <w:pPr>
        <w:spacing w:after="0" w:line="135" w:lineRule="exact"/>
        <w:rPr>
          <w:sz w:val="20"/>
          <w:szCs w:val="20"/>
          <w:color w:val="auto"/>
        </w:rPr>
      </w:pPr>
    </w:p>
    <w:p>
      <w:pPr>
        <w:ind w:left="544" w:right="20" w:hanging="550"/>
        <w:spacing w:after="0" w:line="272" w:lineRule="auto"/>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 xml:space="preserve">The Paying Agent shall (a) hold all sums received from the Issuer in accordance with this Agreement, the Base Indenture and the Supplemental Indenture for payment of principal or any premium or interest on the Notes in trust for the benefit of the Trustee until such sums shall be paid to it or otherwise disposed of as provided in this Agreement, the Base Indenture and the Supplemental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Paying Agent shall be under no liability for interest on any money received by it hereunder except as otherwise agreed in writing with the Issuer; (b) give the Trustee notice of any default by the Issuer (or any other obligor upon the Notes) in the making of any payment of principal of or premium or interest on the Notes; and (c) at any time during the continuance of any such default, upon the written request of the Trustee, forthwith pay to the Trustee all sums held by it in trust for payment in respect of the Notes.</w:t>
      </w:r>
    </w:p>
    <w:p>
      <w:pPr>
        <w:spacing w:after="0" w:line="8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No monies held by the Paying Agent need be segregated except to the extent required by law.</w:t>
      </w:r>
    </w:p>
    <w:p>
      <w:pPr>
        <w:spacing w:after="0" w:line="131" w:lineRule="exact"/>
        <w:rPr>
          <w:sz w:val="20"/>
          <w:szCs w:val="20"/>
          <w:color w:val="auto"/>
        </w:rPr>
      </w:pPr>
    </w:p>
    <w:p>
      <w:pPr>
        <w:jc w:val="both"/>
        <w:ind w:left="544" w:right="420" w:hanging="550"/>
        <w:spacing w:after="0" w:line="263" w:lineRule="auto"/>
        <w:tabs>
          <w:tab w:leader="none" w:pos="524" w:val="left"/>
        </w:tabs>
        <w:rPr>
          <w:sz w:val="20"/>
          <w:szCs w:val="20"/>
          <w:color w:val="auto"/>
        </w:rPr>
      </w:pPr>
      <w:r>
        <w:rPr>
          <w:rFonts w:ascii="Arial" w:cs="Arial" w:eastAsia="Arial" w:hAnsi="Arial"/>
          <w:sz w:val="18"/>
          <w:szCs w:val="18"/>
          <w:color w:val="auto"/>
        </w:rPr>
        <w:t>10.3</w:t>
        <w:tab/>
        <w:t>In acting under this Agreement and in connection with the Notes, the Paying Agent shall act solely as agent of the Issuer and, save solely in respect of its obligations under clause 10.1 hereof, shall not have any obligations towards or relationship of agency or trust with any of the Holders of the Notes or the Trustee.</w:t>
      </w:r>
    </w:p>
    <w:p>
      <w:pPr>
        <w:spacing w:after="0" w:line="89" w:lineRule="exact"/>
        <w:rPr>
          <w:sz w:val="20"/>
          <w:szCs w:val="20"/>
          <w:color w:val="auto"/>
        </w:rPr>
      </w:pPr>
    </w:p>
    <w:p>
      <w:pPr>
        <w:ind w:left="544" w:right="40" w:hanging="550"/>
        <w:spacing w:after="0" w:line="308" w:lineRule="auto"/>
        <w:tabs>
          <w:tab w:leader="none" w:pos="5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The Paying Agent shall be obliged to perform such duties and only such duties as are specifically set out in this Agreement. No implied duties or obligations shall be read into such document. The Paying Agent shall not be obliged to perform any duties additional to or</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486" w:right="459" w:bottom="1440" w:gutter="0" w:footer="0" w:header="0"/>
        </w:sectPr>
      </w:pPr>
    </w:p>
    <w:bookmarkStart w:id="56" w:name="page57"/>
    <w:bookmarkEnd w:id="56"/>
    <w:p>
      <w:pPr>
        <w:ind w:left="500"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different from such duties resulting from any modification or supplement after the date hereof to any relevant documents (including, without limitation, the Base Indenture or the Supplemental Indenture), unless it shall have previously agreed or subsequently agrees to perform such duties. The Paying Agent shall not be under any obligation to take any action hereunder which such party reasonably expects, and has thus notified the Issuer in writing, will result in any expense or liability of such Paying Agent, the payment of which within a reasonable time is not, in its reasonable opinion, assured to it.</w:t>
      </w:r>
    </w:p>
    <w:p>
      <w:pPr>
        <w:spacing w:after="0" w:line="93" w:lineRule="exact"/>
        <w:rPr>
          <w:sz w:val="20"/>
          <w:szCs w:val="20"/>
          <w:color w:val="auto"/>
        </w:rPr>
      </w:pPr>
    </w:p>
    <w:p>
      <w:pPr>
        <w:ind w:left="500" w:right="180" w:hanging="550"/>
        <w:spacing w:after="0" w:line="259" w:lineRule="auto"/>
        <w:tabs>
          <w:tab w:leader="none" w:pos="480" w:val="left"/>
        </w:tabs>
        <w:rPr>
          <w:sz w:val="20"/>
          <w:szCs w:val="20"/>
          <w:color w:val="auto"/>
        </w:rPr>
      </w:pPr>
      <w:r>
        <w:rPr>
          <w:rFonts w:ascii="Arial" w:cs="Arial" w:eastAsia="Arial" w:hAnsi="Arial"/>
          <w:sz w:val="18"/>
          <w:szCs w:val="18"/>
          <w:color w:val="auto"/>
        </w:rPr>
        <w:t>10.5</w:t>
        <w:tab/>
        <w:t>Except as ordered by a court of competent jurisdiction or as required by law, the Paying Agent shall be entitled to treat the Holder of any Note (as evidenced by the applicable Security Register) as the absolute owner thereof for all purposes (whether or not it is overdue and notwithstanding any notice to the contrary or any notice of ownership, trust or any interest in it, any writing on it, or its theft or loss) and shall not be required to obtain any proof thereof or as to the identity of the bearer or Holder.</w:t>
      </w:r>
    </w:p>
    <w:p>
      <w:pPr>
        <w:spacing w:after="0" w:line="92" w:lineRule="exact"/>
        <w:rPr>
          <w:sz w:val="20"/>
          <w:szCs w:val="20"/>
          <w:color w:val="auto"/>
        </w:rPr>
      </w:pPr>
    </w:p>
    <w:p>
      <w:pPr>
        <w:jc w:val="both"/>
        <w:ind w:left="500" w:hanging="550"/>
        <w:spacing w:after="0" w:line="286" w:lineRule="auto"/>
        <w:tabs>
          <w:tab w:leader="none" w:pos="4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The Paying Agent may consult with any qualified legal or other professional advisers (who may be an employee of or legal adviser to the Issuer) selected by it, at the reasonable cost of the Issuer, and the reasonable opinion of such advisers shall be full and complete protection in respect of any action taken, omitted or suffered hereunder in accordance with the written opinion of such advisers.</w:t>
      </w:r>
    </w:p>
    <w:p>
      <w:pPr>
        <w:spacing w:after="0" w:line="71" w:lineRule="exact"/>
        <w:rPr>
          <w:sz w:val="20"/>
          <w:szCs w:val="20"/>
          <w:color w:val="auto"/>
        </w:rPr>
      </w:pPr>
    </w:p>
    <w:p>
      <w:pPr>
        <w:ind w:left="500" w:right="20" w:hanging="550"/>
        <w:spacing w:after="0" w:line="272" w:lineRule="auto"/>
        <w:tabs>
          <w:tab w:leader="none" w:pos="4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The Paying Agent shall be protected and shall incur no liability for or in respect of any action taken, suffered or omitted by it in good faith in reliance upon any written instruction, request or order signed in the name of the Issuer by its Chief Executive Officer and Chairman, its Chief Financial Officer, its Chief Administrative Officer and Chief Legal Officer, its General Counsel and Secretary, and its SVP, Treasurer (each such officer of the Issuer, an “</w:t>
      </w:r>
      <w:r>
        <w:rPr>
          <w:rFonts w:ascii="Arial" w:cs="Arial" w:eastAsia="Arial" w:hAnsi="Arial"/>
          <w:sz w:val="17"/>
          <w:szCs w:val="17"/>
          <w:b w:val="1"/>
          <w:bCs w:val="1"/>
          <w:color w:val="auto"/>
        </w:rPr>
        <w:t>Authorized Officer</w:t>
      </w:r>
      <w:r>
        <w:rPr>
          <w:rFonts w:ascii="Arial" w:cs="Arial" w:eastAsia="Arial" w:hAnsi="Arial"/>
          <w:sz w:val="17"/>
          <w:szCs w:val="17"/>
          <w:color w:val="auto"/>
        </w:rPr>
        <w:t>”), and delivered to the Paying Agent, or upon any Note, notice, resolution, written direction, consent, certificate, affidavit, statement, e-mail, facsimile transmission or other document or information from any electronic or other source, evidenced in writing and reasonably believed by it to be genuine and to have been signed or otherwise given or disseminated by an Authorized Officer in the manner required, even if it is subsequently found not to be genuine or to be incorrect.</w:t>
      </w:r>
    </w:p>
    <w:p>
      <w:pPr>
        <w:spacing w:after="0" w:line="83" w:lineRule="exact"/>
        <w:rPr>
          <w:sz w:val="20"/>
          <w:szCs w:val="20"/>
          <w:color w:val="auto"/>
        </w:rPr>
      </w:pPr>
    </w:p>
    <w:p>
      <w:pPr>
        <w:ind w:left="500" w:hanging="550"/>
        <w:spacing w:after="0" w:line="275" w:lineRule="auto"/>
        <w:tabs>
          <w:tab w:leader="none" w:pos="4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The Paying Agent, whether acting for itself or in any other capacity, will not be precluded from becoming the owner of, or acquiring any interest in, holding or disposing of any Note or any shares or other securities of the Issuer or any of its Subsidiaries, holding or associated companies (each a “</w:t>
      </w:r>
      <w:r>
        <w:rPr>
          <w:rFonts w:ascii="Arial" w:cs="Arial" w:eastAsia="Arial" w:hAnsi="Arial"/>
          <w:sz w:val="17"/>
          <w:szCs w:val="17"/>
          <w:b w:val="1"/>
          <w:bCs w:val="1"/>
          <w:color w:val="auto"/>
        </w:rPr>
        <w:t>Connected Company</w:t>
      </w:r>
      <w:r>
        <w:rPr>
          <w:rFonts w:ascii="Arial" w:cs="Arial" w:eastAsia="Arial" w:hAnsi="Arial"/>
          <w:sz w:val="17"/>
          <w:szCs w:val="17"/>
          <w:color w:val="auto"/>
        </w:rPr>
        <w:t>”), with the same rights as it would have had if it were not acting as Paying Agent or from entering into or being interested in any contracts or transactions with any Connected Company or from acting on, or as depositary, trustee or agent for, any committee or body of holders of any securities of any Connected Company and will not be liable to account for any profit.</w:t>
      </w:r>
    </w:p>
    <w:p>
      <w:pPr>
        <w:spacing w:after="0" w:line="82" w:lineRule="exact"/>
        <w:rPr>
          <w:sz w:val="20"/>
          <w:szCs w:val="20"/>
          <w:color w:val="auto"/>
        </w:rPr>
      </w:pPr>
    </w:p>
    <w:p>
      <w:pPr>
        <w:jc w:val="both"/>
        <w:ind w:left="500" w:right="360" w:hanging="550"/>
        <w:spacing w:after="0" w:line="263" w:lineRule="auto"/>
        <w:tabs>
          <w:tab w:leader="none" w:pos="480" w:val="left"/>
        </w:tabs>
        <w:rPr>
          <w:sz w:val="20"/>
          <w:szCs w:val="20"/>
          <w:color w:val="auto"/>
        </w:rPr>
      </w:pPr>
      <w:r>
        <w:rPr>
          <w:rFonts w:ascii="Arial" w:cs="Arial" w:eastAsia="Arial" w:hAnsi="Arial"/>
          <w:sz w:val="18"/>
          <w:szCs w:val="18"/>
          <w:color w:val="auto"/>
        </w:rPr>
        <w:t>10.9</w:t>
        <w:tab/>
        <w:t>The Paying Agent shall not be required to make any payments to any Holder of a Note if under any laws or regulations affecting the Paying Agent, such payment is not permitted. In the event of any such laws or regulations affecting the Paying Agent coming to the attention of the Paying Agent it shall forthwith notify the Issuer and the Trustee.</w:t>
      </w:r>
    </w:p>
    <w:p>
      <w:pPr>
        <w:spacing w:after="0" w:line="89" w:lineRule="exact"/>
        <w:rPr>
          <w:sz w:val="20"/>
          <w:szCs w:val="20"/>
          <w:color w:val="auto"/>
        </w:rPr>
      </w:pPr>
    </w:p>
    <w:p>
      <w:pPr>
        <w:ind w:left="500" w:right="420" w:hanging="550"/>
        <w:spacing w:after="0" w:line="308" w:lineRule="auto"/>
        <w:tabs>
          <w:tab w:leader="none" w:pos="4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Issuer shall do or cause to be done all such acts, matters and things and shall make available all such documents as shall be reasonably necessary to enable the Paying Agent to fully comply with and carry out its respective duties and obligations hereunder.</w:t>
      </w:r>
    </w:p>
    <w:p>
      <w:pPr>
        <w:spacing w:after="0" w:line="52" w:lineRule="exact"/>
        <w:rPr>
          <w:sz w:val="20"/>
          <w:szCs w:val="20"/>
          <w:color w:val="auto"/>
        </w:rPr>
      </w:pPr>
    </w:p>
    <w:p>
      <w:pPr>
        <w:ind w:left="500" w:right="120" w:hanging="550"/>
        <w:spacing w:after="0" w:line="263" w:lineRule="auto"/>
        <w:tabs>
          <w:tab w:leader="none" w:pos="480" w:val="left"/>
        </w:tabs>
        <w:rPr>
          <w:sz w:val="20"/>
          <w:szCs w:val="20"/>
          <w:color w:val="auto"/>
        </w:rPr>
      </w:pPr>
      <w:r>
        <w:rPr>
          <w:rFonts w:ascii="Arial" w:cs="Arial" w:eastAsia="Arial" w:hAnsi="Arial"/>
          <w:sz w:val="18"/>
          <w:szCs w:val="18"/>
          <w:color w:val="auto"/>
        </w:rPr>
        <w:t>10.11</w:t>
        <w:tab/>
        <w:t>In no event shall the Paying Agent or any of its affiliates or any of their respective officers, directors, employees, agents, advisors or representatives (collectively, “</w:t>
      </w:r>
      <w:r>
        <w:rPr>
          <w:rFonts w:ascii="Arial" w:cs="Arial" w:eastAsia="Arial" w:hAnsi="Arial"/>
          <w:sz w:val="18"/>
          <w:szCs w:val="18"/>
          <w:b w:val="1"/>
          <w:bCs w:val="1"/>
          <w:color w:val="auto"/>
        </w:rPr>
        <w:t>Agent Parties</w:t>
      </w:r>
      <w:r>
        <w:rPr>
          <w:rFonts w:ascii="Arial" w:cs="Arial" w:eastAsia="Arial" w:hAnsi="Arial"/>
          <w:sz w:val="18"/>
          <w:szCs w:val="18"/>
          <w:color w:val="auto"/>
        </w:rPr>
        <w:t>”), have any liability for damages of any kind, except to the extent such liability is found in a final non-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490" w:right="499" w:bottom="1440" w:gutter="0" w:footer="0" w:header="0"/>
        </w:sectPr>
      </w:pPr>
    </w:p>
    <w:bookmarkStart w:id="57" w:name="page58"/>
    <w:bookmarkEnd w:id="57"/>
    <w:p>
      <w:pPr>
        <w:ind w:left="54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appealable judgment by a court of competent jurisdiction to have resulted primarily from the gross negligence, wilful misconduct or fraud of the Paying Agent or its Agent Parties. In no event shall the Paying Agent or any Agent Parties on the one hand, or the Issuer or any of its affiliates or any of their respective officers, directors, employees, agent, advisors or representatives (collectively, “</w:t>
      </w:r>
      <w:r>
        <w:rPr>
          <w:rFonts w:ascii="Arial" w:cs="Arial" w:eastAsia="Arial" w:hAnsi="Arial"/>
          <w:sz w:val="16"/>
          <w:szCs w:val="16"/>
          <w:b w:val="1"/>
          <w:bCs w:val="1"/>
          <w:color w:val="auto"/>
        </w:rPr>
        <w:t>Issuer Parties</w:t>
      </w:r>
      <w:r>
        <w:rPr>
          <w:rFonts w:ascii="Arial" w:cs="Arial" w:eastAsia="Arial" w:hAnsi="Arial"/>
          <w:sz w:val="16"/>
          <w:szCs w:val="16"/>
          <w:color w:val="auto"/>
        </w:rPr>
        <w:t>”), on the other hand, have any liability for punitive, indirect, special, incidental or consequential damages or losses (whether in tort, contract or otherwise) and regardless of whether the Paying Agent or Agent Party or Issuer or Issuer Party, as the case may be, has been notified of the likelihood of such damages.</w:t>
      </w:r>
    </w:p>
    <w:p>
      <w:pPr>
        <w:spacing w:after="0" w:line="67" w:lineRule="exact"/>
        <w:rPr>
          <w:sz w:val="20"/>
          <w:szCs w:val="20"/>
          <w:color w:val="auto"/>
        </w:rPr>
      </w:pPr>
    </w:p>
    <w:p>
      <w:pPr>
        <w:ind w:left="544" w:right="60" w:hanging="550"/>
        <w:spacing w:after="0" w:line="285" w:lineRule="auto"/>
        <w:tabs>
          <w:tab w:leader="none" w:pos="524"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Notwithstanding anything contained in this Agreement to the contrary, the Paying Agent shall not incur any liability for not performing any act or fulfilling any obligation hereunder by reason of any event or circumstance beyond its reasonable control including, without limitation, (a) any governmental activity (whether de jure or de facto), act of governmental authority (whether lawful or unlawful), compliance with any governmental or regulatory order, rule, regulation or direction, curfew restriction, expropriation, compulsory acquisition, seizure, requisition, nationalisation or the imposition of currency or currency control restrictions; (b) any failure of or the effect of rules or operations of any funds transfer, settlement or clearing system, interruption, loss or malfunction of utilities, communications or computer services or the payment or repayment of any cash or sums arising from the application of any law or regulation in effect now or in the future, or from the occurrence of any event in the country in which such cash is held which may affect, limit, prohibit or prevent the transferability, convertibility, availability, payment or repayment of any cash or sums until such time as such law, regulation or event shall no longer affect, limit, prohibit or prevent such transferability, convertibility, availability, payment or repayment (and in no event, other than as provided in the Notes, shall the Paying Agent be obliged to substitute another currency for a currency whose transferability, convertibility or availability has been affected, limited, prohibited or prevented by such law, regulation or event or be obliged to pay any penalty interest); (c) any strike or work stoppage, go slow, occupation of premises, other industrial action or dispute or any breach of contract by any essential personnel; (d) any equipment or transmission failure or failure of applicable banking or financial systems; (e) any war, armed conflict including but not limited to hostile attack, hostilities, or acts of a foreign enemy; (f) any riot, insurrection, civil commotion or disorder, mob violence or act of civil disobedience; (g) any act of terrorism or sabotage; (h) any explosion, fire, destruction of machines, equipment or any kind of installation, prolonged breakdown of transport, radioactive contamination, nuclear fusion or fission or electric current; (i) any epidemic, natural disaster (such as but not limited to violent storm, hurricane, blizzard, earthquake, landslide, tidal wave, flood, damage or destruction by lightning, or drought); or (j) any other act of God.</w:t>
      </w:r>
    </w:p>
    <w:p>
      <w:pPr>
        <w:spacing w:after="0" w:line="77" w:lineRule="exact"/>
        <w:rPr>
          <w:sz w:val="20"/>
          <w:szCs w:val="20"/>
          <w:color w:val="auto"/>
        </w:rPr>
      </w:pPr>
    </w:p>
    <w:p>
      <w:pPr>
        <w:ind w:left="544" w:right="120" w:hanging="550"/>
        <w:spacing w:after="0" w:line="272" w:lineRule="auto"/>
        <w:tabs>
          <w:tab w:leader="none" w:pos="524"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The Issuer may at any time, for the purpose of obtaining the satisfaction and discharge of the Base Indenture, the Supplemental Indenture or for any other purpose, direct the Paying Agent to pay to the Trustee any or all sums held in trust by the Paying Agent; and, upon such payment by the Paying Agent to the Trustee, the Paying Agent shall be released from all further liability with respect to such money. Any money deposited with the Paying Agent in trust for the payment of the principal of or any premium or interest on the Notes remaining unclaimed for a period ending on the earlier of the date that is ten Business Days prior to the date such money would escheat to the state or two years after such principal (and premium, if any) or interest has become due and payable shall be paid to the Issuer on the Issuer’s request and all liability of the Paying Agent with respect to such trust money shall thereupon cease.</w:t>
      </w:r>
    </w:p>
    <w:p>
      <w:pPr>
        <w:spacing w:after="0" w:line="322" w:lineRule="exact"/>
        <w:rPr>
          <w:sz w:val="20"/>
          <w:szCs w:val="20"/>
          <w:color w:val="auto"/>
        </w:rPr>
      </w:pPr>
    </w:p>
    <w:p>
      <w:pPr>
        <w:ind w:left="544" w:hanging="544"/>
        <w:spacing w:after="0"/>
        <w:tabs>
          <w:tab w:leader="none" w:pos="544"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 AND SPECIFIED OFFICES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Issuer may at any time terminate the appointment of the Paying Agent and appoint additional or other paying agents.</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490" w:right="459" w:bottom="1440" w:gutter="0" w:footer="0" w:header="0"/>
        </w:sectPr>
      </w:pPr>
    </w:p>
    <w:bookmarkStart w:id="58" w:name="page59"/>
    <w:bookmarkEnd w:id="58"/>
    <w:p>
      <w:pPr>
        <w:ind w:left="44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termination shall be made by giving to the Paying Agent not less than 30 days’ written notice to that effect, which notice shall expire not less than 30 days before or after any due date for any payment in respect of Notes.</w:t>
      </w:r>
    </w:p>
    <w:p>
      <w:pPr>
        <w:spacing w:after="0" w:line="76" w:lineRule="exact"/>
        <w:rPr>
          <w:sz w:val="20"/>
          <w:szCs w:val="20"/>
          <w:color w:val="auto"/>
        </w:rPr>
      </w:pPr>
    </w:p>
    <w:p>
      <w:pPr>
        <w:ind w:left="540" w:right="260" w:hanging="550"/>
        <w:spacing w:after="0" w:line="308" w:lineRule="auto"/>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The Paying Agent may resign its appointment hereunder at any time by giving to the Issuer not less than 30 days’ written notice to that effect, which notice shall expire not less than 30 days before or after any due date for any payments in respect of any Notes.</w:t>
      </w:r>
    </w:p>
    <w:p>
      <w:pPr>
        <w:spacing w:after="0" w:line="52" w:lineRule="exact"/>
        <w:rPr>
          <w:sz w:val="20"/>
          <w:szCs w:val="20"/>
          <w:color w:val="auto"/>
        </w:rPr>
      </w:pPr>
    </w:p>
    <w:p>
      <w:pPr>
        <w:ind w:left="540" w:right="200" w:hanging="550"/>
        <w:spacing w:after="0" w:line="263" w:lineRule="auto"/>
        <w:tabs>
          <w:tab w:leader="none" w:pos="520" w:val="left"/>
        </w:tabs>
        <w:rPr>
          <w:sz w:val="20"/>
          <w:szCs w:val="20"/>
          <w:color w:val="auto"/>
        </w:rPr>
      </w:pPr>
      <w:r>
        <w:rPr>
          <w:rFonts w:ascii="Arial" w:cs="Arial" w:eastAsia="Arial" w:hAnsi="Arial"/>
          <w:sz w:val="18"/>
          <w:szCs w:val="18"/>
          <w:color w:val="auto"/>
        </w:rPr>
        <w:t>11.3</w:t>
        <w:tab/>
        <w:t>Notwithstanding clauses 11.1 and 11.2 no such termination of the appointment of, or resignation by, the Paying Agent shall take effect until a successor has been appointed on terms approved by the Issuer or the Issuer has otherwise approved such resignation without a successor being appointed.</w:t>
      </w:r>
    </w:p>
    <w:p>
      <w:pPr>
        <w:spacing w:after="0" w:line="89" w:lineRule="exact"/>
        <w:rPr>
          <w:sz w:val="20"/>
          <w:szCs w:val="20"/>
          <w:color w:val="auto"/>
        </w:rPr>
      </w:pPr>
    </w:p>
    <w:p>
      <w:pPr>
        <w:ind w:left="540" w:right="20" w:hanging="550"/>
        <w:spacing w:after="0" w:line="290" w:lineRule="auto"/>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Notwithstanding any other provisions of clause 11.1, the appointment of the Paying Agent shall forthwith terminate if at any time such Paying Agent becomes incapable of acting, or is adjudged bankrupt or insolvent, or files a voluntary petition in bankruptcy or makes an assignment for the benefit of its creditors or consents to the appointment of a receiver, administrator or other similar official of it or of all or any substantial part of its property or admits in writing its inability to pay or meet its debts as they mature or suspends payment thereof, or if a resolution is passed or an order made for its winding up or dissolution, or if a receiver, administrator or other similar official of it or of all or any substantial part of its property is appointed, or if any order of any court is entered approving any petition filed by or against it under the provisions of any applicable bankruptcy or insolvency law, or if any public officer takes charge or control of such Paying Agent or its property or affairs for the purpose of rehabilitation, conservation, administration or liquidation or there occurs any analogous event under any applicable law.</w:t>
      </w:r>
    </w:p>
    <w:p>
      <w:pPr>
        <w:spacing w:after="0" w:line="71" w:lineRule="exact"/>
        <w:rPr>
          <w:sz w:val="20"/>
          <w:szCs w:val="20"/>
          <w:color w:val="auto"/>
        </w:rPr>
      </w:pPr>
    </w:p>
    <w:p>
      <w:pPr>
        <w:jc w:val="both"/>
        <w:ind w:left="540" w:right="340" w:hanging="550"/>
        <w:spacing w:after="0" w:line="287" w:lineRule="auto"/>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On the date on which any such termination or resignation takes effect, the Paying Agent shall (a) pay to or to the order of its successor (or, if none, the Issuer) any amounts held by it in respect of the Notes which have become due and payable but which have not been presented for payment; and (b) deliver to its successor (or, if none, the Issuer or as the Issuer may direct) all records maintained by it, pursuant hereto.</w:t>
      </w:r>
    </w:p>
    <w:p>
      <w:pPr>
        <w:spacing w:after="0" w:line="2" w:lineRule="exact"/>
        <w:rPr>
          <w:sz w:val="20"/>
          <w:szCs w:val="20"/>
          <w:color w:val="auto"/>
        </w:rPr>
      </w:pPr>
    </w:p>
    <w:p>
      <w:pPr>
        <w:ind w:left="540" w:right="500"/>
        <w:spacing w:after="0" w:line="260" w:lineRule="auto"/>
        <w:rPr>
          <w:sz w:val="20"/>
          <w:szCs w:val="20"/>
          <w:color w:val="auto"/>
        </w:rPr>
      </w:pPr>
      <w:r>
        <w:rPr>
          <w:rFonts w:ascii="Arial" w:cs="Arial" w:eastAsia="Arial" w:hAnsi="Arial"/>
          <w:sz w:val="18"/>
          <w:szCs w:val="18"/>
          <w:color w:val="auto"/>
        </w:rPr>
        <w:t>Following such termination or resignation and pending such payment and delivery, the Paying Agent shall hold such amounts, records and documents in trust for and subject to the order of its successor or, as the case may be, the Issuer.</w:t>
      </w:r>
    </w:p>
    <w:p>
      <w:pPr>
        <w:spacing w:after="0" w:line="91" w:lineRule="exact"/>
        <w:rPr>
          <w:sz w:val="20"/>
          <w:szCs w:val="20"/>
          <w:color w:val="auto"/>
        </w:rPr>
      </w:pPr>
    </w:p>
    <w:p>
      <w:pPr>
        <w:ind w:left="540" w:right="40" w:hanging="550"/>
        <w:spacing w:after="0" w:line="287" w:lineRule="auto"/>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Any corporation into which the Paying Agent may be merged or converted or any corporation with which such Paying Agent may be consolidated or any corporation resulting from any merger, conversion or consolidation to which such Paying Agent shall be a party, or any corporation, including affiliated corporations, to which the Paying Agent shall sell or otherwise transfer: (a) all or substantially all of its assets or</w:t>
      </w:r>
    </w:p>
    <w:p>
      <w:pPr>
        <w:spacing w:after="0" w:line="2" w:lineRule="exact"/>
        <w:rPr>
          <w:sz w:val="20"/>
          <w:szCs w:val="20"/>
          <w:color w:val="auto"/>
        </w:rPr>
      </w:pPr>
    </w:p>
    <w:p>
      <w:pPr>
        <w:ind w:left="540" w:right="120" w:firstLine="7"/>
        <w:spacing w:after="0" w:line="252" w:lineRule="auto"/>
        <w:tabs>
          <w:tab w:leader="none" w:pos="7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or substantially all of its corporate trust business shall, on the date when the merger, conversion, consolidation or transfer becomes effective and to the extent permitted by any applicable laws, be the successor Paying Agent under this Agreement without any further formality, and after such effective date all references in this Agreement to such Paying Agent shall be deemed to be references to such corporation. Notice of any such merger, conversion, consolidation or transfer shall forthwith be given by the Paying Agent to the Issuer and the Trustee. Except as provided in this clause 11.6, the Paying Agent may not assign any of its rights and obligations hereunder, and any purported assignment in violation of this provision shall be null and void.</w:t>
      </w:r>
    </w:p>
    <w:p>
      <w:pPr>
        <w:spacing w:after="0" w:line="99" w:lineRule="exact"/>
        <w:rPr>
          <w:sz w:val="20"/>
          <w:szCs w:val="20"/>
          <w:color w:val="auto"/>
        </w:rPr>
      </w:pPr>
    </w:p>
    <w:p>
      <w:pPr>
        <w:jc w:val="both"/>
        <w:ind w:left="540" w:hanging="550"/>
        <w:spacing w:after="0" w:line="311" w:lineRule="auto"/>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The Paying Agent may change its specified office to another office in London at any time by giving to the Issuer and the Trustee not less than 60 days’ prior written notice to that effect, which notice shall expire not less than 30 days before or after any due date for any payments in respect of any Notes, and which notice shall specify the address of the new specified office and the date upon which such change is to take effect.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90" w:right="459" w:bottom="1440" w:gutter="0" w:footer="0" w:header="0"/>
        </w:sectPr>
      </w:pPr>
    </w:p>
    <w:bookmarkStart w:id="59" w:name="page60"/>
    <w:bookmarkEnd w:id="59"/>
    <w:p>
      <w:pPr>
        <w:ind w:left="444" w:hanging="444"/>
        <w:spacing w:after="0"/>
        <w:tabs>
          <w:tab w:leader="none" w:pos="444"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w:t>
      </w:r>
      <w:r>
        <w:rPr>
          <w:rFonts w:ascii="Arial" w:cs="Arial" w:eastAsia="Arial" w:hAnsi="Arial"/>
          <w:sz w:val="14"/>
          <w:szCs w:val="14"/>
          <w:b w:val="1"/>
          <w:bCs w:val="1"/>
          <w:color w:val="auto"/>
        </w:rPr>
        <w:t>OTICES</w:t>
      </w:r>
    </w:p>
    <w:p>
      <w:pPr>
        <w:spacing w:after="0" w:line="135" w:lineRule="exact"/>
        <w:rPr>
          <w:sz w:val="20"/>
          <w:szCs w:val="20"/>
          <w:color w:val="auto"/>
        </w:rPr>
      </w:pPr>
    </w:p>
    <w:p>
      <w:pPr>
        <w:ind w:left="444" w:hanging="439"/>
        <w:spacing w:after="0" w:line="277" w:lineRule="auto"/>
        <w:rPr>
          <w:sz w:val="20"/>
          <w:szCs w:val="20"/>
          <w:color w:val="auto"/>
        </w:rPr>
      </w:pPr>
      <w:r>
        <w:rPr>
          <w:rFonts w:ascii="Arial" w:cs="Arial" w:eastAsia="Arial" w:hAnsi="Arial"/>
          <w:sz w:val="18"/>
          <w:szCs w:val="18"/>
          <w:color w:val="auto"/>
        </w:rPr>
        <w:t>12.1 If the Issuer arranges publication of any notice to the Holders of the Notes, it shall at or before the time of such publication, send copies of each notice so published to the Paying Agent.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color w:val="auto"/>
        </w:rPr>
        <w:t>12.2  The Paying Agent shall promptly forward any written notice received by it from any Holders of the Notes to the Issuer and the Trustee.</w:t>
      </w:r>
    </w:p>
    <w:p>
      <w:pPr>
        <w:spacing w:after="0" w:line="381" w:lineRule="exact"/>
        <w:rPr>
          <w:sz w:val="20"/>
          <w:szCs w:val="20"/>
          <w:color w:val="auto"/>
        </w:rPr>
      </w:pPr>
    </w:p>
    <w:p>
      <w:pPr>
        <w:ind w:left="444" w:hanging="444"/>
        <w:spacing w:after="0"/>
        <w:tabs>
          <w:tab w:leader="none" w:pos="444"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OMMUNICATIONS</w:t>
      </w:r>
    </w:p>
    <w:p>
      <w:pPr>
        <w:spacing w:after="0" w:line="135" w:lineRule="exact"/>
        <w:rPr>
          <w:sz w:val="20"/>
          <w:szCs w:val="20"/>
          <w:color w:val="auto"/>
        </w:rPr>
      </w:pPr>
    </w:p>
    <w:p>
      <w:pPr>
        <w:ind w:left="444" w:right="180" w:hanging="439"/>
        <w:spacing w:after="0" w:line="259" w:lineRule="auto"/>
        <w:rPr>
          <w:sz w:val="20"/>
          <w:szCs w:val="20"/>
          <w:color w:val="auto"/>
        </w:rPr>
      </w:pPr>
      <w:r>
        <w:rPr>
          <w:rFonts w:ascii="Arial" w:cs="Arial" w:eastAsia="Arial" w:hAnsi="Arial"/>
          <w:sz w:val="18"/>
          <w:szCs w:val="18"/>
          <w:color w:val="auto"/>
        </w:rPr>
        <w:t>13.1 For the purposes of this clause, the address of each party at the date of this Agreement shall be the address set out below (including, where applicable, the details of the facsimile number, the person for whose attention the notice or communication is to be addressed and the email address), and each party may hereafter update its address by providing written notice thereof to each other party in accordance with the terms hereof:</w:t>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the Issuer:</w:t>
            </w:r>
          </w:p>
        </w:tc>
        <w:tc>
          <w:tcPr>
            <w:tcW w:w="2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Fiserv, Inc.</w:t>
            </w:r>
          </w:p>
        </w:tc>
        <w:tc>
          <w:tcPr>
            <w:tcW w:w="2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0"/>
        </w:trPr>
        <w:tc>
          <w:tcPr>
            <w:tcW w:w="3960" w:type="dxa"/>
            <w:vAlign w:val="bottom"/>
          </w:tcPr>
          <w:p>
            <w:pPr>
              <w:spacing w:after="0"/>
              <w:rPr>
                <w:sz w:val="20"/>
                <w:szCs w:val="20"/>
                <w:color w:val="auto"/>
              </w:rPr>
            </w:pPr>
            <w:r>
              <w:rPr>
                <w:rFonts w:ascii="Arial" w:cs="Arial" w:eastAsia="Arial" w:hAnsi="Arial"/>
                <w:sz w:val="18"/>
                <w:szCs w:val="18"/>
                <w:color w:val="auto"/>
              </w:rPr>
              <w:t>255 Fiserv Drive</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Email: Eric.Nelson@Fiserv.com</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Brookfield, Wisconsin 53045</w:t>
            </w:r>
          </w:p>
        </w:tc>
        <w:tc>
          <w:tcPr>
            <w:tcW w:w="2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Attention: SVP, General Counsel and Secretary</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Attention:</w:t>
            </w:r>
          </w:p>
        </w:tc>
        <w:tc>
          <w:tcPr>
            <w:tcW w:w="2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SVP, General Counsel and Secretary</w:t>
            </w:r>
          </w:p>
        </w:tc>
        <w:tc>
          <w:tcPr>
            <w:tcW w:w="2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3960" w:type="dxa"/>
            <w:vAlign w:val="bottom"/>
          </w:tcPr>
          <w:p>
            <w:pPr>
              <w:spacing w:after="0"/>
              <w:rPr>
                <w:sz w:val="20"/>
                <w:szCs w:val="20"/>
                <w:color w:val="auto"/>
              </w:rPr>
            </w:pPr>
            <w:r>
              <w:rPr>
                <w:rFonts w:ascii="Arial" w:cs="Arial" w:eastAsia="Arial" w:hAnsi="Arial"/>
                <w:sz w:val="18"/>
                <w:szCs w:val="18"/>
                <w:color w:val="auto"/>
                <w:w w:val="93"/>
              </w:rPr>
              <w:t>as may be amended from time to time in accordance</w:t>
            </w:r>
          </w:p>
        </w:tc>
        <w:tc>
          <w:tcPr>
            <w:tcW w:w="2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with this Agreement.</w:t>
            </w:r>
          </w:p>
        </w:tc>
        <w:tc>
          <w:tcPr>
            <w:tcW w:w="2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6"/>
        </w:trPr>
        <w:tc>
          <w:tcPr>
            <w:tcW w:w="3960" w:type="dxa"/>
            <w:vAlign w:val="bottom"/>
          </w:tcPr>
          <w:p>
            <w:pPr>
              <w:spacing w:after="0"/>
              <w:rPr>
                <w:sz w:val="20"/>
                <w:szCs w:val="20"/>
                <w:color w:val="auto"/>
              </w:rPr>
            </w:pPr>
            <w:r>
              <w:rPr>
                <w:rFonts w:ascii="Arial" w:cs="Arial" w:eastAsia="Arial" w:hAnsi="Arial"/>
                <w:sz w:val="18"/>
                <w:szCs w:val="18"/>
                <w:color w:val="auto"/>
              </w:rPr>
              <w:t>the Paying Agent:</w:t>
            </w:r>
          </w:p>
        </w:tc>
        <w:tc>
          <w:tcPr>
            <w:tcW w:w="2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Elavon Financial Services DAC, UK Branch</w:t>
            </w:r>
          </w:p>
        </w:tc>
        <w:tc>
          <w:tcPr>
            <w:tcW w:w="2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0"/>
        </w:trPr>
        <w:tc>
          <w:tcPr>
            <w:tcW w:w="3960" w:type="dxa"/>
            <w:vAlign w:val="bottom"/>
          </w:tcPr>
          <w:p>
            <w:pPr>
              <w:spacing w:after="0"/>
              <w:rPr>
                <w:sz w:val="20"/>
                <w:szCs w:val="20"/>
                <w:color w:val="auto"/>
              </w:rPr>
            </w:pPr>
            <w:r>
              <w:rPr>
                <w:rFonts w:ascii="Arial" w:cs="Arial" w:eastAsia="Arial" w:hAnsi="Arial"/>
                <w:sz w:val="18"/>
                <w:szCs w:val="18"/>
                <w:color w:val="auto"/>
              </w:rPr>
              <w:t>125 Old Broad Street, Fifth Floor</w:t>
            </w:r>
          </w:p>
        </w:tc>
        <w:tc>
          <w:tcPr>
            <w:tcW w:w="5480" w:type="dxa"/>
            <w:vAlign w:val="bottom"/>
            <w:gridSpan w:val="3"/>
          </w:tcPr>
          <w:p>
            <w:pPr>
              <w:ind w:left="2320"/>
              <w:spacing w:after="0"/>
              <w:rPr>
                <w:sz w:val="20"/>
                <w:szCs w:val="20"/>
                <w:color w:val="auto"/>
              </w:rPr>
            </w:pPr>
            <w:r>
              <w:rPr>
                <w:rFonts w:ascii="Arial" w:cs="Arial" w:eastAsia="Arial" w:hAnsi="Arial"/>
                <w:sz w:val="18"/>
                <w:szCs w:val="18"/>
                <w:color w:val="auto"/>
              </w:rPr>
              <w:t>Fax: +44 (0)207 365 2577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London</w:t>
            </w:r>
          </w:p>
        </w:tc>
        <w:tc>
          <w:tcPr>
            <w:tcW w:w="5480" w:type="dxa"/>
            <w:vAlign w:val="bottom"/>
            <w:gridSpan w:val="3"/>
          </w:tcPr>
          <w:p>
            <w:pPr>
              <w:ind w:left="2320"/>
              <w:spacing w:after="0"/>
              <w:rPr>
                <w:sz w:val="20"/>
                <w:szCs w:val="20"/>
                <w:color w:val="auto"/>
              </w:rPr>
            </w:pPr>
            <w:r>
              <w:rPr>
                <w:rFonts w:ascii="Arial" w:cs="Arial" w:eastAsia="Arial" w:hAnsi="Arial"/>
                <w:sz w:val="18"/>
                <w:szCs w:val="18"/>
                <w:color w:val="auto"/>
                <w:w w:val="90"/>
              </w:rPr>
              <w:t>Attention: Relationship Management Group</w:t>
            </w:r>
          </w:p>
        </w:tc>
      </w:tr>
      <w:tr>
        <w:trPr>
          <w:trHeight w:val="190"/>
        </w:trPr>
        <w:tc>
          <w:tcPr>
            <w:tcW w:w="3960" w:type="dxa"/>
            <w:vAlign w:val="bottom"/>
          </w:tcPr>
          <w:p>
            <w:pPr>
              <w:spacing w:after="0" w:line="190" w:lineRule="exact"/>
              <w:rPr>
                <w:sz w:val="20"/>
                <w:szCs w:val="20"/>
                <w:color w:val="auto"/>
              </w:rPr>
            </w:pPr>
            <w:r>
              <w:rPr>
                <w:rFonts w:ascii="Arial" w:cs="Arial" w:eastAsia="Arial" w:hAnsi="Arial"/>
                <w:sz w:val="18"/>
                <w:szCs w:val="18"/>
                <w:color w:val="auto"/>
              </w:rPr>
              <w:t>EC2N 1AR</w:t>
            </w:r>
          </w:p>
        </w:tc>
        <w:tc>
          <w:tcPr>
            <w:tcW w:w="5480" w:type="dxa"/>
            <w:vAlign w:val="bottom"/>
            <w:gridSpan w:val="3"/>
          </w:tcPr>
          <w:p>
            <w:pPr>
              <w:ind w:left="2320"/>
              <w:spacing w:after="0" w:line="190" w:lineRule="exact"/>
              <w:rPr>
                <w:sz w:val="20"/>
                <w:szCs w:val="20"/>
                <w:color w:val="auto"/>
              </w:rPr>
            </w:pPr>
            <w:r>
              <w:rPr>
                <w:rFonts w:ascii="Arial" w:cs="Arial" w:eastAsia="Arial" w:hAnsi="Arial"/>
                <w:sz w:val="18"/>
                <w:szCs w:val="18"/>
                <w:color w:val="auto"/>
              </w:rPr>
              <w:t>Email: CDRM@usbank.com</w:t>
            </w:r>
          </w:p>
        </w:tc>
      </w:tr>
      <w:tr>
        <w:trPr>
          <w:trHeight w:val="20"/>
        </w:trPr>
        <w:tc>
          <w:tcPr>
            <w:tcW w:w="3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United Kingdom</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may be amended from time to time in accordance with this Agreement.</w:t>
      </w:r>
    </w:p>
    <w:p>
      <w:pPr>
        <w:spacing w:after="0" w:line="185"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84"/>
          </w:cols>
          <w:pgMar w:left="436" w:top="486" w:right="679" w:bottom="1440" w:gutter="0" w:footer="0" w:header="0"/>
        </w:sectPr>
      </w:pPr>
    </w:p>
    <w:bookmarkStart w:id="60" w:name="page61"/>
    <w:bookmarkEnd w:id="60"/>
    <w:tbl>
      <w:tblPr>
        <w:tblLayout w:type="fixed"/>
        <w:tblInd w:w="4"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the Trustee and Security Registrar:</w:t>
            </w:r>
          </w:p>
        </w:tc>
        <w:tc>
          <w:tcPr>
            <w:tcW w:w="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59"/>
        </w:trPr>
        <w:tc>
          <w:tcPr>
            <w:tcW w:w="3840" w:type="dxa"/>
            <w:vAlign w:val="bottom"/>
          </w:tcPr>
          <w:p>
            <w:pPr>
              <w:spacing w:after="0"/>
              <w:rPr>
                <w:sz w:val="20"/>
                <w:szCs w:val="20"/>
                <w:color w:val="auto"/>
              </w:rPr>
            </w:pPr>
            <w:r>
              <w:rPr>
                <w:rFonts w:ascii="Arial" w:cs="Arial" w:eastAsia="Arial" w:hAnsi="Arial"/>
                <w:sz w:val="18"/>
                <w:szCs w:val="18"/>
                <w:color w:val="auto"/>
                <w:w w:val="99"/>
              </w:rPr>
              <w:t>U.S. Bank Trust Company, National Association</w:t>
            </w: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0"/>
        </w:trPr>
        <w:tc>
          <w:tcPr>
            <w:tcW w:w="3840" w:type="dxa"/>
            <w:vAlign w:val="bottom"/>
          </w:tcPr>
          <w:p>
            <w:pPr>
              <w:spacing w:after="0"/>
              <w:rPr>
                <w:sz w:val="20"/>
                <w:szCs w:val="20"/>
                <w:color w:val="auto"/>
              </w:rPr>
            </w:pPr>
            <w:r>
              <w:rPr>
                <w:rFonts w:ascii="Arial" w:cs="Arial" w:eastAsia="Arial" w:hAnsi="Arial"/>
                <w:sz w:val="18"/>
                <w:szCs w:val="18"/>
                <w:color w:val="auto"/>
              </w:rPr>
              <w:t>1555 N RiverCenter Drive, Suite 203</w:t>
            </w: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w w:val="91"/>
              </w:rPr>
              <w:t>Attention: Global Corporate Trust (Fiserv Debt Securities)</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Milwaukee, WI 53212</w:t>
            </w:r>
          </w:p>
        </w:tc>
        <w:tc>
          <w:tcPr>
            <w:tcW w:w="4540" w:type="dxa"/>
            <w:vAlign w:val="bottom"/>
            <w:gridSpan w:val="3"/>
          </w:tcPr>
          <w:p>
            <w:pPr>
              <w:ind w:left="340"/>
              <w:spacing w:after="0"/>
              <w:rPr>
                <w:sz w:val="20"/>
                <w:szCs w:val="20"/>
                <w:color w:val="auto"/>
              </w:rPr>
            </w:pPr>
            <w:r>
              <w:rPr>
                <w:rFonts w:ascii="Arial" w:cs="Arial" w:eastAsia="Arial" w:hAnsi="Arial"/>
                <w:sz w:val="18"/>
                <w:szCs w:val="18"/>
                <w:color w:val="auto"/>
              </w:rPr>
              <w:t>Telephone: (414) 905-5010</w:t>
            </w:r>
          </w:p>
        </w:tc>
      </w:tr>
      <w:tr>
        <w:trPr>
          <w:trHeight w:val="190"/>
        </w:trPr>
        <w:tc>
          <w:tcPr>
            <w:tcW w:w="3840" w:type="dxa"/>
            <w:vAlign w:val="bottom"/>
          </w:tcPr>
          <w:p>
            <w:pPr>
              <w:spacing w:after="0" w:line="190" w:lineRule="exact"/>
              <w:rPr>
                <w:sz w:val="20"/>
                <w:szCs w:val="20"/>
                <w:color w:val="auto"/>
              </w:rPr>
            </w:pPr>
            <w:r>
              <w:rPr>
                <w:rFonts w:ascii="Arial" w:cs="Arial" w:eastAsia="Arial" w:hAnsi="Arial"/>
                <w:sz w:val="18"/>
                <w:szCs w:val="18"/>
                <w:color w:val="auto"/>
              </w:rPr>
              <w:t>United States of America</w:t>
            </w:r>
          </w:p>
        </w:tc>
        <w:tc>
          <w:tcPr>
            <w:tcW w:w="4540" w:type="dxa"/>
            <w:vAlign w:val="bottom"/>
            <w:gridSpan w:val="3"/>
          </w:tcPr>
          <w:p>
            <w:pPr>
              <w:ind w:left="340"/>
              <w:spacing w:after="0" w:line="190" w:lineRule="exact"/>
              <w:rPr>
                <w:sz w:val="20"/>
                <w:szCs w:val="20"/>
                <w:color w:val="auto"/>
              </w:rPr>
            </w:pPr>
            <w:r>
              <w:rPr>
                <w:rFonts w:ascii="Arial" w:cs="Arial" w:eastAsia="Arial" w:hAnsi="Arial"/>
                <w:sz w:val="18"/>
                <w:szCs w:val="18"/>
                <w:color w:val="auto"/>
              </w:rPr>
              <w:t>Email: yvonne.siira@usbank.com</w:t>
            </w:r>
          </w:p>
        </w:tc>
      </w:tr>
      <w:tr>
        <w:trPr>
          <w:trHeight w:val="20"/>
        </w:trPr>
        <w:tc>
          <w:tcPr>
            <w:tcW w:w="3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as may be amended from time to time in accordance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the Base Indenture and the Supplemental Indenture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notified by the Issuer to the Paying Agent.</w:t>
      </w:r>
    </w:p>
    <w:p>
      <w:pPr>
        <w:spacing w:after="0" w:line="369" w:lineRule="exact"/>
        <w:rPr>
          <w:sz w:val="20"/>
          <w:szCs w:val="20"/>
          <w:color w:val="auto"/>
        </w:rPr>
      </w:pPr>
    </w:p>
    <w:p>
      <w:pPr>
        <w:ind w:left="444" w:hanging="444"/>
        <w:spacing w:after="0"/>
        <w:tabs>
          <w:tab w:leader="none" w:pos="444"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14.1  For the avoidance of doubt, this Agreement may be amended in writing by the parties hereto.</w:t>
      </w:r>
    </w:p>
    <w:p>
      <w:pPr>
        <w:spacing w:after="0" w:line="131" w:lineRule="exact"/>
        <w:rPr>
          <w:sz w:val="20"/>
          <w:szCs w:val="20"/>
          <w:color w:val="auto"/>
        </w:rPr>
      </w:pPr>
    </w:p>
    <w:p>
      <w:pPr>
        <w:ind w:left="444" w:hanging="439"/>
        <w:spacing w:after="0" w:line="296" w:lineRule="auto"/>
        <w:rPr>
          <w:sz w:val="20"/>
          <w:szCs w:val="20"/>
          <w:color w:val="auto"/>
        </w:rPr>
      </w:pPr>
      <w:r>
        <w:rPr>
          <w:rFonts w:ascii="Arial" w:cs="Arial" w:eastAsia="Arial" w:hAnsi="Arial"/>
          <w:sz w:val="16"/>
          <w:szCs w:val="16"/>
          <w:color w:val="auto"/>
        </w:rPr>
        <w:t xml:space="preserve">14.2 The Issuer shall provide to the Paying Agent a copy of any amendment to the Base Indenture or to the Supplemental Indenture as soon as reasonably practicable following such amendment taking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amendments or supplements to the Base Indenture or to the Supplemental Indenture that do not relate to the duties of the Paying Agent hereunder need not be provided. Where reference is made in this Agreement to the Base Indenture or the Supplemental Indenture, such reference shall, for the purposes of the Paying Agent’s rights and obligations under this Agreement only, be deemed to refer to the most recent version of such document provided to the Paying Agent by the Issuer.</w:t>
      </w:r>
    </w:p>
    <w:p>
      <w:pPr>
        <w:spacing w:after="0" w:line="306" w:lineRule="exact"/>
        <w:rPr>
          <w:sz w:val="20"/>
          <w:szCs w:val="20"/>
          <w:color w:val="auto"/>
        </w:rPr>
      </w:pPr>
    </w:p>
    <w:p>
      <w:pPr>
        <w:ind w:left="444" w:hanging="444"/>
        <w:spacing w:after="0"/>
        <w:tabs>
          <w:tab w:leader="none" w:pos="444"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AXES</w:t>
      </w:r>
    </w:p>
    <w:p>
      <w:pPr>
        <w:spacing w:after="0" w:line="121" w:lineRule="exact"/>
        <w:rPr>
          <w:sz w:val="20"/>
          <w:szCs w:val="20"/>
          <w:color w:val="auto"/>
        </w:rPr>
      </w:pPr>
    </w:p>
    <w:p>
      <w:pPr>
        <w:ind w:left="444" w:right="620"/>
        <w:spacing w:after="0" w:line="277" w:lineRule="auto"/>
        <w:rPr>
          <w:sz w:val="20"/>
          <w:szCs w:val="20"/>
          <w:color w:val="auto"/>
        </w:rPr>
      </w:pPr>
      <w:r>
        <w:rPr>
          <w:rFonts w:ascii="Arial" w:cs="Arial" w:eastAsia="Arial" w:hAnsi="Arial"/>
          <w:sz w:val="18"/>
          <w:szCs w:val="18"/>
          <w:color w:val="auto"/>
        </w:rPr>
        <w:t>The Issuer agrees to pay any and all stamp and other documentary taxes or duties which may be payable in connection with the execution, delivery, performance and enforcement of this Agreement.</w:t>
      </w:r>
    </w:p>
    <w:p>
      <w:pPr>
        <w:spacing w:after="0" w:line="315" w:lineRule="exact"/>
        <w:rPr>
          <w:sz w:val="20"/>
          <w:szCs w:val="20"/>
          <w:color w:val="auto"/>
        </w:rPr>
      </w:pPr>
    </w:p>
    <w:p>
      <w:pPr>
        <w:ind w:left="444" w:hanging="444"/>
        <w:spacing w:after="0"/>
        <w:tabs>
          <w:tab w:leader="none" w:pos="444"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EGULATORY</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p>
    <w:p>
      <w:pPr>
        <w:spacing w:after="0" w:line="131" w:lineRule="exact"/>
        <w:rPr>
          <w:sz w:val="20"/>
          <w:szCs w:val="20"/>
          <w:color w:val="auto"/>
        </w:rPr>
      </w:pPr>
    </w:p>
    <w:p>
      <w:pPr>
        <w:ind w:left="444" w:right="140" w:hanging="439"/>
        <w:spacing w:after="0" w:line="266" w:lineRule="auto"/>
        <w:rPr>
          <w:sz w:val="20"/>
          <w:szCs w:val="20"/>
          <w:color w:val="auto"/>
        </w:rPr>
      </w:pPr>
      <w:r>
        <w:rPr>
          <w:rFonts w:ascii="Arial" w:cs="Arial" w:eastAsia="Arial" w:hAnsi="Arial"/>
          <w:sz w:val="18"/>
          <w:szCs w:val="18"/>
          <w:color w:val="auto"/>
        </w:rPr>
        <w:t>16.1 The Paying Agent is authorised and regulated by the Central Bank of Ireland (“</w:t>
      </w:r>
      <w:r>
        <w:rPr>
          <w:rFonts w:ascii="Arial" w:cs="Arial" w:eastAsia="Arial" w:hAnsi="Arial"/>
          <w:sz w:val="18"/>
          <w:szCs w:val="18"/>
          <w:b w:val="1"/>
          <w:bCs w:val="1"/>
          <w:color w:val="auto"/>
        </w:rPr>
        <w:t>CBOI</w:t>
      </w:r>
      <w:r>
        <w:rPr>
          <w:rFonts w:ascii="Arial" w:cs="Arial" w:eastAsia="Arial" w:hAnsi="Arial"/>
          <w:sz w:val="18"/>
          <w:szCs w:val="18"/>
          <w:color w:val="auto"/>
        </w:rPr>
        <w:t>”). It is additionally authorised by the UK Prudential Regulation Authority (“</w:t>
      </w:r>
      <w:r>
        <w:rPr>
          <w:rFonts w:ascii="Arial" w:cs="Arial" w:eastAsia="Arial" w:hAnsi="Arial"/>
          <w:sz w:val="18"/>
          <w:szCs w:val="18"/>
          <w:b w:val="1"/>
          <w:bCs w:val="1"/>
          <w:color w:val="auto"/>
        </w:rPr>
        <w:t>PRA</w:t>
      </w:r>
      <w:r>
        <w:rPr>
          <w:rFonts w:ascii="Arial" w:cs="Arial" w:eastAsia="Arial" w:hAnsi="Arial"/>
          <w:sz w:val="18"/>
          <w:szCs w:val="18"/>
          <w:color w:val="auto"/>
        </w:rPr>
        <w:t>”) and its activities in the UK are subject to limited regulation by the UK Financial Conduct Authority (“</w:t>
      </w:r>
      <w:r>
        <w:rPr>
          <w:rFonts w:ascii="Arial" w:cs="Arial" w:eastAsia="Arial" w:hAnsi="Arial"/>
          <w:sz w:val="18"/>
          <w:szCs w:val="18"/>
          <w:b w:val="1"/>
          <w:bCs w:val="1"/>
          <w:color w:val="auto"/>
        </w:rPr>
        <w:t>FCA</w:t>
      </w:r>
      <w:r>
        <w:rPr>
          <w:rFonts w:ascii="Arial" w:cs="Arial" w:eastAsia="Arial" w:hAnsi="Arial"/>
          <w:sz w:val="18"/>
          <w:szCs w:val="18"/>
          <w:color w:val="auto"/>
        </w:rPr>
        <w:t>”) and the PRA.</w:t>
      </w:r>
    </w:p>
    <w:p>
      <w:pPr>
        <w:spacing w:after="0" w:line="85"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16.2  In connection with the worldwide effort against the funding of terrorism and money laundering activities, the Paying Agent may be required under</w:t>
      </w:r>
    </w:p>
    <w:p>
      <w:pPr>
        <w:spacing w:after="0" w:line="46" w:lineRule="exact"/>
        <w:rPr>
          <w:sz w:val="20"/>
          <w:szCs w:val="20"/>
          <w:color w:val="auto"/>
        </w:rPr>
      </w:pPr>
    </w:p>
    <w:p>
      <w:pPr>
        <w:ind w:left="444" w:right="120"/>
        <w:spacing w:after="0" w:line="273" w:lineRule="auto"/>
        <w:rPr>
          <w:sz w:val="20"/>
          <w:szCs w:val="20"/>
          <w:color w:val="auto"/>
        </w:rPr>
      </w:pPr>
      <w:r>
        <w:rPr>
          <w:rFonts w:ascii="Arial" w:cs="Arial" w:eastAsia="Arial" w:hAnsi="Arial"/>
          <w:sz w:val="17"/>
          <w:szCs w:val="17"/>
          <w:color w:val="auto"/>
        </w:rPr>
        <w:t>various national laws and regulations to which it is subject to obtain, verify and record information that identifies each person who opens an account with it. For a non-individual person such as a business entity, a charity, a trust or other legal entity the Paying Agent shall be entitled to ask for reasonable documentation to verify such entity’s formation and legal existence as well as financial statements, licenses, identification and authorisation documents from individuals claiming authority to represent the entity or other relevant documentation.</w:t>
      </w:r>
    </w:p>
    <w:p>
      <w:pPr>
        <w:spacing w:after="0" w:line="82" w:lineRule="exact"/>
        <w:rPr>
          <w:sz w:val="20"/>
          <w:szCs w:val="20"/>
          <w:color w:val="auto"/>
        </w:rPr>
      </w:pPr>
    </w:p>
    <w:p>
      <w:pPr>
        <w:ind w:left="444" w:right="120" w:hanging="439"/>
        <w:spacing w:after="0" w:line="257" w:lineRule="auto"/>
        <w:rPr>
          <w:sz w:val="20"/>
          <w:szCs w:val="20"/>
          <w:color w:val="auto"/>
        </w:rPr>
      </w:pPr>
      <w:r>
        <w:rPr>
          <w:rFonts w:ascii="Arial" w:cs="Arial" w:eastAsia="Arial" w:hAnsi="Arial"/>
          <w:sz w:val="18"/>
          <w:szCs w:val="18"/>
          <w:color w:val="auto"/>
        </w:rPr>
        <w:t>16.3 The parties to this Agreement acknowledge and agree that the obligations of the Paying Agent under this Agreement are limited by and subject to compliance by it with EU and US Federal anti-money laundering statutes and regulations. If the Paying Agent or any of its directors know or suspect that a payment is the proceeds of criminal conduct, such person is required to report such information to the applicable authorities and such report shall not be treated as a breach by such person of any confidentiality covenant or other restriction imposed on such person under this Agreement, by law or otherwise on the disclosure of information.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490" w:right="459" w:bottom="1440" w:gutter="0" w:footer="0" w:header="0"/>
        </w:sectPr>
      </w:pPr>
    </w:p>
    <w:bookmarkStart w:id="61" w:name="page62"/>
    <w:bookmarkEnd w:id="61"/>
    <w:p>
      <w:pPr>
        <w:ind w:left="440" w:hanging="43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16.4 Notwithstanding anything to the contrary in this Agreement or in any other agreement, arrangement, or understanding among any such parties, each party hereto acknowledges that any liability of any party arising under this Agreement or any such other document, to the extent such liability is unsecured or not otherwise exempted, may be subject to the write-down and conversion powers of a Resolution Authority and agrees and consents to, and acknowledges and agrees to be bound by:</w:t>
      </w:r>
    </w:p>
    <w:p>
      <w:pPr>
        <w:spacing w:after="0" w:line="92" w:lineRule="exact"/>
        <w:rPr>
          <w:sz w:val="20"/>
          <w:szCs w:val="20"/>
          <w:color w:val="auto"/>
        </w:rPr>
      </w:pPr>
    </w:p>
    <w:p>
      <w:pPr>
        <w:ind w:left="980" w:right="120" w:hanging="54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 Resolution Authority to any such liabilities arising hereunder which may be payable to it by any party hereto; and</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30" w:lineRule="exact"/>
        <w:rPr>
          <w:rFonts w:ascii="Arial" w:cs="Arial" w:eastAsia="Arial" w:hAnsi="Arial"/>
          <w:sz w:val="18"/>
          <w:szCs w:val="18"/>
          <w:color w:val="auto"/>
        </w:rPr>
      </w:pPr>
    </w:p>
    <w:p>
      <w:pPr>
        <w:ind w:left="1420" w:right="120" w:hanging="433"/>
        <w:spacing w:after="0" w:line="311" w:lineRule="auto"/>
        <w:tabs>
          <w:tab w:leader="none" w:pos="14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party, its parent undertaking, or a bridge institution that may be issued to it or otherwise conferred on it, and that such shares or other instruments of ownership will be accepted by it in lieu of any rights with respect to any such liability under this Agreement or any other agreement; or</w:t>
      </w:r>
    </w:p>
    <w:p>
      <w:pPr>
        <w:spacing w:after="0" w:line="54" w:lineRule="exact"/>
        <w:rPr>
          <w:rFonts w:ascii="Arial" w:cs="Arial" w:eastAsia="Arial" w:hAnsi="Arial"/>
          <w:sz w:val="16"/>
          <w:szCs w:val="16"/>
          <w:color w:val="auto"/>
        </w:rPr>
      </w:pPr>
    </w:p>
    <w:p>
      <w:pPr>
        <w:ind w:left="1420" w:right="760" w:hanging="433"/>
        <w:spacing w:after="0" w:line="277"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Resolution Authority.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 of this sub-clause 16.4, the following terms shall have the following meanings: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Resolution Authority.</w:t>
      </w:r>
    </w:p>
    <w:p>
      <w:pPr>
        <w:spacing w:after="0" w:line="117" w:lineRule="exact"/>
        <w:rPr>
          <w:sz w:val="20"/>
          <w:szCs w:val="20"/>
          <w:color w:val="auto"/>
        </w:rPr>
      </w:pPr>
    </w:p>
    <w:p>
      <w:pPr>
        <w:ind w:left="440" w:right="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Bail-In Legislation</w:t>
      </w:r>
      <w:r>
        <w:rPr>
          <w:rFonts w:ascii="Arial" w:cs="Arial" w:eastAsia="Arial" w:hAnsi="Arial"/>
          <w:sz w:val="17"/>
          <w:szCs w:val="17"/>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 In Legislation Schedule and in relation to any other state, any analogous law or regulation from time to time which requires contractual recognition of any Write-down and Conversion Powers contained in that law or regulation.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17" w:lineRule="exact"/>
        <w:rPr>
          <w:sz w:val="20"/>
          <w:szCs w:val="20"/>
          <w:color w:val="auto"/>
        </w:rPr>
      </w:pPr>
    </w:p>
    <w:p>
      <w:pPr>
        <w:ind w:left="440"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54" w:lineRule="exact"/>
        <w:rPr>
          <w:sz w:val="20"/>
          <w:szCs w:val="20"/>
          <w:color w:val="auto"/>
        </w:rPr>
      </w:pPr>
    </w:p>
    <w:p>
      <w:pPr>
        <w:ind w:left="44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Authority</w:t>
      </w:r>
      <w:r>
        <w:rPr>
          <w:rFonts w:ascii="Arial" w:cs="Arial" w:eastAsia="Arial" w:hAnsi="Arial"/>
          <w:sz w:val="18"/>
          <w:szCs w:val="18"/>
          <w:color w:val="auto"/>
        </w:rPr>
        <w:t>” means any public administrative authority or any person entrusted with public administrative authority to exercise any Write-down and Conversion Powers.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w:t>
      </w:r>
    </w:p>
    <w:p>
      <w:pPr>
        <w:spacing w:after="0" w:line="135" w:lineRule="exact"/>
        <w:rPr>
          <w:sz w:val="20"/>
          <w:szCs w:val="20"/>
          <w:color w:val="auto"/>
        </w:rPr>
      </w:pPr>
    </w:p>
    <w:p>
      <w:pPr>
        <w:ind w:left="980" w:right="120" w:hanging="54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75" w:lineRule="exact"/>
        <w:rPr>
          <w:rFonts w:ascii="Arial" w:cs="Arial" w:eastAsia="Arial" w:hAnsi="Arial"/>
          <w:sz w:val="18"/>
          <w:szCs w:val="18"/>
          <w:color w:val="auto"/>
        </w:rPr>
      </w:pPr>
    </w:p>
    <w:p>
      <w:pPr>
        <w:ind w:left="980" w:right="80" w:hanging="544"/>
        <w:spacing w:after="0" w:line="293"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powers under the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any similar or analogous powers under that Bail-In Legislation.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490" w:right="459" w:bottom="1440" w:gutter="0" w:footer="0" w:header="0"/>
        </w:sectPr>
      </w:pPr>
    </w:p>
    <w:bookmarkStart w:id="62" w:name="page63"/>
    <w:bookmarkEnd w:id="62"/>
    <w:p>
      <w:pPr>
        <w:ind w:left="444" w:hanging="444"/>
        <w:spacing w:after="0"/>
        <w:tabs>
          <w:tab w:leader="none" w:pos="444"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w:t>
      </w:r>
      <w:r>
        <w:rPr>
          <w:rFonts w:ascii="Arial" w:cs="Arial" w:eastAsia="Arial" w:hAnsi="Arial"/>
          <w:sz w:val="14"/>
          <w:szCs w:val="14"/>
          <w:b w:val="1"/>
          <w:bCs w:val="1"/>
          <w:color w:val="auto"/>
        </w:rPr>
        <w:t>OVERNING LAW AND JURISDICTION</w:t>
      </w:r>
    </w:p>
    <w:p>
      <w:pPr>
        <w:spacing w:after="0" w:line="135" w:lineRule="exact"/>
        <w:rPr>
          <w:sz w:val="20"/>
          <w:szCs w:val="20"/>
          <w:color w:val="auto"/>
        </w:rPr>
      </w:pPr>
    </w:p>
    <w:p>
      <w:pPr>
        <w:ind w:left="444" w:right="20" w:hanging="439"/>
        <w:spacing w:after="0" w:line="277" w:lineRule="auto"/>
        <w:rPr>
          <w:sz w:val="20"/>
          <w:szCs w:val="20"/>
          <w:color w:val="auto"/>
        </w:rPr>
      </w:pPr>
      <w:r>
        <w:rPr>
          <w:rFonts w:ascii="Arial" w:cs="Arial" w:eastAsia="Arial" w:hAnsi="Arial"/>
          <w:sz w:val="18"/>
          <w:szCs w:val="18"/>
          <w:color w:val="auto"/>
        </w:rPr>
        <w:t>17.1 This Agreement shall be construed and enforced in accordance with, and the rights of the parties shall be governed by, the law of the State of New York.</w:t>
      </w:r>
    </w:p>
    <w:p>
      <w:pPr>
        <w:spacing w:after="0" w:line="76" w:lineRule="exact"/>
        <w:rPr>
          <w:sz w:val="20"/>
          <w:szCs w:val="20"/>
          <w:color w:val="auto"/>
        </w:rPr>
      </w:pPr>
    </w:p>
    <w:p>
      <w:pPr>
        <w:ind w:left="444" w:hanging="439"/>
        <w:spacing w:after="0" w:line="293" w:lineRule="auto"/>
        <w:rPr>
          <w:sz w:val="20"/>
          <w:szCs w:val="20"/>
          <w:color w:val="auto"/>
        </w:rPr>
      </w:pPr>
      <w:r>
        <w:rPr>
          <w:rFonts w:ascii="Arial" w:cs="Arial" w:eastAsia="Arial" w:hAnsi="Arial"/>
          <w:sz w:val="16"/>
          <w:szCs w:val="16"/>
          <w:color w:val="auto"/>
        </w:rPr>
        <w:t>17.2 Each of the Paying Agent, the Issuer and the Trustee and Security Registrar irrevocably submits to the non-exclusive jurisdiction of any New York State or federal court sitting in the Borough of Manhattan, The City of New York, over any suit, action or proceeding arising out of or relating to this Agreement. To the fullest extent permitted by applicable law, each of the Paying Agent, the Trustee and Security Registrar and the Issuer irrevocably waives and agrees not to assert, by way of motion, as a defence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70" w:lineRule="exact"/>
        <w:rPr>
          <w:sz w:val="20"/>
          <w:szCs w:val="20"/>
          <w:color w:val="auto"/>
        </w:rPr>
      </w:pPr>
    </w:p>
    <w:p>
      <w:pPr>
        <w:ind w:left="444" w:right="100" w:hanging="439"/>
        <w:spacing w:after="0" w:line="279" w:lineRule="auto"/>
        <w:rPr>
          <w:sz w:val="20"/>
          <w:szCs w:val="20"/>
          <w:color w:val="auto"/>
        </w:rPr>
      </w:pPr>
      <w:r>
        <w:rPr>
          <w:rFonts w:ascii="Arial" w:cs="Arial" w:eastAsia="Arial" w:hAnsi="Arial"/>
          <w:sz w:val="17"/>
          <w:szCs w:val="17"/>
          <w:color w:val="auto"/>
        </w:rPr>
        <w:t>17.3 Each of the Paying Agent, the Trustee and Security Registrar and the Issuer agrees, to the fullest extent permitted by applicable law, that a final judgment in any suit, action or proceeding of the nature referred to in clause 17.2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77" w:lineRule="exact"/>
        <w:rPr>
          <w:sz w:val="20"/>
          <w:szCs w:val="20"/>
          <w:color w:val="auto"/>
        </w:rPr>
      </w:pPr>
    </w:p>
    <w:p>
      <w:pPr>
        <w:ind w:left="444" w:right="1060" w:hanging="439"/>
        <w:spacing w:after="0" w:line="277" w:lineRule="auto"/>
        <w:rPr>
          <w:sz w:val="20"/>
          <w:szCs w:val="20"/>
          <w:color w:val="auto"/>
        </w:rPr>
      </w:pPr>
      <w:r>
        <w:rPr>
          <w:rFonts w:ascii="Arial" w:cs="Arial" w:eastAsia="Arial" w:hAnsi="Arial"/>
          <w:sz w:val="18"/>
          <w:szCs w:val="18"/>
          <w:color w:val="auto"/>
        </w:rPr>
        <w:t>17.4 THE PARTIES HERETO HEREBY WAIVE TRIAL BY JURY IN ANY ACTION BROUGHT ON OR WITH RESPECT TO THIS AGREEMENT.</w:t>
      </w:r>
    </w:p>
    <w:p>
      <w:pPr>
        <w:spacing w:after="0" w:line="315" w:lineRule="exact"/>
        <w:rPr>
          <w:sz w:val="20"/>
          <w:szCs w:val="20"/>
          <w:color w:val="auto"/>
        </w:rPr>
      </w:pPr>
    </w:p>
    <w:p>
      <w:pPr>
        <w:ind w:left="444" w:hanging="444"/>
        <w:spacing w:after="0"/>
        <w:tabs>
          <w:tab w:leader="none" w:pos="444"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OUNTERPARTS</w:t>
      </w:r>
    </w:p>
    <w:p>
      <w:pPr>
        <w:spacing w:after="0" w:line="121" w:lineRule="exact"/>
        <w:rPr>
          <w:sz w:val="20"/>
          <w:szCs w:val="20"/>
          <w:color w:val="auto"/>
        </w:rPr>
      </w:pPr>
    </w:p>
    <w:p>
      <w:pPr>
        <w:ind w:left="444" w:right="40"/>
        <w:spacing w:after="0" w:line="279" w:lineRule="auto"/>
        <w:rPr>
          <w:sz w:val="20"/>
          <w:szCs w:val="20"/>
          <w:color w:val="auto"/>
        </w:rPr>
      </w:pPr>
      <w:r>
        <w:rPr>
          <w:rFonts w:ascii="Arial" w:cs="Arial" w:eastAsia="Arial" w:hAnsi="Arial"/>
          <w:sz w:val="17"/>
          <w:szCs w:val="17"/>
          <w:color w:val="auto"/>
        </w:rPr>
        <w:t xml:space="preserve">This Agreement may be executed in any number of counterparts, each of which when executed and delivered shall be an original, but all of which when taken together shall constitute a single instrument. Counterparts may be delivered via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xml:space="preserve">, </w:t>
      </w:r>
      <w:r>
        <w:rPr>
          <w:rFonts w:ascii="Arial" w:cs="Arial" w:eastAsia="Arial" w:hAnsi="Arial"/>
          <w:sz w:val="17"/>
          <w:szCs w:val="17"/>
          <w:u w:val="single" w:color="auto"/>
          <w:color w:val="auto"/>
        </w:rPr>
        <w:t>www.docusign.com</w:t>
      </w:r>
      <w:r>
        <w:rPr>
          <w:rFonts w:ascii="Arial" w:cs="Arial" w:eastAsia="Arial" w:hAnsi="Arial"/>
          <w:sz w:val="17"/>
          <w:szCs w:val="17"/>
          <w:color w:val="auto"/>
        </w:rPr>
        <w:t>) or other transmission method and any counterpart so delivered shall be deemed to have been duly and validly delivered and be valid and effective for all purposes.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 WITNESS</w:t>
      </w:r>
      <w:r>
        <w:rPr>
          <w:rFonts w:ascii="Arial" w:cs="Arial" w:eastAsia="Arial" w:hAnsi="Arial"/>
          <w:sz w:val="18"/>
          <w:szCs w:val="18"/>
          <w:b w:val="1"/>
          <w:bCs w:val="1"/>
          <w:color w:val="auto"/>
        </w:rPr>
        <w:t xml:space="preserve"> </w:t>
      </w:r>
      <w:r>
        <w:rPr>
          <w:rFonts w:ascii="Arial" w:cs="Arial" w:eastAsia="Arial" w:hAnsi="Arial"/>
          <w:sz w:val="18"/>
          <w:szCs w:val="18"/>
          <w:color w:val="auto"/>
        </w:rPr>
        <w:t>the hands of the parties or their duly authorised agents the day and year first above written.</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486" w:right="479" w:bottom="1440" w:gutter="0" w:footer="0" w:header="0"/>
        </w:sectPr>
      </w:pPr>
    </w:p>
    <w:bookmarkStart w:id="63" w:name="page64"/>
    <w:bookmarkEnd w:id="63"/>
    <w:p>
      <w:pPr>
        <w:jc w:val="right"/>
        <w:ind w:right="39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w:t>
      </w:r>
      <w:r>
        <w:rPr>
          <w:rFonts w:ascii="Arial" w:cs="Arial" w:eastAsia="Arial" w:hAnsi="Arial"/>
          <w:sz w:val="14"/>
          <w:szCs w:val="14"/>
          <w:b w:val="1"/>
          <w:bCs w:val="1"/>
          <w:color w:val="auto"/>
        </w:rPr>
        <w:t>IGNATORIES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W. Hau</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Robert W. Hau</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19"/>
          </w:cols>
          <w:pgMar w:left="440" w:top="486"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w:t>
      </w:r>
      <w:r>
        <w:rPr>
          <w:rFonts w:ascii="Arial" w:cs="Arial" w:eastAsia="Arial" w:hAnsi="Arial"/>
          <w:sz w:val="14"/>
          <w:szCs w:val="14"/>
          <w:b w:val="1"/>
          <w:bCs w:val="1"/>
          <w:color w:val="auto"/>
        </w:rPr>
        <w:t>AYING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 Hobbs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Chris Hobbs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Authorised Signatory</w:t>
            </w:r>
          </w:p>
        </w:tc>
      </w:tr>
    </w:tbl>
    <w:p>
      <w:pPr>
        <w:spacing w:after="0" w:line="1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19"/>
          </w:cols>
          <w:pgMar w:left="440" w:top="486" w:right="1440"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w:t>
      </w:r>
      <w:r>
        <w:rPr>
          <w:rFonts w:ascii="Arial" w:cs="Arial" w:eastAsia="Arial" w:hAnsi="Arial"/>
          <w:sz w:val="14"/>
          <w:szCs w:val="14"/>
          <w:b w:val="1"/>
          <w:bCs w:val="1"/>
          <w:color w:val="auto"/>
        </w:rPr>
        <w:t>RUSTEE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EGISTRAR</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Yvonne Siira</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Yvonne Siira</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19"/>
          </w:cols>
          <w:pgMar w:left="440" w:top="486" w:right="1440"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Base Indenture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019"/>
          </w:cols>
          <w:pgMar w:left="1440" w:top="486"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Twenty-Ninth Supplemental Indenture</w:t>
      </w:r>
    </w:p>
    <w:p>
      <w:pPr>
        <w:sectPr>
          <w:pgSz w:w="11900" w:h="16838" w:orient="portrait"/>
          <w:cols w:equalWidth="0" w:num="1">
            <w:col w:w="9019"/>
          </w:cols>
          <w:pgMar w:left="1440" w:top="486"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[Attached]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486" w:right="1440"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Fiserv,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255 Fiserv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Brookfield, Wisconsin 53045.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In connection with the registration under the Securities Act of 1933 (the “Act”) of €800,000,000 aggregate principal amount of the 4.500% Senior Notes due 2031 (the “Securities”) of Fiserv, Inc., a Wisconsin corporation (the “Company”), we, as your counsel, have examined such corporate records, certificates and other documents, and such questions of law, as we have considered necessary or appropriate for the purposes of this opinion.</w:t>
      </w:r>
    </w:p>
    <w:p>
      <w:pPr>
        <w:spacing w:after="0" w:line="149"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Upon the basis of such examination, it is our opinion that the Securities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84"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In rendering the foregoing opinion, we are expressing no opinion as to Federal or state laws relating to fraudulent transfers and we are not passing upon, and assume no responsibility for, any disclosure in any registration statement or any related prospectus or other offering material relating to the offer and sale of the Securities.</w:t>
      </w:r>
    </w:p>
    <w:p>
      <w:pPr>
        <w:spacing w:after="0" w:line="184"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The foregoing opinion is limited to the Federal laws of the United States and the laws of the State of New York, and we are expressing no opinion as to the effect of the laws of any other jurisdiction. With respect to all matters of Wisconsin law, we note that you have received an opinion, dated May 24, 2023 of Eric Nelson, the Company’s SVP, General Counsel and Secretary. In rendering the foregoing opinion, we have assumed, without independent verification, that the Company is an existing corporation in good standing under Wisconsin law, and that the Securities have been duly authorized, executed and delivered under Wisconsin law.</w:t>
      </w:r>
    </w:p>
    <w:p>
      <w:pPr>
        <w:sectPr>
          <w:pgSz w:w="11900" w:h="16838" w:orient="portrait"/>
          <w:cols w:equalWidth="0" w:num="1">
            <w:col w:w="11020"/>
          </w:cols>
          <w:pgMar w:left="440" w:top="121" w:right="4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Fiserv, Inc.</w:t>
            </w:r>
          </w:p>
        </w:tc>
        <w:tc>
          <w:tcPr>
            <w:tcW w:w="52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right="100" w:firstLine="991"/>
        <w:spacing w:after="0" w:line="296" w:lineRule="auto"/>
        <w:rPr>
          <w:sz w:val="20"/>
          <w:szCs w:val="20"/>
          <w:color w:val="auto"/>
        </w:rPr>
      </w:pPr>
      <w:r>
        <w:rPr>
          <w:rFonts w:ascii="Arial" w:cs="Arial" w:eastAsia="Arial" w:hAnsi="Arial"/>
          <w:sz w:val="16"/>
          <w:szCs w:val="16"/>
          <w:color w:val="auto"/>
        </w:rPr>
        <w:t>We note that, as of the date of this opinion, a judgment for money in an action based on a Security denominated in euro in a Federal or state court in the United States ordinarily would be enforced in the United States only in United States dollars. The date used to determine the rate of conversion of the euro into United States dollars will depend upon various factors, including which court renders the judgment. Under Section 27 of the New York Judiciary Law, a state court in the State of New York rendering a judgment on a Security would be required to render such judgment in euro, and such judgment would be converted into United States dollars at the exchange rate prevailing on the date of entry of the judgment.</w:t>
      </w:r>
    </w:p>
    <w:p>
      <w:pPr>
        <w:spacing w:after="0" w:line="161" w:lineRule="exact"/>
        <w:rPr>
          <w:sz w:val="20"/>
          <w:szCs w:val="20"/>
          <w:color w:val="auto"/>
        </w:rPr>
      </w:pPr>
    </w:p>
    <w:p>
      <w:pPr>
        <w:ind w:right="280" w:firstLine="991"/>
        <w:spacing w:after="0" w:line="259" w:lineRule="auto"/>
        <w:rPr>
          <w:sz w:val="20"/>
          <w:szCs w:val="20"/>
          <w:color w:val="auto"/>
        </w:rPr>
      </w:pPr>
      <w:r>
        <w:rPr>
          <w:rFonts w:ascii="Arial" w:cs="Arial" w:eastAsia="Arial" w:hAnsi="Arial"/>
          <w:sz w:val="18"/>
          <w:szCs w:val="18"/>
          <w:color w:val="auto"/>
        </w:rPr>
        <w:t>We have relied as to certain factual matters on information obtained from public officials, officers of the Company and other sources believed by us to be responsible, and we have assumed that the Indenture, dated as of November 20, 2007, and the Twenty-Ninth Supplemental Indenture, dated as of May 24, 2023, have been duly authorized, executed and delivered by the Trustee thereunder, an assumption which we have not independently verified.</w:t>
      </w:r>
    </w:p>
    <w:p>
      <w:pPr>
        <w:spacing w:after="0" w:line="187"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us under the heading “Validity of the Notes” in the Prospectus Supplement relating to the Securities, dated May 17, 2023. In giving such consent, we do not thereby admit that we are in the category of persons whose consent is required under Section 7 of the Act.</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Sullivan &amp; Cromwell LLP</w:t>
      </w:r>
    </w:p>
    <w:p>
      <w:pPr>
        <w:sectPr>
          <w:pgSz w:w="11900" w:h="16838" w:orient="portrait"/>
          <w:cols w:equalWidth="0" w:num="1">
            <w:col w:w="11020"/>
          </w:cols>
          <w:pgMar w:left="440" w:top="490" w:right="4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5.2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24,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Fiserv, Inc.,</w:t>
      </w:r>
    </w:p>
    <w:p>
      <w:pPr>
        <w:spacing w:after="0" w:line="23" w:lineRule="exact"/>
        <w:rPr>
          <w:sz w:val="20"/>
          <w:szCs w:val="20"/>
          <w:color w:val="auto"/>
        </w:rPr>
      </w:pPr>
    </w:p>
    <w:p>
      <w:pPr>
        <w:ind w:left="184"/>
        <w:spacing w:after="0"/>
        <w:rPr>
          <w:sz w:val="20"/>
          <w:szCs w:val="20"/>
          <w:color w:val="auto"/>
        </w:rPr>
      </w:pPr>
      <w:r>
        <w:rPr>
          <w:rFonts w:ascii="Arial" w:cs="Arial" w:eastAsia="Arial" w:hAnsi="Arial"/>
          <w:sz w:val="18"/>
          <w:szCs w:val="18"/>
          <w:color w:val="auto"/>
        </w:rPr>
        <w:t>255 Fiserv Drive,</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Brookfield, Wisconsin 53045.</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In connection with the registration under the Securities Act of 1933 (the “Act”) of €800,000,000 aggregate principal amount of the 4.500% Senior Notes due 2031 (the “Securities”) of Fiserv, Inc., a Wisconsin corporation (the “Company”), I, as SVP, General Counsel and Secretary of the Company, have examined such corporate records, certificates and other documents, and such questions of law, as I have considered necessary or appropriate for the purposes of this opinion.</w:t>
      </w:r>
    </w:p>
    <w:p>
      <w:pPr>
        <w:spacing w:after="0" w:line="187" w:lineRule="exact"/>
        <w:rPr>
          <w:sz w:val="20"/>
          <w:szCs w:val="20"/>
          <w:color w:val="auto"/>
        </w:rPr>
      </w:pPr>
    </w:p>
    <w:p>
      <w:pPr>
        <w:ind w:left="4" w:right="380" w:firstLine="991"/>
        <w:spacing w:after="0" w:line="287" w:lineRule="auto"/>
        <w:rPr>
          <w:sz w:val="20"/>
          <w:szCs w:val="20"/>
          <w:color w:val="auto"/>
        </w:rPr>
      </w:pPr>
      <w:r>
        <w:rPr>
          <w:rFonts w:ascii="Arial" w:cs="Arial" w:eastAsia="Arial" w:hAnsi="Arial"/>
          <w:sz w:val="16"/>
          <w:szCs w:val="16"/>
          <w:color w:val="auto"/>
        </w:rPr>
        <w:t>Upon the basis of such examination, it is my opinion that, (a) based solely on a Certificate of Status of the Wisconsin Department of Financial Institutions, the Company is a corporation validly existing under the laws of the State of Wisconsin, (b) the Securities have been duly authorized by all proper and necessary corporate action in respect of the Company and have been duly executed and delivered by the Company, and</w:t>
      </w:r>
    </w:p>
    <w:p>
      <w:pPr>
        <w:spacing w:after="0" w:line="2" w:lineRule="exact"/>
        <w:rPr>
          <w:sz w:val="20"/>
          <w:szCs w:val="20"/>
          <w:color w:val="auto"/>
        </w:rPr>
      </w:pPr>
    </w:p>
    <w:p>
      <w:pPr>
        <w:ind w:left="4" w:right="120" w:hanging="4"/>
        <w:spacing w:after="0" w:line="290" w:lineRule="auto"/>
        <w:tabs>
          <w:tab w:leader="none" w:pos="249"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Securities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61"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I note that, as of the date of this opinion, a judgment for money in an action based on the Securities in a Federal or state court in the United States ordinarily would be enforced in the United States only in United States dollars. The date used to determine the rate of conversion of the foreign currency or currency unit in which a particular Security is denominated into United States dollars will depend upon various factors, including which court renders the judgment.</w:t>
      </w:r>
    </w:p>
    <w:p>
      <w:pPr>
        <w:spacing w:after="0" w:line="187"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In rendering the foregoing opinion, I am expressing no opinion as to Federal or state laws relating to fraudulent transfers and I am not passing upon, and assume no responsibility for, any disclosure in any registration statement or any related prospectus or other offering material relating to the offer and sale of the Securities.</w:t>
      </w:r>
    </w:p>
    <w:p>
      <w:pPr>
        <w:spacing w:after="0" w:line="184" w:lineRule="exact"/>
        <w:rPr>
          <w:sz w:val="20"/>
          <w:szCs w:val="20"/>
          <w:color w:val="auto"/>
        </w:rPr>
      </w:pPr>
    </w:p>
    <w:p>
      <w:pPr>
        <w:ind w:left="4" w:right="280" w:firstLine="991"/>
        <w:spacing w:after="0" w:line="263" w:lineRule="auto"/>
        <w:rPr>
          <w:sz w:val="20"/>
          <w:szCs w:val="20"/>
          <w:color w:val="auto"/>
        </w:rPr>
      </w:pPr>
      <w:r>
        <w:rPr>
          <w:rFonts w:ascii="Arial" w:cs="Arial" w:eastAsia="Arial" w:hAnsi="Arial"/>
          <w:sz w:val="18"/>
          <w:szCs w:val="18"/>
          <w:color w:val="auto"/>
        </w:rPr>
        <w:t>The foregoing opinion is limited to the laws of the State of Wisconsin and I am expressing no opinion as to the effect of the laws of any other jurisdiction. With respect to all matters of the laws of the State of New York, I note that you have received an opinion, dated May 24, 2023 of Sullivan &amp; Cromwell LLP, the Company’s outside counsel.</w:t>
      </w:r>
    </w:p>
    <w:p>
      <w:pPr>
        <w:sectPr>
          <w:pgSz w:w="11900" w:h="16838" w:orient="portrait"/>
          <w:cols w:equalWidth="0" w:num="1">
            <w:col w:w="11024"/>
          </w:cols>
          <w:pgMar w:left="436" w:top="121" w:right="4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Fiserv, Inc.</w:t>
            </w:r>
          </w:p>
        </w:tc>
        <w:tc>
          <w:tcPr>
            <w:tcW w:w="52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right="120" w:firstLine="991"/>
        <w:spacing w:after="0" w:line="263" w:lineRule="auto"/>
        <w:rPr>
          <w:sz w:val="20"/>
          <w:szCs w:val="20"/>
          <w:color w:val="auto"/>
        </w:rPr>
      </w:pPr>
      <w:r>
        <w:rPr>
          <w:rFonts w:ascii="Arial" w:cs="Arial" w:eastAsia="Arial" w:hAnsi="Arial"/>
          <w:sz w:val="18"/>
          <w:szCs w:val="18"/>
          <w:color w:val="auto"/>
        </w:rPr>
        <w:t>I have relied as to certain factual matters on information obtained from public officials, officers of the Company and other sources believed by me to be responsible, and I have assumed that the Indenture has been duly authorized, executed and delivered by the Trustee thereunder, an assumption which I have not independently verified.</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I hereby consent to the filing of this opinion as an exhibit to the Registration Statement and to the references to me under the heading “Validity of the Notes” in the Prospectus Supplement relating to the Securities, dated May 17, 2023. In giving such consent, I do not thereby admit that I am in the category of persons whose consent is required under Section 7 of the Act.</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Eric Nelson</w:t>
      </w:r>
    </w:p>
    <w:sectPr>
      <w:pgSz w:w="11900" w:h="16838" w:orient="portrait"/>
      <w:cols w:equalWidth="0" w:num="1">
        <w:col w:w="11020"/>
      </w:cols>
      <w:pgMar w:left="440" w:top="49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1)"/>
      <w:numFmt w:val="lowerLetter"/>
      <w:start w:val="2"/>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2"/>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3"/>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3"/>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4"/>
    </w:lvl>
  </w:abstractNum>
  <w:abstractNum w:abstractNumId="11">
    <w:nsid w:val="3855585C"/>
    <w:multiLevelType w:val="hybridMultilevel"/>
    <w:lvl w:ilvl="0">
      <w:lvlJc w:val="left"/>
      <w:lvlText w:val="%1."/>
      <w:numFmt w:val="decimal"/>
      <w:start w:val="8"/>
    </w:lvl>
  </w:abstractNum>
  <w:abstractNum w:abstractNumId="12">
    <w:nsid w:val="70A64E2A"/>
    <w:multiLevelType w:val="hybridMultilevel"/>
    <w:lvl w:ilvl="0">
      <w:lvlJc w:val="left"/>
      <w:lvlText w:val="%1."/>
      <w:numFmt w:val="decimal"/>
      <w:start w:val="10"/>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4"/>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lowerLetter"/>
      <w:start w:val="1"/>
    </w:lvl>
    <w:lvl w:ilvl="1">
      <w:lvlJc w:val="left"/>
      <w:lvlText w:val="(%2)"/>
      <w:numFmt w:val="decimal"/>
      <w:start w:val="1"/>
    </w:lvl>
  </w:abstractNum>
  <w:abstractNum w:abstractNumId="18">
    <w:nsid w:val="57E4CCAF"/>
    <w:multiLevelType w:val="hybridMultilevel"/>
    <w:lvl w:ilvl="0">
      <w:lvlJc w:val="left"/>
      <w:lvlText w:val="(%1)"/>
      <w:numFmt w:val="lowerLetter"/>
      <w:start w:val="2"/>
    </w:lvl>
    <w:lvl w:ilvl="1">
      <w:lvlJc w:val="left"/>
      <w:lvlText w:val="(%2)"/>
      <w:numFmt w:val="decimal"/>
      <w:start w:val="2"/>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4"/>
    </w:lvl>
  </w:abstractNum>
  <w:abstractNum w:abstractNumId="21">
    <w:nsid w:val="542289EC"/>
    <w:multiLevelType w:val="hybridMultilevel"/>
    <w:lvl w:ilvl="0">
      <w:lvlJc w:val="left"/>
      <w:lvlText w:val="(%1)"/>
      <w:numFmt w:val="lowerRoman"/>
      <w:start w:val="1"/>
    </w:lvl>
  </w:abstractNum>
  <w:abstractNum w:abstractNumId="22">
    <w:nsid w:val="6DE91B18"/>
    <w:multiLevelType w:val="hybridMultilevel"/>
    <w:lvl w:ilvl="0">
      <w:lvlJc w:val="left"/>
      <w:lvlText w:val="(%1)"/>
      <w:numFmt w:val="decimal"/>
      <w:start w:val="5"/>
    </w:lvl>
  </w:abstractNum>
  <w:abstractNum w:abstractNumId="23">
    <w:nsid w:val="38437FDB"/>
    <w:multiLevelType w:val="hybridMultilevel"/>
    <w:lvl w:ilvl="0">
      <w:lvlJc w:val="left"/>
      <w:lvlText w:val="(%1)"/>
      <w:numFmt w:val="decimal"/>
      <w:start w:val="7"/>
    </w:lvl>
  </w:abstractNum>
  <w:abstractNum w:abstractNumId="24">
    <w:nsid w:val="7644A45C"/>
    <w:multiLevelType w:val="hybridMultilevel"/>
    <w:lvl w:ilvl="0">
      <w:lvlJc w:val="left"/>
      <w:lvlText w:val="%1"/>
      <w:numFmt w:val="lowerRoman"/>
      <w:start w:val="1"/>
    </w:lvl>
    <w:lvl w:ilvl="1">
      <w:lvlJc w:val="left"/>
      <w:lvlText w:val="(%2)"/>
      <w:numFmt w:val="decimal"/>
      <w:start w:val="1"/>
    </w:lvl>
  </w:abstractNum>
  <w:abstractNum w:abstractNumId="25">
    <w:nsid w:val="32FFF902"/>
    <w:multiLevelType w:val="hybridMultilevel"/>
    <w:lvl w:ilvl="0">
      <w:lvlJc w:val="left"/>
      <w:lvlText w:val="(%1)"/>
      <w:numFmt w:val="lowerRoman"/>
      <w:start w:val="2"/>
    </w:lvl>
    <w:lvl w:ilvl="1">
      <w:lvlJc w:val="left"/>
      <w:lvlText w:val="(%2)"/>
      <w:numFmt w:val="decimal"/>
      <w:start w:val="4"/>
    </w:lvl>
  </w:abstractNum>
  <w:abstractNum w:abstractNumId="26">
    <w:nsid w:val="684A481A"/>
    <w:multiLevelType w:val="hybridMultilevel"/>
    <w:lvl w:ilvl="0">
      <w:lvlJc w:val="left"/>
      <w:lvlText w:val="%1"/>
      <w:numFmt w:val="lowerLetter"/>
      <w:start w:val="1"/>
    </w:lvl>
    <w:lvl w:ilvl="1">
      <w:lvlJc w:val="left"/>
      <w:lvlText w:val="(%2)"/>
      <w:numFmt w:val="decimal"/>
      <w:start w:val="10"/>
    </w:lvl>
  </w:abstractNum>
  <w:abstractNum w:abstractNumId="27">
    <w:nsid w:val="579478FE"/>
    <w:multiLevelType w:val="hybridMultilevel"/>
    <w:lvl w:ilvl="0">
      <w:lvlJc w:val="left"/>
      <w:lvlText w:val="(%1)"/>
      <w:numFmt w:val="lowerLetter"/>
      <w:start w:val="2"/>
    </w:lvl>
    <w:lvl w:ilvl="1">
      <w:lvlJc w:val="left"/>
      <w:lvlText w:val="(%2)"/>
      <w:numFmt w:val="decimal"/>
      <w:start w:val="15"/>
    </w:lvl>
  </w:abstractNum>
  <w:abstractNum w:abstractNumId="28">
    <w:nsid w:val="749ABB43"/>
    <w:multiLevelType w:val="hybridMultilevel"/>
    <w:lvl w:ilvl="0">
      <w:lvlJc w:val="left"/>
      <w:lvlText w:val="(%1)"/>
      <w:numFmt w:val="decimal"/>
      <w:start w:val="17"/>
    </w:lvl>
  </w:abstractNum>
  <w:abstractNum w:abstractNumId="29">
    <w:nsid w:val="3DC240FB"/>
    <w:multiLevelType w:val="hybridMultilevel"/>
    <w:lvl w:ilvl="0">
      <w:lvlJc w:val="left"/>
      <w:lvlText w:val="(%1)"/>
      <w:numFmt w:val="decimal"/>
      <w:start w:val="1"/>
    </w:lvl>
    <w:lvl w:ilvl="1">
      <w:lvlJc w:val="left"/>
      <w:lvlText w:val="(%2)"/>
      <w:numFmt w:val="lowerRoman"/>
      <w:start w:val="1"/>
    </w:lvl>
  </w:abstractNum>
  <w:abstractNum w:abstractNumId="30">
    <w:nsid w:val="1BA026FA"/>
    <w:multiLevelType w:val="hybridMultilevel"/>
    <w:lvl w:ilvl="0">
      <w:lvlJc w:val="left"/>
      <w:lvlText w:val="(%1)"/>
      <w:numFmt w:val="lowerRoman"/>
      <w:start w:val="2"/>
    </w:lvl>
  </w:abstractNum>
  <w:abstractNum w:abstractNumId="31">
    <w:nsid w:val="79A1DEAA"/>
    <w:multiLevelType w:val="hybridMultilevel"/>
    <w:lvl w:ilvl="0">
      <w:lvlJc w:val="left"/>
      <w:lvlText w:val="(%1)"/>
      <w:numFmt w:val="decimal"/>
      <w:start w:val="4"/>
    </w:lvl>
  </w:abstractNum>
  <w:abstractNum w:abstractNumId="32">
    <w:nsid w:val="75C6C33A"/>
    <w:multiLevelType w:val="hybridMultilevel"/>
    <w:lvl w:ilvl="0">
      <w:lvlJc w:val="left"/>
      <w:lvlText w:val="(%1)"/>
      <w:numFmt w:val="lowerRoman"/>
      <w:start w:val="1"/>
    </w:lvl>
  </w:abstractNum>
  <w:abstractNum w:abstractNumId="33">
    <w:nsid w:val="12E685FB"/>
    <w:multiLevelType w:val="hybridMultilevel"/>
    <w:lvl w:ilvl="0">
      <w:lvlJc w:val="left"/>
      <w:lvlText w:val="(%1)"/>
      <w:numFmt w:val="lowerRoman"/>
      <w:start w:val="4"/>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3"/>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2"/>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4"/>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upperLetter"/>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2"/>
    </w:lvl>
  </w:abstractNum>
  <w:abstractNum w:abstractNumId="46">
    <w:nsid w:val="354FE9F9"/>
    <w:multiLevelType w:val="hybridMultilevel"/>
    <w:lvl w:ilvl="0">
      <w:lvlJc w:val="left"/>
      <w:lvlText w:val="%1."/>
      <w:numFmt w:val="decimal"/>
      <w:start w:val="3"/>
    </w:lvl>
  </w:abstractNum>
  <w:abstractNum w:abstractNumId="47">
    <w:nsid w:val="15B5AF5C"/>
    <w:multiLevelType w:val="hybridMultilevel"/>
    <w:lvl w:ilvl="0">
      <w:lvlJc w:val="left"/>
      <w:lvlText w:val="(%1)"/>
      <w:numFmt w:val="lowerLetter"/>
      <w:start w:val="1"/>
    </w:lvl>
  </w:abstractNum>
  <w:abstractNum w:abstractNumId="48">
    <w:nsid w:val="741226BB"/>
    <w:multiLevelType w:val="hybridMultilevel"/>
    <w:lvl w:ilvl="0">
      <w:lvlJc w:val="left"/>
      <w:lvlText w:val="%1."/>
      <w:numFmt w:val="decimal"/>
      <w:start w:val="4"/>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lowerLetter"/>
      <w:start w:val="2"/>
    </w:lvl>
  </w:abstractNum>
  <w:abstractNum w:abstractNumId="51">
    <w:nsid w:val="3F6AB60F"/>
    <w:multiLevelType w:val="hybridMultilevel"/>
    <w:lvl w:ilvl="0">
      <w:lvlJc w:val="left"/>
      <w:lvlText w:val="%1."/>
      <w:numFmt w:val="decimal"/>
      <w:start w:val="5"/>
    </w:lvl>
  </w:abstractNum>
  <w:abstractNum w:abstractNumId="52">
    <w:nsid w:val="61574095"/>
    <w:multiLevelType w:val="hybridMultilevel"/>
    <w:lvl w:ilvl="0">
      <w:lvlJc w:val="left"/>
      <w:lvlText w:val="%1."/>
      <w:numFmt w:val="decimal"/>
      <w:start w:val="6"/>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decimal"/>
      <w:start w:val="7"/>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decimal"/>
      <w:start w:val="8"/>
    </w:lvl>
  </w:abstractNum>
  <w:abstractNum w:abstractNumId="57">
    <w:nsid w:val="5FF87E05"/>
    <w:multiLevelType w:val="hybridMultilevel"/>
    <w:lvl w:ilvl="0">
      <w:lvlJc w:val="left"/>
      <w:lvlText w:val="%1."/>
      <w:numFmt w:val="decimal"/>
      <w:start w:val="9"/>
    </w:lvl>
  </w:abstractNum>
  <w:abstractNum w:abstractNumId="58">
    <w:nsid w:val="2F305DEF"/>
    <w:multiLevelType w:val="hybridMultilevel"/>
    <w:lvl w:ilvl="0">
      <w:lvlJc w:val="left"/>
      <w:lvlText w:val="%1."/>
      <w:numFmt w:val="decimal"/>
      <w:start w:val="10"/>
    </w:lvl>
  </w:abstractNum>
  <w:abstractNum w:abstractNumId="59">
    <w:nsid w:val="25A70BF7"/>
    <w:multiLevelType w:val="hybridMultilevel"/>
    <w:lvl w:ilvl="0">
      <w:lvlJc w:val="left"/>
      <w:lvlText w:val="%1."/>
      <w:numFmt w:val="decimal"/>
      <w:start w:val="11"/>
    </w:lvl>
  </w:abstractNum>
  <w:abstractNum w:abstractNumId="60">
    <w:nsid w:val="1DBABF00"/>
    <w:multiLevelType w:val="hybridMultilevel"/>
    <w:lvl w:ilvl="0">
      <w:lvlJc w:val="left"/>
      <w:lvlText w:val="(%1)"/>
      <w:numFmt w:val="lowerLetter"/>
      <w:start w:val="2"/>
    </w:lvl>
  </w:abstractNum>
  <w:abstractNum w:abstractNumId="61">
    <w:nsid w:val="4AD084E9"/>
    <w:multiLevelType w:val="hybridMultilevel"/>
    <w:lvl w:ilvl="0">
      <w:lvlJc w:val="left"/>
      <w:lvlText w:val="%1."/>
      <w:numFmt w:val="decimal"/>
      <w:start w:val="12"/>
    </w:lvl>
  </w:abstractNum>
  <w:abstractNum w:abstractNumId="62">
    <w:nsid w:val="1F48EAA1"/>
    <w:multiLevelType w:val="hybridMultilevel"/>
    <w:lvl w:ilvl="0">
      <w:lvlJc w:val="left"/>
      <w:lvlText w:val="%1."/>
      <w:numFmt w:val="decimal"/>
      <w:start w:val="13"/>
    </w:lvl>
  </w:abstractNum>
  <w:abstractNum w:abstractNumId="63">
    <w:nsid w:val="1381823A"/>
    <w:multiLevelType w:val="hybridMultilevel"/>
    <w:lvl w:ilvl="0">
      <w:lvlJc w:val="left"/>
      <w:lvlText w:val="%1."/>
      <w:numFmt w:val="decimal"/>
      <w:start w:val="14"/>
    </w:lvl>
  </w:abstractNum>
  <w:abstractNum w:abstractNumId="64">
    <w:nsid w:val="5DB70AE5"/>
    <w:multiLevelType w:val="hybridMultilevel"/>
    <w:lvl w:ilvl="0">
      <w:lvlJc w:val="left"/>
      <w:lvlText w:val="%1."/>
      <w:numFmt w:val="decimal"/>
      <w:start w:val="15"/>
    </w:lvl>
  </w:abstractNum>
  <w:abstractNum w:abstractNumId="65">
    <w:nsid w:val="100F8FCA"/>
    <w:multiLevelType w:val="hybridMultilevel"/>
    <w:lvl w:ilvl="0">
      <w:lvlJc w:val="left"/>
      <w:lvlText w:val="%1."/>
      <w:numFmt w:val="decimal"/>
      <w:start w:val="16"/>
    </w:lvl>
  </w:abstractNum>
  <w:abstractNum w:abstractNumId="66">
    <w:nsid w:val="6590700B"/>
    <w:multiLevelType w:val="hybridMultilevel"/>
    <w:lvl w:ilvl="0">
      <w:lvlJc w:val="left"/>
      <w:lvlText w:val="(%1)"/>
      <w:numFmt w:val="lowerLetter"/>
      <w:start w:val="1"/>
    </w:lvl>
    <w:lvl w:ilvl="1">
      <w:lvlJc w:val="left"/>
      <w:lvlText w:val="(%2)"/>
      <w:numFmt w:val="decimal"/>
      <w:start w:val="1"/>
    </w:lvl>
  </w:abstractNum>
  <w:abstractNum w:abstractNumId="67">
    <w:nsid w:val="15014ACB"/>
    <w:multiLevelType w:val="hybridMultilevel"/>
    <w:lvl w:ilvl="0">
      <w:lvlJc w:val="left"/>
      <w:lvlText w:val="(%1)"/>
      <w:numFmt w:val="lowerLetter"/>
      <w:start w:val="1"/>
    </w:lvl>
  </w:abstractNum>
  <w:abstractNum w:abstractNumId="68">
    <w:nsid w:val="5F5E7FD0"/>
    <w:multiLevelType w:val="hybridMultilevel"/>
    <w:lvl w:ilvl="0">
      <w:lvlJc w:val="left"/>
      <w:lvlText w:val="%1."/>
      <w:numFmt w:val="decimal"/>
      <w:start w:val="17"/>
    </w:lvl>
  </w:abstractNum>
  <w:abstractNum w:abstractNumId="69">
    <w:nsid w:val="98A3148"/>
    <w:multiLevelType w:val="hybridMultilevel"/>
    <w:lvl w:ilvl="0">
      <w:lvlJc w:val="left"/>
      <w:lvlText w:val="%1."/>
      <w:numFmt w:val="decimal"/>
      <w:start w:val="18"/>
    </w:lvl>
  </w:abstractNum>
  <w:abstractNum w:abstractNumId="70">
    <w:nsid w:val="799D024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2023-05-24T16:39:29Z</dcterms:created>
  <dcterms:modified xsi:type="dcterms:W3CDTF">2023-05-24T16:39:29Z</dcterms:modified>
</cp:coreProperties>
</file>