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3980" w:type="dxa"/>
            <w:vAlign w:val="bottom"/>
          </w:tcPr>
          <w:p>
            <w:pPr>
              <w:jc w:val="center"/>
              <w:ind w:left="2770"/>
              <w:spacing w:after="0"/>
              <w:rPr>
                <w:sz w:val="20"/>
                <w:szCs w:val="20"/>
                <w:color w:val="auto"/>
              </w:rPr>
            </w:pPr>
            <w:r>
              <w:rPr>
                <w:rFonts w:ascii="Courier New" w:cs="Courier New" w:eastAsia="Courier New" w:hAnsi="Courier New"/>
                <w:sz w:val="14"/>
                <w:szCs w:val="14"/>
                <w:color w:val="auto"/>
              </w:rPr>
              <w:t>FORM 10-K</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80" w:type="dxa"/>
            <w:vAlign w:val="bottom"/>
            <w:gridSpan w:val="2"/>
          </w:tcPr>
          <w:p>
            <w:pPr>
              <w:jc w:val="center"/>
              <w:ind w:left="970"/>
              <w:spacing w:after="0"/>
              <w:rPr>
                <w:sz w:val="20"/>
                <w:szCs w:val="20"/>
                <w:color w:val="auto"/>
              </w:rPr>
            </w:pPr>
            <w:r>
              <w:rPr>
                <w:rFonts w:ascii="Courier New" w:cs="Courier New" w:eastAsia="Courier New" w:hAnsi="Courier New"/>
                <w:sz w:val="14"/>
                <w:szCs w:val="14"/>
                <w:color w:val="auto"/>
              </w:rPr>
              <w:t>Annual Report Pursuant to Section 13 or 15(d)</w:t>
            </w:r>
          </w:p>
        </w:tc>
        <w:tc>
          <w:tcPr>
            <w:tcW w:w="0" w:type="dxa"/>
            <w:vAlign w:val="bottom"/>
          </w:tcPr>
          <w:p>
            <w:pPr>
              <w:spacing w:after="0"/>
              <w:rPr>
                <w:sz w:val="1"/>
                <w:szCs w:val="1"/>
                <w:color w:val="auto"/>
              </w:rPr>
            </w:pPr>
          </w:p>
        </w:tc>
      </w:tr>
      <w:tr>
        <w:trPr>
          <w:trHeight w:val="242"/>
        </w:trPr>
        <w:tc>
          <w:tcPr>
            <w:tcW w:w="5780" w:type="dxa"/>
            <w:vAlign w:val="bottom"/>
            <w:gridSpan w:val="2"/>
          </w:tcPr>
          <w:p>
            <w:pPr>
              <w:jc w:val="center"/>
              <w:ind w:left="1050"/>
              <w:spacing w:after="0"/>
              <w:rPr>
                <w:sz w:val="20"/>
                <w:szCs w:val="20"/>
                <w:color w:val="auto"/>
              </w:rPr>
            </w:pPr>
            <w:r>
              <w:rPr>
                <w:rFonts w:ascii="Courier New" w:cs="Courier New" w:eastAsia="Courier New" w:hAnsi="Courier New"/>
                <w:sz w:val="14"/>
                <w:szCs w:val="14"/>
                <w:color w:val="auto"/>
              </w:rPr>
              <w:t>of the Securities and Exchange Act of 1934</w:t>
            </w:r>
          </w:p>
        </w:tc>
        <w:tc>
          <w:tcPr>
            <w:tcW w:w="0" w:type="dxa"/>
            <w:vAlign w:val="bottom"/>
          </w:tcPr>
          <w:p>
            <w:pPr>
              <w:spacing w:after="0"/>
              <w:rPr>
                <w:sz w:val="1"/>
                <w:szCs w:val="1"/>
                <w:color w:val="auto"/>
              </w:rPr>
            </w:pPr>
          </w:p>
        </w:tc>
      </w:tr>
      <w:tr>
        <w:trPr>
          <w:trHeight w:val="255"/>
        </w:trPr>
        <w:tc>
          <w:tcPr>
            <w:tcW w:w="5780" w:type="dxa"/>
            <w:vAlign w:val="bottom"/>
            <w:gridSpan w:val="2"/>
          </w:tcPr>
          <w:p>
            <w:pPr>
              <w:jc w:val="center"/>
              <w:ind w:left="970"/>
              <w:spacing w:after="0"/>
              <w:rPr>
                <w:sz w:val="20"/>
                <w:szCs w:val="20"/>
                <w:color w:val="auto"/>
              </w:rPr>
            </w:pPr>
            <w:r>
              <w:rPr>
                <w:rFonts w:ascii="Courier New" w:cs="Courier New" w:eastAsia="Courier New" w:hAnsi="Courier New"/>
                <w:sz w:val="14"/>
                <w:szCs w:val="14"/>
                <w:color w:val="auto"/>
              </w:rPr>
              <w:t>For the fiscal year ended December 31, 1996</w:t>
            </w:r>
          </w:p>
        </w:tc>
        <w:tc>
          <w:tcPr>
            <w:tcW w:w="0" w:type="dxa"/>
            <w:vAlign w:val="bottom"/>
          </w:tcPr>
          <w:p>
            <w:pPr>
              <w:spacing w:after="0"/>
              <w:rPr>
                <w:sz w:val="1"/>
                <w:szCs w:val="1"/>
                <w:color w:val="auto"/>
              </w:rPr>
            </w:pPr>
          </w:p>
        </w:tc>
      </w:tr>
      <w:tr>
        <w:trPr>
          <w:trHeight w:val="242"/>
        </w:trPr>
        <w:tc>
          <w:tcPr>
            <w:tcW w:w="5780" w:type="dxa"/>
            <w:vAlign w:val="bottom"/>
            <w:gridSpan w:val="2"/>
          </w:tcPr>
          <w:p>
            <w:pPr>
              <w:jc w:val="center"/>
              <w:ind w:left="970"/>
              <w:spacing w:after="0"/>
              <w:rPr>
                <w:sz w:val="20"/>
                <w:szCs w:val="20"/>
                <w:color w:val="auto"/>
              </w:rPr>
            </w:pPr>
            <w:r>
              <w:rPr>
                <w:rFonts w:ascii="Courier New" w:cs="Courier New" w:eastAsia="Courier New" w:hAnsi="Courier New"/>
                <w:sz w:val="14"/>
                <w:szCs w:val="14"/>
                <w:color w:val="auto"/>
              </w:rPr>
              <w:t>Commission file no. 0-14948</w:t>
            </w:r>
          </w:p>
        </w:tc>
        <w:tc>
          <w:tcPr>
            <w:tcW w:w="0" w:type="dxa"/>
            <w:vAlign w:val="bottom"/>
          </w:tcPr>
          <w:p>
            <w:pPr>
              <w:spacing w:after="0"/>
              <w:rPr>
                <w:sz w:val="1"/>
                <w:szCs w:val="1"/>
                <w:color w:val="auto"/>
              </w:rPr>
            </w:pPr>
          </w:p>
        </w:tc>
      </w:tr>
      <w:tr>
        <w:trPr>
          <w:trHeight w:val="255"/>
        </w:trPr>
        <w:tc>
          <w:tcPr>
            <w:tcW w:w="3980" w:type="dxa"/>
            <w:vAlign w:val="bottom"/>
          </w:tcPr>
          <w:p>
            <w:pPr>
              <w:jc w:val="center"/>
              <w:ind w:left="2870"/>
              <w:spacing w:after="0"/>
              <w:rPr>
                <w:sz w:val="20"/>
                <w:szCs w:val="20"/>
                <w:color w:val="auto"/>
              </w:rPr>
            </w:pPr>
            <w:r>
              <w:rPr>
                <w:rFonts w:ascii="Courier New" w:cs="Courier New" w:eastAsia="Courier New" w:hAnsi="Courier New"/>
                <w:sz w:val="14"/>
                <w:szCs w:val="14"/>
                <w:color w:val="auto"/>
              </w:rPr>
              <w:t>FISERV, INC.</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780" w:type="dxa"/>
            <w:vAlign w:val="bottom"/>
            <w:gridSpan w:val="2"/>
          </w:tcPr>
          <w:p>
            <w:pPr>
              <w:jc w:val="center"/>
              <w:ind w:left="1050"/>
              <w:spacing w:after="0"/>
              <w:rPr>
                <w:sz w:val="20"/>
                <w:szCs w:val="20"/>
                <w:color w:val="auto"/>
              </w:rPr>
            </w:pPr>
            <w:r>
              <w:rPr>
                <w:rFonts w:ascii="Courier New" w:cs="Courier New" w:eastAsia="Courier New" w:hAnsi="Courier New"/>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55"/>
        </w:trPr>
        <w:tc>
          <w:tcPr>
            <w:tcW w:w="3980" w:type="dxa"/>
            <w:vAlign w:val="bottom"/>
          </w:tcPr>
          <w:p>
            <w:pPr>
              <w:ind w:left="1740"/>
              <w:spacing w:after="0"/>
              <w:rPr>
                <w:sz w:val="20"/>
                <w:szCs w:val="20"/>
                <w:color w:val="auto"/>
              </w:rPr>
            </w:pPr>
            <w:r>
              <w:rPr>
                <w:rFonts w:ascii="Courier New" w:cs="Courier New" w:eastAsia="Courier New" w:hAnsi="Courier New"/>
                <w:sz w:val="14"/>
                <w:szCs w:val="14"/>
                <w:color w:val="auto"/>
              </w:rPr>
              <w:t>WISCONSIN</w:t>
            </w:r>
          </w:p>
        </w:tc>
        <w:tc>
          <w:tcPr>
            <w:tcW w:w="18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39-1506125</w:t>
            </w:r>
          </w:p>
        </w:tc>
        <w:tc>
          <w:tcPr>
            <w:tcW w:w="0" w:type="dxa"/>
            <w:vAlign w:val="bottom"/>
          </w:tcPr>
          <w:p>
            <w:pPr>
              <w:spacing w:after="0"/>
              <w:rPr>
                <w:sz w:val="1"/>
                <w:szCs w:val="1"/>
                <w:color w:val="auto"/>
              </w:rPr>
            </w:pPr>
          </w:p>
        </w:tc>
      </w:tr>
      <w:tr>
        <w:trPr>
          <w:trHeight w:val="166"/>
        </w:trPr>
        <w:tc>
          <w:tcPr>
            <w:tcW w:w="3980" w:type="dxa"/>
            <w:vAlign w:val="bottom"/>
            <w:vMerge w:val="restart"/>
          </w:tcPr>
          <w:p>
            <w:pPr>
              <w:jc w:val="right"/>
              <w:ind w:right="450"/>
              <w:spacing w:after="0"/>
              <w:rPr>
                <w:sz w:val="20"/>
                <w:szCs w:val="20"/>
                <w:color w:val="auto"/>
              </w:rPr>
            </w:pPr>
            <w:r>
              <w:rPr>
                <w:rFonts w:ascii="Courier New" w:cs="Courier New" w:eastAsia="Courier New" w:hAnsi="Courier New"/>
                <w:sz w:val="22"/>
                <w:szCs w:val="22"/>
                <w:color w:val="auto"/>
                <w:w w:val="73"/>
                <w:vertAlign w:val="subscript"/>
              </w:rPr>
              <w:t>(State</w:t>
            </w: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orotherjurisdictionof</w:t>
            </w:r>
          </w:p>
        </w:tc>
        <w:tc>
          <w:tcPr>
            <w:tcW w:w="18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80" w:type="dxa"/>
            <w:vAlign w:val="bottom"/>
            <w:vMerge w:val="continue"/>
          </w:tcPr>
          <w:p>
            <w:pPr>
              <w:spacing w:after="0"/>
              <w:rPr>
                <w:sz w:val="14"/>
                <w:szCs w:val="14"/>
                <w:color w:val="auto"/>
              </w:rPr>
            </w:pPr>
          </w:p>
        </w:tc>
        <w:tc>
          <w:tcPr>
            <w:tcW w:w="18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(I.R.S. Employer</w:t>
            </w:r>
          </w:p>
        </w:tc>
        <w:tc>
          <w:tcPr>
            <w:tcW w:w="0" w:type="dxa"/>
            <w:vAlign w:val="bottom"/>
          </w:tcPr>
          <w:p>
            <w:pPr>
              <w:spacing w:after="0"/>
              <w:rPr>
                <w:sz w:val="1"/>
                <w:szCs w:val="1"/>
                <w:color w:val="auto"/>
              </w:rPr>
            </w:pPr>
          </w:p>
        </w:tc>
      </w:tr>
      <w:tr>
        <w:trPr>
          <w:trHeight w:val="242"/>
        </w:trPr>
        <w:tc>
          <w:tcPr>
            <w:tcW w:w="398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incorporation or organization)</w:t>
            </w:r>
          </w:p>
        </w:tc>
        <w:tc>
          <w:tcPr>
            <w:tcW w:w="1800" w:type="dxa"/>
            <w:vAlign w:val="bottom"/>
          </w:tcPr>
          <w:p>
            <w:pPr>
              <w:spacing w:after="0"/>
              <w:rPr>
                <w:sz w:val="20"/>
                <w:szCs w:val="20"/>
                <w:color w:val="auto"/>
              </w:rPr>
            </w:pPr>
            <w:r>
              <w:rPr>
                <w:rFonts w:ascii="Courier New" w:cs="Courier New" w:eastAsia="Courier New" w:hAnsi="Courier New"/>
                <w:sz w:val="14"/>
                <w:szCs w:val="14"/>
                <w:color w:val="auto"/>
              </w:rPr>
              <w:t>Identification No.)</w:t>
            </w:r>
          </w:p>
        </w:tc>
        <w:tc>
          <w:tcPr>
            <w:tcW w:w="0" w:type="dxa"/>
            <w:vAlign w:val="bottom"/>
          </w:tcPr>
          <w:p>
            <w:pPr>
              <w:spacing w:after="0"/>
              <w:rPr>
                <w:sz w:val="1"/>
                <w:szCs w:val="1"/>
                <w:color w:val="auto"/>
              </w:rPr>
            </w:pPr>
          </w:p>
        </w:tc>
      </w:tr>
      <w:tr>
        <w:trPr>
          <w:trHeight w:val="255"/>
        </w:trPr>
        <w:tc>
          <w:tcPr>
            <w:tcW w:w="3980" w:type="dxa"/>
            <w:vAlign w:val="bottom"/>
          </w:tcPr>
          <w:p>
            <w:pPr>
              <w:spacing w:after="0"/>
              <w:rPr>
                <w:sz w:val="20"/>
                <w:szCs w:val="20"/>
                <w:color w:val="auto"/>
              </w:rPr>
            </w:pPr>
            <w:r>
              <w:rPr>
                <w:rFonts w:ascii="Courier New" w:cs="Courier New" w:eastAsia="Courier New" w:hAnsi="Courier New"/>
                <w:sz w:val="14"/>
                <w:szCs w:val="14"/>
                <w:color w:val="auto"/>
              </w:rPr>
              <w:t>255 FISERV DRIVE, BROOKFIELD, WISCONSIN</w:t>
            </w:r>
          </w:p>
        </w:tc>
        <w:tc>
          <w:tcPr>
            <w:tcW w:w="1800" w:type="dxa"/>
            <w:vAlign w:val="bottom"/>
          </w:tcPr>
          <w:p>
            <w:pPr>
              <w:ind w:left="500"/>
              <w:spacing w:after="0"/>
              <w:rPr>
                <w:sz w:val="20"/>
                <w:szCs w:val="20"/>
                <w:color w:val="auto"/>
              </w:rPr>
            </w:pPr>
            <w:r>
              <w:rPr>
                <w:rFonts w:ascii="Courier New" w:cs="Courier New" w:eastAsia="Courier New" w:hAnsi="Courier New"/>
                <w:sz w:val="14"/>
                <w:szCs w:val="14"/>
                <w:color w:val="auto"/>
              </w:rPr>
              <w:t>53045</w:t>
            </w:r>
          </w:p>
        </w:tc>
        <w:tc>
          <w:tcPr>
            <w:tcW w:w="0" w:type="dxa"/>
            <w:vAlign w:val="bottom"/>
          </w:tcPr>
          <w:p>
            <w:pPr>
              <w:spacing w:after="0"/>
              <w:rPr>
                <w:sz w:val="1"/>
                <w:szCs w:val="1"/>
                <w:color w:val="auto"/>
              </w:rPr>
            </w:pPr>
          </w:p>
        </w:tc>
      </w:tr>
      <w:tr>
        <w:trPr>
          <w:trHeight w:val="166"/>
        </w:trPr>
        <w:tc>
          <w:tcPr>
            <w:tcW w:w="3980" w:type="dxa"/>
            <w:vAlign w:val="bottom"/>
            <w:vMerge w:val="restart"/>
          </w:tcPr>
          <w:p>
            <w:pPr>
              <w:spacing w:after="0"/>
              <w:rPr>
                <w:sz w:val="20"/>
                <w:szCs w:val="20"/>
                <w:color w:val="auto"/>
              </w:rPr>
            </w:pPr>
            <w:r>
              <w:rPr>
                <w:rFonts w:ascii="Courier New" w:cs="Courier New" w:eastAsia="Courier New" w:hAnsi="Courier New"/>
                <w:sz w:val="19"/>
                <w:szCs w:val="19"/>
                <w:color w:val="auto"/>
                <w:w w:val="72"/>
                <w:vertAlign w:val="subscript"/>
              </w:rPr>
              <w:t>(Address</w:t>
            </w: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ofprincipalexecutiveoffices)</w:t>
            </w:r>
          </w:p>
        </w:tc>
        <w:tc>
          <w:tcPr>
            <w:tcW w:w="180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980" w:type="dxa"/>
            <w:vAlign w:val="bottom"/>
            <w:vMerge w:val="continue"/>
          </w:tcPr>
          <w:p>
            <w:pPr>
              <w:spacing w:after="0"/>
              <w:rPr>
                <w:sz w:val="22"/>
                <w:szCs w:val="22"/>
                <w:color w:val="auto"/>
              </w:rPr>
            </w:pPr>
          </w:p>
        </w:tc>
        <w:tc>
          <w:tcPr>
            <w:tcW w:w="18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(Zip code)</w:t>
            </w:r>
          </w:p>
        </w:tc>
        <w:tc>
          <w:tcPr>
            <w:tcW w:w="0" w:type="dxa"/>
            <w:vAlign w:val="bottom"/>
          </w:tcPr>
          <w:p>
            <w:pPr>
              <w:spacing w:after="0"/>
              <w:rPr>
                <w:sz w:val="1"/>
                <w:szCs w:val="1"/>
                <w:color w:val="auto"/>
              </w:rPr>
            </w:pPr>
          </w:p>
        </w:tc>
      </w:tr>
      <w:tr>
        <w:trPr>
          <w:trHeight w:val="318"/>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Registrant's telephone number, including area code:  (414) 879-5000</w:t>
            </w:r>
          </w:p>
        </w:tc>
        <w:tc>
          <w:tcPr>
            <w:tcW w:w="0" w:type="dxa"/>
            <w:vAlign w:val="bottom"/>
          </w:tcPr>
          <w:p>
            <w:pPr>
              <w:spacing w:after="0"/>
              <w:rPr>
                <w:sz w:val="1"/>
                <w:szCs w:val="1"/>
                <w:color w:val="auto"/>
              </w:rPr>
            </w:pPr>
          </w:p>
        </w:tc>
      </w:tr>
      <w:tr>
        <w:trPr>
          <w:trHeight w:val="331"/>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55"/>
        </w:trPr>
        <w:tc>
          <w:tcPr>
            <w:tcW w:w="3980" w:type="dxa"/>
            <w:vAlign w:val="bottom"/>
          </w:tcPr>
          <w:p>
            <w:pPr>
              <w:jc w:val="center"/>
              <w:ind w:left="2850"/>
              <w:spacing w:after="0"/>
              <w:rPr>
                <w:sz w:val="20"/>
                <w:szCs w:val="20"/>
                <w:color w:val="auto"/>
              </w:rPr>
            </w:pPr>
            <w:r>
              <w:rPr>
                <w:rFonts w:ascii="Courier New" w:cs="Courier New" w:eastAsia="Courier New" w:hAnsi="Courier New"/>
                <w:sz w:val="14"/>
                <w:szCs w:val="14"/>
                <w:color w:val="auto"/>
              </w:rPr>
              <w:t>NONE</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980" w:type="dxa"/>
            <w:vAlign w:val="bottom"/>
          </w:tcPr>
          <w:p>
            <w:pPr>
              <w:jc w:val="right"/>
              <w:ind w:right="29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5780" w:type="dxa"/>
            <w:vAlign w:val="bottom"/>
            <w:gridSpan w:val="2"/>
          </w:tcPr>
          <w:p>
            <w:pPr>
              <w:jc w:val="center"/>
              <w:ind w:left="1050"/>
              <w:spacing w:after="0"/>
              <w:rPr>
                <w:sz w:val="20"/>
                <w:szCs w:val="20"/>
                <w:color w:val="auto"/>
              </w:rPr>
            </w:pPr>
            <w:r>
              <w:rPr>
                <w:rFonts w:ascii="Courier New" w:cs="Courier New" w:eastAsia="Courier New" w:hAnsi="Courier New"/>
                <w:sz w:val="14"/>
                <w:szCs w:val="14"/>
                <w:color w:val="auto"/>
              </w:rPr>
              <w:t>(Title of Class)</w:t>
            </w:r>
          </w:p>
        </w:tc>
        <w:tc>
          <w:tcPr>
            <w:tcW w:w="0" w:type="dxa"/>
            <w:vAlign w:val="bottom"/>
          </w:tcPr>
          <w:p>
            <w:pPr>
              <w:spacing w:after="0"/>
              <w:rPr>
                <w:sz w:val="1"/>
                <w:szCs w:val="1"/>
                <w:color w:val="auto"/>
              </w:rPr>
            </w:pPr>
          </w:p>
        </w:tc>
      </w:tr>
      <w:tr>
        <w:trPr>
          <w:trHeight w:val="331"/>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Common Stock, $.01 Par Value</w:t>
      </w:r>
    </w:p>
    <w:p>
      <w:pPr>
        <w:spacing w:after="0" w:line="33"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(Title of Class)</w:t>
      </w:r>
    </w:p>
    <w:p>
      <w:pPr>
        <w:spacing w:after="0" w:line="147" w:lineRule="exact"/>
        <w:rPr>
          <w:sz w:val="24"/>
          <w:szCs w:val="24"/>
          <w:color w:val="auto"/>
        </w:rPr>
      </w:pPr>
    </w:p>
    <w:p>
      <w:pPr>
        <w:jc w:val="both"/>
        <w:ind w:right="3339"/>
        <w:spacing w:after="0" w:line="28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Yes(X) No</w:t>
      </w:r>
    </w:p>
    <w:p>
      <w:pPr>
        <w:spacing w:after="0" w:line="62" w:lineRule="exact"/>
        <w:rPr>
          <w:sz w:val="24"/>
          <w:szCs w:val="24"/>
          <w:color w:val="auto"/>
        </w:rPr>
      </w:pPr>
    </w:p>
    <w:p>
      <w:pPr>
        <w:ind w:right="3519"/>
        <w:spacing w:after="0" w:line="375" w:lineRule="auto"/>
        <w:rPr>
          <w:sz w:val="20"/>
          <w:szCs w:val="20"/>
          <w:color w:val="auto"/>
        </w:rPr>
      </w:pPr>
      <w:r>
        <w:rPr>
          <w:rFonts w:ascii="Courier New" w:cs="Courier New" w:eastAsia="Courier New" w:hAnsi="Courier New"/>
          <w:sz w:val="14"/>
          <w:szCs w:val="14"/>
          <w:color w:val="auto"/>
        </w:rPr>
        <w:t>State the aggregate market value of the voting stock held by non-affiliates of the registrant as of January 31, 1997: $1,516,736,302</w:t>
      </w:r>
    </w:p>
    <w:p>
      <w:pPr>
        <w:spacing w:after="0" w:line="1" w:lineRule="exact"/>
        <w:rPr>
          <w:sz w:val="24"/>
          <w:szCs w:val="24"/>
          <w:color w:val="auto"/>
        </w:rPr>
      </w:pPr>
    </w:p>
    <w:p>
      <w:pPr>
        <w:jc w:val="both"/>
        <w:ind w:right="3339"/>
        <w:spacing w:after="0" w:line="375" w:lineRule="auto"/>
        <w:rPr>
          <w:sz w:val="20"/>
          <w:szCs w:val="20"/>
          <w:color w:val="auto"/>
        </w:rPr>
      </w:pPr>
      <w:r>
        <w:rPr>
          <w:rFonts w:ascii="Courier New" w:cs="Courier New" w:eastAsia="Courier New" w:hAnsi="Courier New"/>
          <w:sz w:val="14"/>
          <w:szCs w:val="14"/>
          <w:color w:val="auto"/>
        </w:rPr>
        <w:t>Indicate the number of shares outstanding of each of the registrant's classes of common stock, as of January 31, 1997: 45,360,338</w:t>
      </w:r>
    </w:p>
    <w:p>
      <w:pPr>
        <w:spacing w:after="0" w:line="1" w:lineRule="exact"/>
        <w:rPr>
          <w:sz w:val="24"/>
          <w:szCs w:val="24"/>
          <w:color w:val="auto"/>
        </w:rPr>
      </w:pPr>
    </w:p>
    <w:p>
      <w:pPr>
        <w:jc w:val="both"/>
        <w:ind w:right="3339"/>
        <w:spacing w:after="0" w:line="258" w:lineRule="auto"/>
        <w:rPr>
          <w:sz w:val="20"/>
          <w:szCs w:val="20"/>
          <w:color w:val="auto"/>
        </w:rPr>
      </w:pPr>
      <w:r>
        <w:rPr>
          <w:rFonts w:ascii="Courier New" w:cs="Courier New" w:eastAsia="Courier New" w:hAnsi="Courier New"/>
          <w:sz w:val="14"/>
          <w:szCs w:val="14"/>
          <w:color w:val="auto"/>
        </w:rPr>
        <w:t>DOCUMENTS INCORPORATED BY REFERENCE: List the following documents if incorporated by reference and the part of the Form 10-K into which the document is incorporated: (1) Any annual report to security holders; (2) any proxy or information statement; and (3) any prospectus filed pursuant to Rule 424(b) or (c) under the Securities Act of 1933.</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1996 Annual Report to Shareholders - Parts II, IV</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Proxy Statement for March 20, 1997 Meeting - Part III</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Fiserv, Inc. and Subsidiaries</w:t>
      </w:r>
    </w:p>
    <w:p>
      <w:pPr>
        <w:spacing w:after="0" w:line="3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December 31, 1996</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34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4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c>
          <w:tcPr>
            <w:tcW w:w="0" w:type="dxa"/>
            <w:vAlign w:val="bottom"/>
          </w:tcPr>
          <w:p>
            <w:pPr>
              <w:spacing w:after="0"/>
              <w:rPr>
                <w:sz w:val="1"/>
                <w:szCs w:val="1"/>
                <w:color w:val="auto"/>
              </w:rPr>
            </w:pPr>
          </w:p>
        </w:tc>
      </w:tr>
      <w:tr>
        <w:trPr>
          <w:trHeight w:val="331"/>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1.</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Business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331"/>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2.</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Properties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331"/>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3.</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Legal Proceedings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331"/>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4.</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497"/>
        </w:trPr>
        <w:tc>
          <w:tcPr>
            <w:tcW w:w="134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5.</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Market for the Registrant's Common Equity and Related</w:t>
            </w:r>
          </w:p>
        </w:tc>
        <w:tc>
          <w:tcPr>
            <w:tcW w:w="5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1"/>
                <w:szCs w:val="21"/>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Shareholder Matters</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6.</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Selected Financial Data</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255"/>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7.</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5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1"/>
                <w:szCs w:val="21"/>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Condition and Results of Operations</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8.</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255"/>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9.</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Changes in and Disagreements with Accountants on</w:t>
            </w:r>
          </w:p>
        </w:tc>
        <w:tc>
          <w:tcPr>
            <w:tcW w:w="52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1"/>
                <w:szCs w:val="21"/>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Accounting and Financial Disclosure</w:t>
            </w: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97"/>
        </w:trPr>
        <w:tc>
          <w:tcPr>
            <w:tcW w:w="134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10.</w:t>
            </w:r>
          </w:p>
        </w:tc>
        <w:tc>
          <w:tcPr>
            <w:tcW w:w="4960" w:type="dxa"/>
            <w:vAlign w:val="bottom"/>
          </w:tcPr>
          <w:p>
            <w:pPr>
              <w:ind w:left="22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bl>
    <w:p>
      <w:pPr>
        <w:sectPr>
          <w:pgSz w:w="11900" w:h="16838" w:orient="portrait"/>
          <w:cols w:equalWidth="0" w:num="1">
            <w:col w:w="10239"/>
          </w:cols>
          <w:pgMar w:left="220" w:top="369"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11.</w:t>
            </w:r>
          </w:p>
        </w:tc>
        <w:tc>
          <w:tcPr>
            <w:tcW w:w="5040" w:type="dxa"/>
            <w:vAlign w:val="bottom"/>
          </w:tcPr>
          <w:p>
            <w:pPr>
              <w:ind w:left="220"/>
              <w:spacing w:after="0"/>
              <w:rPr>
                <w:sz w:val="20"/>
                <w:szCs w:val="20"/>
                <w:color w:val="auto"/>
              </w:rPr>
            </w:pPr>
            <w:r>
              <w:rPr>
                <w:rFonts w:ascii="Courier New" w:cs="Courier New" w:eastAsia="Courier New" w:hAnsi="Courier New"/>
                <w:sz w:val="14"/>
                <w:szCs w:val="14"/>
                <w:color w:val="auto"/>
              </w:rPr>
              <w:t>Executive Compensation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255"/>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12.</w:t>
            </w:r>
          </w:p>
        </w:tc>
        <w:tc>
          <w:tcPr>
            <w:tcW w:w="5040" w:type="dxa"/>
            <w:vAlign w:val="bottom"/>
          </w:tcPr>
          <w:p>
            <w:pPr>
              <w:ind w:left="220"/>
              <w:spacing w:after="0"/>
              <w:rPr>
                <w:sz w:val="20"/>
                <w:szCs w:val="20"/>
                <w:color w:val="auto"/>
              </w:rPr>
            </w:pPr>
            <w:r>
              <w:rPr>
                <w:rFonts w:ascii="Courier New" w:cs="Courier New" w:eastAsia="Courier New" w:hAnsi="Courier New"/>
                <w:sz w:val="14"/>
                <w:szCs w:val="14"/>
                <w:color w:val="auto"/>
              </w:rPr>
              <w:t>Security Ownership of Certain Beneficial Owners and</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1"/>
                <w:szCs w:val="21"/>
                <w:color w:val="auto"/>
              </w:rPr>
            </w:pPr>
          </w:p>
        </w:tc>
        <w:tc>
          <w:tcPr>
            <w:tcW w:w="5040" w:type="dxa"/>
            <w:vAlign w:val="bottom"/>
          </w:tcPr>
          <w:p>
            <w:pPr>
              <w:ind w:left="220"/>
              <w:spacing w:after="0"/>
              <w:rPr>
                <w:sz w:val="20"/>
                <w:szCs w:val="20"/>
                <w:color w:val="auto"/>
              </w:rPr>
            </w:pPr>
            <w:r>
              <w:rPr>
                <w:rFonts w:ascii="Courier New" w:cs="Courier New" w:eastAsia="Courier New" w:hAnsi="Courier New"/>
                <w:sz w:val="14"/>
                <w:szCs w:val="14"/>
                <w:color w:val="auto"/>
              </w:rPr>
              <w:t>Management</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13.</w:t>
            </w:r>
          </w:p>
        </w:tc>
        <w:tc>
          <w:tcPr>
            <w:tcW w:w="5040" w:type="dxa"/>
            <w:vAlign w:val="bottom"/>
          </w:tcPr>
          <w:p>
            <w:pPr>
              <w:ind w:left="22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497"/>
        </w:trPr>
        <w:tc>
          <w:tcPr>
            <w:tcW w:w="134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Item 14.</w:t>
            </w:r>
          </w:p>
        </w:tc>
        <w:tc>
          <w:tcPr>
            <w:tcW w:w="5040" w:type="dxa"/>
            <w:vAlign w:val="bottom"/>
          </w:tcPr>
          <w:p>
            <w:pPr>
              <w:ind w:left="220"/>
              <w:spacing w:after="0"/>
              <w:rPr>
                <w:sz w:val="20"/>
                <w:szCs w:val="20"/>
                <w:color w:val="auto"/>
              </w:rPr>
            </w:pPr>
            <w:r>
              <w:rPr>
                <w:rFonts w:ascii="Courier New" w:cs="Courier New" w:eastAsia="Courier New" w:hAnsi="Courier New"/>
                <w:sz w:val="14"/>
                <w:szCs w:val="14"/>
                <w:color w:val="auto"/>
              </w:rPr>
              <w:t>Exhibits, Financial Statement Schedules and Reports on</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11</w:t>
            </w:r>
          </w:p>
        </w:tc>
        <w:tc>
          <w:tcPr>
            <w:tcW w:w="0" w:type="dxa"/>
            <w:vAlign w:val="bottom"/>
          </w:tcPr>
          <w:p>
            <w:pPr>
              <w:spacing w:after="0"/>
              <w:rPr>
                <w:sz w:val="1"/>
                <w:szCs w:val="1"/>
                <w:color w:val="auto"/>
              </w:rPr>
            </w:pPr>
          </w:p>
        </w:tc>
      </w:tr>
      <w:tr>
        <w:trPr>
          <w:trHeight w:val="242"/>
        </w:trPr>
        <w:tc>
          <w:tcPr>
            <w:tcW w:w="1340" w:type="dxa"/>
            <w:vAlign w:val="bottom"/>
          </w:tcPr>
          <w:p>
            <w:pPr>
              <w:spacing w:after="0"/>
              <w:rPr>
                <w:sz w:val="21"/>
                <w:szCs w:val="21"/>
                <w:color w:val="auto"/>
              </w:rPr>
            </w:pPr>
          </w:p>
        </w:tc>
        <w:tc>
          <w:tcPr>
            <w:tcW w:w="5040" w:type="dxa"/>
            <w:vAlign w:val="bottom"/>
          </w:tcPr>
          <w:p>
            <w:pPr>
              <w:ind w:left="220"/>
              <w:spacing w:after="0"/>
              <w:rPr>
                <w:sz w:val="20"/>
                <w:szCs w:val="20"/>
                <w:color w:val="auto"/>
              </w:rPr>
            </w:pPr>
            <w:r>
              <w:rPr>
                <w:rFonts w:ascii="Courier New" w:cs="Courier New" w:eastAsia="Courier New" w:hAnsi="Courier New"/>
                <w:sz w:val="14"/>
                <w:szCs w:val="14"/>
                <w:color w:val="auto"/>
              </w:rPr>
              <w:t>Form 8-K</w:t>
            </w:r>
          </w:p>
        </w:tc>
        <w:tc>
          <w:tcPr>
            <w:tcW w:w="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2" w:name="page3"/>
    <w:bookmarkEnd w:id="2"/>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PART 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jc w:val="both"/>
        <w:ind w:right="3339" w:firstLine="775"/>
        <w:spacing w:after="0" w:line="256" w:lineRule="auto"/>
        <w:rPr>
          <w:sz w:val="20"/>
          <w:szCs w:val="20"/>
          <w:color w:val="auto"/>
        </w:rPr>
      </w:pPr>
      <w:r>
        <w:rPr>
          <w:rFonts w:ascii="Courier New" w:cs="Courier New" w:eastAsia="Courier New" w:hAnsi="Courier New"/>
          <w:sz w:val="14"/>
          <w:szCs w:val="14"/>
          <w:color w:val="auto"/>
        </w:rPr>
        <w:t>Fiserv was formed on July 31, 1984, through the combination of two major regional data processing firms located in Milwaukee, Wisconsin, and Tampa, Florida. These firms--First Data Processing of Milwaukee and Sunshine State Systems of Tampa--began their operations in 1964 and 1971, respectively, as the data processing operations of their parent financial institutions. Historically, operations were expanded by developing a range of services for these parent organizations as well as other financial institutions.</w:t>
      </w:r>
    </w:p>
    <w:p>
      <w:pPr>
        <w:spacing w:after="0" w:line="1" w:lineRule="exact"/>
        <w:rPr>
          <w:sz w:val="20"/>
          <w:szCs w:val="20"/>
          <w:color w:val="auto"/>
        </w:rPr>
      </w:pPr>
    </w:p>
    <w:p>
      <w:pPr>
        <w:jc w:val="both"/>
        <w:ind w:right="3339" w:firstLine="775"/>
        <w:spacing w:after="0" w:line="279" w:lineRule="auto"/>
        <w:rPr>
          <w:sz w:val="20"/>
          <w:szCs w:val="20"/>
          <w:color w:val="auto"/>
        </w:rPr>
      </w:pPr>
      <w:r>
        <w:rPr>
          <w:rFonts w:ascii="Courier New" w:cs="Courier New" w:eastAsia="Courier New" w:hAnsi="Courier New"/>
          <w:sz w:val="14"/>
          <w:szCs w:val="14"/>
          <w:color w:val="auto"/>
        </w:rPr>
        <w:t>Since its organization in 1984, the Company has grown through the continuing development of highly specialized services and product enhancements, the addition of new clients and the acquisition of firms complementing the Fiserv organization.</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Resources</w:t>
      </w:r>
    </w:p>
    <w:p>
      <w:pPr>
        <w:spacing w:after="0" w:line="173" w:lineRule="exact"/>
        <w:rPr>
          <w:sz w:val="20"/>
          <w:szCs w:val="20"/>
          <w:color w:val="auto"/>
        </w:rPr>
      </w:pPr>
    </w:p>
    <w:p>
      <w:pPr>
        <w:jc w:val="both"/>
        <w:ind w:right="3339" w:firstLine="775"/>
        <w:spacing w:after="0" w:line="256" w:lineRule="auto"/>
        <w:rPr>
          <w:sz w:val="20"/>
          <w:szCs w:val="20"/>
          <w:color w:val="auto"/>
        </w:rPr>
      </w:pPr>
      <w:r>
        <w:rPr>
          <w:rFonts w:ascii="Courier New" w:cs="Courier New" w:eastAsia="Courier New" w:hAnsi="Courier New"/>
          <w:sz w:val="14"/>
          <w:szCs w:val="14"/>
          <w:color w:val="auto"/>
        </w:rPr>
        <w:t>Fiserv conducts the following operations nationwide: financial data processing, software system development, item processing and check imaging, multiple technology support and related product businesses. In addition, the Company has business support centers in Canada, England and Singapore. The Fiserv organization, headquartered in Brookfield, Wisconsin, is prepared to meet the variety of information technology and related product and service needs of the financial industry.</w:t>
      </w:r>
    </w:p>
    <w:p>
      <w:pPr>
        <w:spacing w:after="0" w:line="1"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The Savings &amp; Community Bank Group provides service bureau processing and resource management services for savings institution and community bank clients and item processing services for all Fiserv clients nationwide. Business units within the Savings &amp; Community Bank Group include the following:</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Savings Institutions Division with business units in New Haven, Connecticut; Tampa, Florida; Cleveland, Ohio; Pittsburgh, Pennsylvania; San Antonio, Texas; Seattle, Washington; and Brookfield, Wisconsin.</w:t>
      </w:r>
    </w:p>
    <w:p>
      <w:pPr>
        <w:spacing w:after="0" w:line="1"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Banking Division with business units in Los Angeles, California; Miami, Florida; Atlanta, Georgia; Des Moines, Iowa; Bowling Green, Kentucky; Boston, Massachusetts; Mendota Heights, Minnesota; Amarillo, Beaumont, Houston and San Antonio, Texas; and Brookfield, Wisconsin.</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Northern Item Processing Region with business units in New Haven, Connecticut; Chicago, Marion and Pontiac, Illinois; Boston, Massachusetts; Piscataway, New Jersey; Lake Success, New York; and Milwaukee, Wisconsin.</w:t>
      </w:r>
    </w:p>
    <w:p>
      <w:pPr>
        <w:spacing w:after="0" w:line="1"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Southern Item Processing Region with business units in Little Rock, Arkansas; Jacksonville and Miami, Florida; Atlanta and Macon, Georgia; New Orleans, Louisiana; and Beaumont, Dallas, Houston and San Antonio, Texas.</w:t>
      </w:r>
    </w:p>
    <w:p>
      <w:pPr>
        <w:spacing w:after="0" w:line="1"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Western Item Processing Region with business units in Phoenix, Arizona; Alameda, Fresno, Fullerton, Sacramento, San Diego, San Leandro, Van Nuys and Walnut, California; Denver, Colorado; Portland, Oregon; and Seattle, Washington.</w:t>
      </w:r>
    </w:p>
    <w:p>
      <w:pPr>
        <w:spacing w:after="0" w:line="1" w:lineRule="exact"/>
        <w:rPr>
          <w:sz w:val="20"/>
          <w:szCs w:val="20"/>
          <w:color w:val="auto"/>
        </w:rPr>
      </w:pPr>
    </w:p>
    <w:p>
      <w:pPr>
        <w:ind w:right="3679" w:firstLine="775"/>
        <w:spacing w:after="0" w:line="250" w:lineRule="auto"/>
        <w:rPr>
          <w:sz w:val="20"/>
          <w:szCs w:val="20"/>
          <w:color w:val="auto"/>
        </w:rPr>
      </w:pPr>
      <w:r>
        <w:rPr>
          <w:rFonts w:ascii="Courier New" w:cs="Courier New" w:eastAsia="Courier New" w:hAnsi="Courier New"/>
          <w:sz w:val="14"/>
          <w:szCs w:val="14"/>
          <w:color w:val="auto"/>
        </w:rPr>
        <w:t>Fiserv Canada with item processing sites in Burlington, Calgary, Edmonton, Halifax, London, Montreal,Ottawa, Regina, St. Catherines, Toronto, Vancouver, Victoria and Winnipeg, Canada.</w:t>
      </w:r>
    </w:p>
    <w:p>
      <w:pPr>
        <w:spacing w:after="0" w:line="1"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The Bank &amp; Credit Union Group provides service bureau processing, in-house software systems and strategic outsourcing for national and international bank, mortgage bank and credit union clients. Business units within the Bank &amp; Credit Union Group include the following:</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CBS Worldwide Division with business units in Fresno, California; Orlando, Florida; Arlington Heights, Illinois; London, England; and Singapore.</w:t>
      </w:r>
    </w:p>
    <w:p>
      <w:pPr>
        <w:spacing w:after="0" w:line="1"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Financial Institutions Outsourcing Division with business units in Covina and Fresno, California; Honolulu, Hawaii; Arlington Heights, Illinois; Oklahoma City, Oklahoma; and Philadelphia and Pittsburgh,Pennsylvania.</w:t>
      </w:r>
    </w:p>
    <w:p>
      <w:pPr>
        <w:spacing w:after="0" w:line="1"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Credit Union Division with business units in Titusville, Florida; Flint and Troy, Michigan; Minneapolis, Minnesota; and Corvallis, Oregon.</w:t>
      </w:r>
    </w:p>
    <w:p>
      <w:pPr>
        <w:spacing w:after="0" w:line="1"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Additional business units within the Bank &amp; Credit Union Group include BankLink cash management services (New York, New York); Mortgage Products Division (Fort Lauderdale, Florida and South Bend, Indiana); Outsourced Services Division (Stamford, Connecticut); and Fiserv EFT electronic funds transfer services (Portland, Oregon).</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The Industry Products &amp; Services Group includes all Fiserv product and service company businesses marketing to clients within the Fiserv Corporate Groups, as well as marketing direct to clients within the financial, healthcare, insurance, retail, telecommunications and related industries.</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The Industry Products &amp; Services Group includes Communications Design marketing services (Sacramento, California); Fiserv Forms &amp; Graphics (Seattle, Washington); Fiserv Human Resource Information Services (Melville, New York); ImageSoft Technologies (Maitland, Florida); NEC Card Services (Indianapolis, Indiana and Houston, Texas); RECOM network consulting (Tampa, Florida); and Sendero Corporation asset/liability management and decision support systems (Scottsdale, Arizona; London, England and Singapore).</w:t>
      </w:r>
    </w:p>
    <w:p>
      <w:pPr>
        <w:spacing w:after="0" w:line="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Fiserv is active in the servicing, administration and record keeping for Individual Retirement Accounts (IRAs) and business retirement plans. Three subsidiary companies provide retirement plan processing services--First Trust Corporation, Lincoln Trust Company and The Affinity Group--all headquartered in Denver, Colorado. The Affinity Group also does business in Florida as Retirement Accounts, Inc. Cumulatively, these Fiserv subsidiaries service approximately 311,000 retirement plans and custodial accounts with assets valued at more than $18.12 billion.</w:t>
      </w:r>
    </w:p>
    <w:p>
      <w:pPr>
        <w:spacing w:after="0" w:line="3" w:lineRule="exact"/>
        <w:rPr>
          <w:sz w:val="20"/>
          <w:szCs w:val="20"/>
          <w:color w:val="auto"/>
        </w:rPr>
      </w:pPr>
    </w:p>
    <w:p>
      <w:pPr>
        <w:jc w:val="both"/>
        <w:ind w:right="3339" w:firstLine="775"/>
        <w:spacing w:after="0" w:line="265" w:lineRule="auto"/>
        <w:rPr>
          <w:sz w:val="20"/>
          <w:szCs w:val="20"/>
          <w:color w:val="auto"/>
        </w:rPr>
      </w:pPr>
      <w:r>
        <w:rPr>
          <w:rFonts w:ascii="Courier New" w:cs="Courier New" w:eastAsia="Courier New" w:hAnsi="Courier New"/>
          <w:sz w:val="14"/>
          <w:szCs w:val="14"/>
          <w:color w:val="auto"/>
        </w:rPr>
        <w:t>Information Technology, Inc. (ITI) is a Fiserv subsidiary company based in Lincoln, Nebraska, with an additional software development center in Birmingham, Alabama. ITI is a nationwide leader in the design, development, delivery, installation and support of the ITI Premier banking software and related services. The ITI product serves financial institutions directly through in-house software licenses, and indirectly through outsourcing providers using ITI software.</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Strategy</w:t>
      </w:r>
    </w:p>
    <w:p>
      <w:pPr>
        <w:sectPr>
          <w:pgSz w:w="11900" w:h="16838" w:orient="portrait"/>
          <w:cols w:equalWidth="0" w:num="1">
            <w:col w:w="10239"/>
          </w:cols>
          <w:pgMar w:left="220" w:top="922" w:right="1440" w:bottom="0" w:gutter="0" w:footer="0" w:header="0"/>
        </w:sectPr>
      </w:pPr>
    </w:p>
    <w:bookmarkStart w:id="3" w:name="page4"/>
    <w:bookmarkEnd w:id="3"/>
    <w:p>
      <w:pPr>
        <w:spacing w:after="0" w:line="118" w:lineRule="exact"/>
        <w:rPr>
          <w:sz w:val="20"/>
          <w:szCs w:val="20"/>
          <w:color w:val="auto"/>
        </w:rPr>
      </w:pPr>
    </w:p>
    <w:p>
      <w:pPr>
        <w:jc w:val="both"/>
        <w:ind w:right="3700" w:firstLine="775"/>
        <w:spacing w:after="0" w:line="255" w:lineRule="auto"/>
        <w:rPr>
          <w:sz w:val="20"/>
          <w:szCs w:val="20"/>
          <w:color w:val="auto"/>
        </w:rPr>
      </w:pPr>
      <w:r>
        <w:rPr>
          <w:rFonts w:ascii="Courier New" w:cs="Courier New" w:eastAsia="Courier New" w:hAnsi="Courier New"/>
          <w:sz w:val="14"/>
          <w:szCs w:val="14"/>
          <w:color w:val="auto"/>
        </w:rPr>
        <w:t>The market for products and services offered by financial institutions continues to undergo change. New alternative lending and investment products are being introduced and implemented by the industry with great frequency; the distinctions among financial services traditionally offered by savings and loan associations, banks and credit unions continue to narrow; and financial institutions diversify and consolidate on an ongoing basis in response to market pressures, as well as under the auspices of the Federal Deposit Insurance Corporation (FDIC) and the Credit Union National Association (CUNA).</w:t>
      </w:r>
    </w:p>
    <w:p>
      <w:pPr>
        <w:spacing w:after="0" w:line="3" w:lineRule="exact"/>
        <w:rPr>
          <w:sz w:val="20"/>
          <w:szCs w:val="20"/>
          <w:color w:val="auto"/>
        </w:rPr>
      </w:pPr>
    </w:p>
    <w:p>
      <w:pPr>
        <w:jc w:val="both"/>
        <w:ind w:right="3700" w:firstLine="775"/>
        <w:spacing w:after="0" w:line="253" w:lineRule="auto"/>
        <w:rPr>
          <w:sz w:val="20"/>
          <w:szCs w:val="20"/>
          <w:color w:val="auto"/>
        </w:rPr>
      </w:pPr>
      <w:r>
        <w:rPr>
          <w:rFonts w:ascii="Courier New" w:cs="Courier New" w:eastAsia="Courier New" w:hAnsi="Courier New"/>
          <w:sz w:val="14"/>
          <w:szCs w:val="14"/>
          <w:color w:val="auto"/>
        </w:rPr>
        <w:t>Although such market changes have led to consolidations which have reduced the number of financial institutions in the United States, such consolidations have not resulted in a material reduction of the number of customer accounts serviced by the financial industry as a whole. New entrants to the once limited financial services industry have opened new markets for Fiserv services.</w:t>
      </w:r>
    </w:p>
    <w:p>
      <w:pPr>
        <w:spacing w:after="0" w:line="158" w:lineRule="exact"/>
        <w:rPr>
          <w:sz w:val="20"/>
          <w:szCs w:val="20"/>
          <w:color w:val="auto"/>
        </w:rPr>
      </w:pPr>
    </w:p>
    <w:p>
      <w:pPr>
        <w:jc w:val="both"/>
        <w:ind w:right="3700" w:firstLine="775"/>
        <w:spacing w:after="0" w:line="252" w:lineRule="auto"/>
        <w:rPr>
          <w:sz w:val="20"/>
          <w:szCs w:val="20"/>
          <w:color w:val="auto"/>
        </w:rPr>
      </w:pPr>
      <w:r>
        <w:rPr>
          <w:rFonts w:ascii="Courier New" w:cs="Courier New" w:eastAsia="Courier New" w:hAnsi="Courier New"/>
          <w:sz w:val="14"/>
          <w:szCs w:val="14"/>
          <w:color w:val="auto"/>
        </w:rPr>
        <w:t>To stay competitive in this changing marketplace, financial institutions are finding they must aggressively meet the growing needs of their customers for a broad variety of new products and services that are typically transaction-oriented and fee-based. The growing volume and types of transactions and accounts have increased the data processing requirements of these institutions. As a consequence, Fiserv management believes that the financial services industry has become one of the largest users of data processing products and services.</w:t>
      </w:r>
    </w:p>
    <w:p>
      <w:pPr>
        <w:spacing w:after="0" w:line="159" w:lineRule="exact"/>
        <w:rPr>
          <w:sz w:val="20"/>
          <w:szCs w:val="20"/>
          <w:color w:val="auto"/>
        </w:rPr>
      </w:pPr>
    </w:p>
    <w:p>
      <w:pPr>
        <w:jc w:val="both"/>
        <w:ind w:right="3700" w:firstLine="775"/>
        <w:spacing w:after="0" w:line="252" w:lineRule="auto"/>
        <w:rPr>
          <w:sz w:val="20"/>
          <w:szCs w:val="20"/>
          <w:color w:val="auto"/>
        </w:rPr>
      </w:pPr>
      <w:r>
        <w:rPr>
          <w:rFonts w:ascii="Courier New" w:cs="Courier New" w:eastAsia="Courier New" w:hAnsi="Courier New"/>
          <w:sz w:val="14"/>
          <w:szCs w:val="14"/>
          <w:color w:val="auto"/>
        </w:rPr>
        <w:t>Moreover, Fiserv expects that the industry will continue to require significant commitments of capital and human resources to the information systems requirements, to require application of more specialized systems, and to require development, maintenance and enhancement of applications software. Fiserv believes that economies of scale in data processing operations are essential to justify the required level of expenditures and commitment of human resources.</w:t>
      </w:r>
    </w:p>
    <w:p>
      <w:pPr>
        <w:spacing w:after="0" w:line="160" w:lineRule="exact"/>
        <w:rPr>
          <w:sz w:val="20"/>
          <w:szCs w:val="20"/>
          <w:color w:val="auto"/>
        </w:rPr>
      </w:pPr>
    </w:p>
    <w:p>
      <w:pPr>
        <w:jc w:val="both"/>
        <w:ind w:right="3700" w:firstLine="775"/>
        <w:spacing w:after="0" w:line="250" w:lineRule="auto"/>
        <w:rPr>
          <w:sz w:val="20"/>
          <w:szCs w:val="20"/>
          <w:color w:val="auto"/>
        </w:rPr>
      </w:pPr>
      <w:r>
        <w:rPr>
          <w:rFonts w:ascii="Courier New" w:cs="Courier New" w:eastAsia="Courier New" w:hAnsi="Courier New"/>
          <w:sz w:val="14"/>
          <w:szCs w:val="14"/>
          <w:color w:val="auto"/>
        </w:rPr>
        <w:t>In response to these market dynamics, the means by which financial institutions obtain data processing services has changed. Many smaller, local and regional third-party data processors are leaving the business or consolidating with larger providers. A number of large financial institutions previously providing third-party processing services for other institutions have withdrawn from the business to concentrate on their primary, core businesses. Similarly, an increasing number of financial institutions that previously developed their own software systems and maintained their own data processing operations have outsourced their data processing requirements by licensing their software from a third party or by contracting with third-party processors to reduce costs and enhance their products and services. Outsourcing can involve simply the licensing of software, thereby eliminating the costly technical expertise within the financial institution, or the utilization of service bureaus, facilities management or resource management capability. Fiserv provides all of these options to the financial industry.</w:t>
      </w:r>
    </w:p>
    <w:p>
      <w:pPr>
        <w:spacing w:after="0" w:line="7" w:lineRule="exact"/>
        <w:rPr>
          <w:sz w:val="20"/>
          <w:szCs w:val="20"/>
          <w:color w:val="auto"/>
        </w:rPr>
      </w:pPr>
    </w:p>
    <w:p>
      <w:pPr>
        <w:jc w:val="both"/>
        <w:ind w:right="3700" w:firstLine="775"/>
        <w:spacing w:after="0" w:line="272" w:lineRule="auto"/>
        <w:rPr>
          <w:sz w:val="20"/>
          <w:szCs w:val="20"/>
          <w:color w:val="auto"/>
        </w:rPr>
      </w:pPr>
      <w:r>
        <w:rPr>
          <w:rFonts w:ascii="Courier New" w:cs="Courier New" w:eastAsia="Courier New" w:hAnsi="Courier New"/>
          <w:sz w:val="14"/>
          <w:szCs w:val="14"/>
          <w:color w:val="auto"/>
        </w:rPr>
        <w:t>To capitalize on these industry trends and to become the premier national provider of data processing products and services, Fiserv has implemented a strategy of continuing to develop new products, improving the cost effectiveness of services provided to clients, aggressively soliciting new clients and making both opportunistic and strategic acquisitions.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History</w:t>
      </w:r>
    </w:p>
    <w:p>
      <w:pPr>
        <w:spacing w:after="0" w:line="338" w:lineRule="exact"/>
        <w:rPr>
          <w:sz w:val="20"/>
          <w:szCs w:val="20"/>
          <w:color w:val="auto"/>
        </w:rPr>
      </w:pPr>
    </w:p>
    <w:p>
      <w:pPr>
        <w:spacing w:after="0"/>
        <w:tabs>
          <w:tab w:leader="none" w:pos="940" w:val="left"/>
          <w:tab w:leader="none" w:pos="2320" w:val="left"/>
          <w:tab w:leader="none" w:pos="7740" w:val="left"/>
        </w:tabs>
        <w:rPr>
          <w:sz w:val="20"/>
          <w:szCs w:val="20"/>
          <w:color w:val="auto"/>
        </w:rPr>
      </w:pPr>
      <w:r>
        <w:rPr>
          <w:rFonts w:ascii="Courier New" w:cs="Courier New" w:eastAsia="Courier New" w:hAnsi="Courier New"/>
          <w:sz w:val="14"/>
          <w:szCs w:val="14"/>
          <w:color w:val="auto"/>
        </w:rPr>
        <w:t>Formed</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4"/>
          <w:szCs w:val="14"/>
          <w:color w:val="auto"/>
        </w:rPr>
        <w:t>Service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1964</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July</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1984</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First Data Processing, Milwaukee, WI</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1971</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July</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1984</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Sunshine State Systems, Tampa, FL</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24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1966</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Nov.</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1984</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San Antonio, Inc., San Antonio, TX</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255"/>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1982</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Oct.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1985</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Sendero Corporation, Scottsdale, AZ</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Asset/liability management</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1962</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Oct.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1985</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First Trust Corporation, Denver, CO</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DP for retirement planning</w:t>
            </w:r>
          </w:p>
        </w:tc>
      </w:tr>
      <w:tr>
        <w:trPr>
          <w:trHeight w:val="24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1962</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Oct.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1985</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First Retirement Marketing, Denver, CO</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Retirement planning services</w:t>
            </w:r>
          </w:p>
        </w:tc>
      </w:tr>
      <w:tr>
        <w:trPr>
          <w:trHeight w:val="255"/>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1973</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Jan.</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1986</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On-Line, Inc., Seattle, WA</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 forms</w:t>
            </w:r>
          </w:p>
        </w:tc>
      </w:tr>
      <w:tr>
        <w:trPr>
          <w:trHeight w:val="24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1966</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May</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1986</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First City Financial Systems, Inc., Beaumont, TX</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255"/>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1962</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Feb.</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1987</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Pamico, Inc., Milwaukee, WI</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Specialized forms</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1975</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Apr.</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1987</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Midwest Commerce Data Corp., Elkhart, IN</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1969</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Apr.</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1987</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Fidelity Financial Services, Inc., Spokane, WA</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24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1965</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Oct.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1987</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Capbanc Computer Corporation, Baton Rouge, LA</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255"/>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1971</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Feb.</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1988</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Minnesota On-Line Inc., Minneapolis, MN</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1965</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May</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1988</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Citizens Financial Corporation, Cleveland, OH</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1980</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May</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1988</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ZFC Electronic Data Services, Inc., Bowling Green, KY</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1969</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June</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1988</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GESCO Corporation, Fresno, CA</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1967</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Nov.</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1988</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Valley Federal Data Services, Los Angeles, CA</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24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1984</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Dec.</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1988</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Northeast Savings Data Services, Hartford, CT</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255"/>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1982</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May</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1989</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Triad Software Network, Ltd., Chicago, IL</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24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1969</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Aug.</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1989</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Northeast Datacom, Inc., New Haven, CT</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255"/>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1978</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Feb.</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1990</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Financial Accounting Services Inc., Pittsburgh, PA</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1974</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June</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1990</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Accurate Data On Line, Inc., Titusville, FL</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1982</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June</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1990</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GTE EFT Services Money Network, Fresno, CA</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EFT networks</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1968</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July</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1990</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First Interstate Management, Milwaukee, WI</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1982</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Oct.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1990</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GTE ATM Networks, Fresno, CA</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EFT networks</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1867</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Nov.</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1990</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Boston Safe Deposit &amp; Trust Co. IP Services, MA</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Item processing</w:t>
            </w:r>
          </w:p>
        </w:tc>
      </w:tr>
      <w:tr>
        <w:trPr>
          <w:trHeight w:val="24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1968</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Dec.</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1990</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First Bank, N.A. IP Services, Milwaukee, WI</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Item processing</w:t>
            </w:r>
          </w:p>
        </w:tc>
      </w:tr>
      <w:tr>
        <w:trPr>
          <w:trHeight w:val="255"/>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1979</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Apr.</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1991</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Citicorp Information Resources, Inc., Stamford, CT</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Data processing</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1980</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Apr.</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1991</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BMS Processing, Inc., Randolph, MA</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Item processing</w:t>
            </w:r>
          </w:p>
        </w:tc>
      </w:tr>
      <w:tr>
        <w:trPr>
          <w:trHeight w:val="166"/>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1979</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May</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1991</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FHLB of Dallas IP Services, Dallas, TX</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Item processing</w:t>
            </w:r>
          </w:p>
        </w:tc>
      </w:tr>
      <w:tr>
        <w:trPr>
          <w:trHeight w:val="242"/>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1980</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Nov.</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1991</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FHLB of Chicago IP Services, Chicago, IL</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Item processing</w:t>
            </w:r>
          </w:p>
        </w:tc>
      </w:tr>
      <w:tr>
        <w:trPr>
          <w:trHeight w:val="331"/>
        </w:trPr>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1977</w:t>
            </w:r>
          </w:p>
        </w:tc>
        <w:tc>
          <w:tcPr>
            <w:tcW w:w="760" w:type="dxa"/>
            <w:vAlign w:val="bottom"/>
          </w:tcPr>
          <w:p>
            <w:pPr>
              <w:ind w:left="300"/>
              <w:spacing w:after="0"/>
              <w:rPr>
                <w:sz w:val="20"/>
                <w:szCs w:val="20"/>
                <w:color w:val="auto"/>
              </w:rPr>
            </w:pPr>
            <w:r>
              <w:rPr>
                <w:rFonts w:ascii="Courier New" w:cs="Courier New" w:eastAsia="Courier New" w:hAnsi="Courier New"/>
                <w:sz w:val="14"/>
                <w:szCs w:val="14"/>
                <w:color w:val="auto"/>
              </w:rPr>
              <w:t>Feb.</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1992</w:t>
            </w:r>
          </w:p>
        </w:tc>
        <w:tc>
          <w:tcPr>
            <w:tcW w:w="5200" w:type="dxa"/>
            <w:vAlign w:val="bottom"/>
          </w:tcPr>
          <w:p>
            <w:pPr>
              <w:ind w:left="220"/>
              <w:spacing w:after="0"/>
              <w:rPr>
                <w:sz w:val="20"/>
                <w:szCs w:val="20"/>
                <w:color w:val="auto"/>
              </w:rPr>
            </w:pPr>
            <w:r>
              <w:rPr>
                <w:rFonts w:ascii="Courier New" w:cs="Courier New" w:eastAsia="Courier New" w:hAnsi="Courier New"/>
                <w:sz w:val="14"/>
                <w:szCs w:val="14"/>
                <w:color w:val="auto"/>
              </w:rPr>
              <w:t>Data Holdings, Inc., Indianapolis, IN</w:t>
            </w:r>
          </w:p>
        </w:tc>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Automated card services</w:t>
            </w:r>
          </w:p>
        </w:tc>
      </w:tr>
    </w:tbl>
    <w:p>
      <w:pPr>
        <w:sectPr>
          <w:pgSz w:w="11900" w:h="16956" w:orient="portrait"/>
          <w:cols w:equalWidth="0" w:num="1">
            <w:col w:w="10600"/>
          </w:cols>
          <w:pgMar w:left="220" w:top="115" w:right="1079" w:bottom="0" w:gutter="0" w:footer="0" w:header="0"/>
        </w:sectPr>
      </w:pPr>
    </w:p>
    <w:bookmarkStart w:id="4" w:name="page5"/>
    <w:bookmarkEnd w:id="4"/>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1980</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Feb.</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BMS On-Line Services, Inc. (assets), Randolph, MA</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1982</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Mar.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First American Information Services, St. Paul, MN</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1981</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Cadre, Inc., Avon, CT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Performance Analysis, Inc., Cincinnati, OH</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1986</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Oct.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Chase Manhattan Bank, REALM Software, NY</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1984</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Dec.</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Dakota Data Processing, Inc., Fargo, ND</w:t>
            </w:r>
          </w:p>
        </w:tc>
      </w:tr>
      <w:tr>
        <w:trPr>
          <w:trHeight w:val="242"/>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1983</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Dec.</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Banking Group Services, Inc., Somerville, MA</w:t>
            </w:r>
          </w:p>
        </w:tc>
      </w:tr>
      <w:tr>
        <w:trPr>
          <w:trHeight w:val="255"/>
        </w:trPr>
        <w:tc>
          <w:tcPr>
            <w:tcW w:w="960" w:type="dxa"/>
            <w:vAlign w:val="bottom"/>
          </w:tcPr>
          <w:p>
            <w:pPr>
              <w:spacing w:after="0"/>
              <w:rPr>
                <w:sz w:val="20"/>
                <w:szCs w:val="20"/>
                <w:color w:val="auto"/>
              </w:rPr>
            </w:pPr>
            <w:r>
              <w:rPr>
                <w:rFonts w:ascii="Courier New" w:cs="Courier New" w:eastAsia="Courier New" w:hAnsi="Courier New"/>
                <w:sz w:val="14"/>
                <w:szCs w:val="14"/>
                <w:color w:val="auto"/>
              </w:rPr>
              <w:t>1968</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Feb.</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Basis Information Technologies, Atlanta, GA</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1986</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Mar.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IPC Service Corporation (assets), Denver, CO</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1973</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EDS' FHLB Seattle (assets), Seattle, WA</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1982</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Datatronix Financial Services, San Diego, CA</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1966</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Data Line Service, Covina, CA</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1978</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Nov.</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Financial Processors, Inc., Miami, FL</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1974</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Nov.</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Financial Data Systems, Jacksonville, FL</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1961</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Nov.</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Financial Institutions Outsourcing, Pittsburgh, PA</w:t>
            </w:r>
          </w:p>
        </w:tc>
      </w:tr>
      <w:tr>
        <w:trPr>
          <w:trHeight w:val="242"/>
        </w:trPr>
        <w:tc>
          <w:tcPr>
            <w:tcW w:w="960" w:type="dxa"/>
            <w:vAlign w:val="bottom"/>
          </w:tcPr>
          <w:p>
            <w:pPr>
              <w:spacing w:after="0"/>
              <w:rPr>
                <w:sz w:val="20"/>
                <w:szCs w:val="20"/>
                <w:color w:val="auto"/>
              </w:rPr>
            </w:pPr>
            <w:r>
              <w:rPr>
                <w:rFonts w:ascii="Courier New" w:cs="Courier New" w:eastAsia="Courier New" w:hAnsi="Courier New"/>
                <w:sz w:val="14"/>
                <w:szCs w:val="14"/>
                <w:color w:val="auto"/>
              </w:rPr>
              <w:t>1972</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Nov.</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1993</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Data-Link Systems, South Bend, IN</w:t>
            </w:r>
          </w:p>
        </w:tc>
      </w:tr>
      <w:tr>
        <w:trPr>
          <w:trHeight w:val="255"/>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1985</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Apr.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National Embossing Company, Inc., Houston, TX</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1962</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Boatmen's Information Systems of Iowa, Des Moines</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1981</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Aug.</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FHLB of Atlanta IP Services, Atlanta, GA</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1989</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Nov.</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CBIS Imaging Technology Banking Unit, Maitland, FL</w:t>
            </w:r>
          </w:p>
        </w:tc>
      </w:tr>
      <w:tr>
        <w:trPr>
          <w:trHeight w:val="242"/>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1987</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Dec.</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1994</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RECOM Associates, Inc., Tampa, FL</w:t>
            </w:r>
          </w:p>
        </w:tc>
      </w:tr>
      <w:tr>
        <w:trPr>
          <w:trHeight w:val="255"/>
        </w:trPr>
        <w:tc>
          <w:tcPr>
            <w:tcW w:w="960" w:type="dxa"/>
            <w:vAlign w:val="bottom"/>
          </w:tcPr>
          <w:p>
            <w:pPr>
              <w:spacing w:after="0"/>
              <w:rPr>
                <w:sz w:val="20"/>
                <w:szCs w:val="20"/>
                <w:color w:val="auto"/>
              </w:rPr>
            </w:pPr>
            <w:r>
              <w:rPr>
                <w:rFonts w:ascii="Courier New" w:cs="Courier New" w:eastAsia="Courier New" w:hAnsi="Courier New"/>
                <w:sz w:val="14"/>
                <w:szCs w:val="14"/>
                <w:color w:val="auto"/>
              </w:rPr>
              <w:t>1970</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Jan.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Integrated Business Systems, Glendale, CA</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1977</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Feb.</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BankLink, Inc., New York, NY</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1976</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Information Technology, Inc., Lincoln, NE</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1957</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Aug.</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Lincoln Holdings, Inc., Denver, CO</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Sept.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SRS, Inc., Austin, TX</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Sept.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ALLTEL's Document Management Services, CA, NJ</w:t>
            </w:r>
          </w:p>
        </w:tc>
      </w:tr>
      <w:tr>
        <w:trPr>
          <w:trHeight w:val="242"/>
        </w:trPr>
        <w:tc>
          <w:tcPr>
            <w:tcW w:w="960" w:type="dxa"/>
            <w:vAlign w:val="bottom"/>
          </w:tcPr>
          <w:p>
            <w:pPr>
              <w:spacing w:after="0"/>
              <w:rPr>
                <w:sz w:val="20"/>
                <w:szCs w:val="20"/>
                <w:color w:val="auto"/>
              </w:rPr>
            </w:pPr>
            <w:r>
              <w:rPr>
                <w:rFonts w:ascii="Courier New" w:cs="Courier New" w:eastAsia="Courier New" w:hAnsi="Courier New"/>
                <w:sz w:val="14"/>
                <w:szCs w:val="14"/>
                <w:color w:val="auto"/>
              </w:rPr>
              <w:t>1978</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Nov.</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Financial Information Trust, Des Moines, IA</w:t>
            </w:r>
          </w:p>
        </w:tc>
      </w:tr>
      <w:tr>
        <w:trPr>
          <w:trHeight w:val="255"/>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1983</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Jan.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UniFi, Inc., Fort Lauderdale, FL</w:t>
            </w:r>
          </w:p>
        </w:tc>
      </w:tr>
      <w:tr>
        <w:trPr>
          <w:trHeight w:val="242"/>
        </w:trPr>
        <w:tc>
          <w:tcPr>
            <w:tcW w:w="960" w:type="dxa"/>
            <w:vAlign w:val="bottom"/>
          </w:tcPr>
          <w:p>
            <w:pPr>
              <w:spacing w:after="0"/>
              <w:rPr>
                <w:sz w:val="20"/>
                <w:szCs w:val="20"/>
                <w:color w:val="auto"/>
              </w:rPr>
            </w:pPr>
            <w:r>
              <w:rPr>
                <w:rFonts w:ascii="Courier New" w:cs="Courier New" w:eastAsia="Courier New" w:hAnsi="Courier New"/>
                <w:sz w:val="14"/>
                <w:szCs w:val="14"/>
                <w:color w:val="auto"/>
              </w:rPr>
              <w:t>1982</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Nov.</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Bankers Pension Services, Inc., Tustin, CA</w:t>
            </w:r>
          </w:p>
        </w:tc>
      </w:tr>
      <w:tr>
        <w:trPr>
          <w:trHeight w:val="497"/>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Systems, Services</w:t>
            </w:r>
          </w:p>
        </w:tc>
        <w:tc>
          <w:tcPr>
            <w:tcW w:w="5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Products</w:t>
            </w:r>
          </w:p>
        </w:tc>
      </w:tr>
      <w:tr>
        <w:trPr>
          <w:trHeight w:val="281"/>
        </w:trPr>
        <w:tc>
          <w:tcPr>
            <w:tcW w:w="960" w:type="dxa"/>
            <w:vAlign w:val="bottom"/>
          </w:tcPr>
          <w:p>
            <w:pPr>
              <w:ind w:left="780"/>
              <w:spacing w:after="0"/>
              <w:rPr>
                <w:sz w:val="20"/>
                <w:szCs w:val="20"/>
                <w:color w:val="auto"/>
              </w:rPr>
            </w:pPr>
            <w:r>
              <w:rPr>
                <w:rFonts w:ascii="Courier New" w:cs="Courier New" w:eastAsia="Courier New" w:hAnsi="Courier New"/>
                <w:sz w:val="14"/>
                <w:szCs w:val="14"/>
                <w:color w:val="auto"/>
                <w:w w:val="94"/>
              </w:rPr>
              <w:t>No</w:t>
            </w:r>
          </w:p>
        </w:tc>
        <w:tc>
          <w:tcPr>
            <w:tcW w:w="1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matter  what a</w:t>
            </w:r>
          </w:p>
        </w:tc>
        <w:tc>
          <w:tcPr>
            <w:tcW w:w="4560" w:type="dxa"/>
            <w:vAlign w:val="bottom"/>
          </w:tcPr>
          <w:p>
            <w:pPr>
              <w:ind w:left="160"/>
              <w:spacing w:after="0"/>
              <w:rPr>
                <w:sz w:val="20"/>
                <w:szCs w:val="20"/>
                <w:color w:val="auto"/>
              </w:rPr>
            </w:pPr>
            <w:r>
              <w:rPr>
                <w:rFonts w:ascii="Courier New" w:cs="Courier New" w:eastAsia="Courier New" w:hAnsi="Courier New"/>
                <w:sz w:val="14"/>
                <w:szCs w:val="14"/>
                <w:color w:val="auto"/>
              </w:rPr>
              <w:t>financial  institution  requires,  Fiserv  offers a</w:t>
            </w:r>
          </w:p>
        </w:tc>
      </w:tr>
    </w:tbl>
    <w:p>
      <w:pPr>
        <w:jc w:val="both"/>
        <w:ind w:right="140"/>
        <w:spacing w:after="0" w:line="250" w:lineRule="auto"/>
        <w:rPr>
          <w:sz w:val="20"/>
          <w:szCs w:val="20"/>
          <w:color w:val="auto"/>
        </w:rPr>
      </w:pPr>
      <w:r>
        <w:rPr>
          <w:rFonts w:ascii="Courier New" w:cs="Courier New" w:eastAsia="Courier New" w:hAnsi="Courier New"/>
          <w:sz w:val="14"/>
          <w:szCs w:val="14"/>
          <w:color w:val="auto"/>
        </w:rPr>
        <w:t>business-specific solution to satisfy its needs--from data processing to specialized in-house processing systems to customized outsourcing. Within this dynamic relationship, Fiserv brings the resources, expertise and technical specialization that gives an institution the security to focus its efforts on reaching its strategic business goals.</w:t>
      </w:r>
    </w:p>
    <w:p>
      <w:pPr>
        <w:spacing w:after="0" w:line="2" w:lineRule="exact"/>
        <w:rPr>
          <w:sz w:val="20"/>
          <w:szCs w:val="20"/>
          <w:color w:val="auto"/>
        </w:rPr>
      </w:pPr>
    </w:p>
    <w:p>
      <w:pPr>
        <w:jc w:val="both"/>
        <w:ind w:right="140" w:firstLine="775"/>
        <w:spacing w:after="0" w:line="250" w:lineRule="auto"/>
        <w:rPr>
          <w:sz w:val="20"/>
          <w:szCs w:val="20"/>
          <w:color w:val="auto"/>
        </w:rPr>
      </w:pPr>
      <w:r>
        <w:rPr>
          <w:rFonts w:ascii="Courier New" w:cs="Courier New" w:eastAsia="Courier New" w:hAnsi="Courier New"/>
          <w:sz w:val="14"/>
          <w:szCs w:val="14"/>
          <w:color w:val="auto"/>
        </w:rPr>
        <w:t>All Fiserv products and services are designed to help clients meet their ultimate goal: giving their customers the best possible service quickly, accurately and completely. Through their relationship with Fiserv, financial institutions gain the tools to enhance and expand their customer service: advanced technology, dependable and responsive support, product and system flexibility, and value for their money.</w:t>
      </w:r>
    </w:p>
    <w:p>
      <w:pPr>
        <w:spacing w:after="0" w:line="3" w:lineRule="exact"/>
        <w:rPr>
          <w:sz w:val="20"/>
          <w:szCs w:val="20"/>
          <w:color w:val="auto"/>
        </w:rPr>
      </w:pPr>
    </w:p>
    <w:p>
      <w:pPr>
        <w:jc w:val="both"/>
        <w:ind w:right="140" w:firstLine="775"/>
        <w:spacing w:after="0" w:line="258" w:lineRule="auto"/>
        <w:rPr>
          <w:sz w:val="20"/>
          <w:szCs w:val="20"/>
          <w:color w:val="auto"/>
        </w:rPr>
      </w:pPr>
      <w:r>
        <w:rPr>
          <w:rFonts w:ascii="Courier New" w:cs="Courier New" w:eastAsia="Courier New" w:hAnsi="Courier New"/>
          <w:sz w:val="14"/>
          <w:szCs w:val="14"/>
          <w:color w:val="auto"/>
        </w:rPr>
        <w:t>As a technology partner, Fiserv offers data processing solutions based on the financial institution's requirements. This broad base of offerings results in delivery options including service bureau capabilities; in-house software systems; and strategic technology alliances including facilities and resource management services. A host of financial information technology products and services complement these delivery methods: item processing and imaging technology services; backroom automation software systems; electronic funds transfer services; plastic cards and other related card management services; rate risk management systems; self-directed retirement plan processing; network installation and integration services; human resources outsourcing; design and production of business forms and marketing literature; and delivery and support of leading third-party software and hardware products.</w:t>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Service Dimension</w:t>
      </w:r>
    </w:p>
    <w:p>
      <w:pPr>
        <w:spacing w:after="0" w:line="173" w:lineRule="exact"/>
        <w:rPr>
          <w:sz w:val="20"/>
          <w:szCs w:val="20"/>
          <w:color w:val="auto"/>
        </w:rPr>
      </w:pPr>
    </w:p>
    <w:p>
      <w:pPr>
        <w:jc w:val="both"/>
        <w:ind w:right="140" w:firstLine="775"/>
        <w:spacing w:after="0" w:line="254" w:lineRule="auto"/>
        <w:rPr>
          <w:sz w:val="20"/>
          <w:szCs w:val="20"/>
          <w:color w:val="auto"/>
        </w:rPr>
      </w:pPr>
      <w:r>
        <w:rPr>
          <w:rFonts w:ascii="Courier New" w:cs="Courier New" w:eastAsia="Courier New" w:hAnsi="Courier New"/>
          <w:sz w:val="14"/>
          <w:szCs w:val="14"/>
          <w:color w:val="auto"/>
        </w:rPr>
        <w:t>Fiserv focuses on providing financial data processing systems and related information management services and products to banks, credit unions, mortgage banks, savings institutions and other financial intermediaries. This focus allows the Company to concentrate its advanced technology, industry experience, research and development on creating and supporting solutions uniquely designed for the financial industry. Based on market surveys of total clients served, Fiserv is the nation's leading independent data processing provider for banks and savings institutions; the leading item processing provider for banks and savings institutions combined; the number two data processing provider for credit unions; and the number two software and service provider for the mortgage industry.</w:t>
      </w:r>
    </w:p>
    <w:p>
      <w:pPr>
        <w:spacing w:after="0" w:line="2" w:lineRule="exact"/>
        <w:rPr>
          <w:sz w:val="20"/>
          <w:szCs w:val="20"/>
          <w:color w:val="auto"/>
        </w:rPr>
      </w:pPr>
    </w:p>
    <w:p>
      <w:pPr>
        <w:jc w:val="both"/>
        <w:ind w:right="140" w:firstLine="775"/>
        <w:spacing w:after="0" w:line="250" w:lineRule="auto"/>
        <w:rPr>
          <w:sz w:val="20"/>
          <w:szCs w:val="20"/>
          <w:color w:val="auto"/>
        </w:rPr>
      </w:pPr>
      <w:r>
        <w:rPr>
          <w:rFonts w:ascii="Courier New" w:cs="Courier New" w:eastAsia="Courier New" w:hAnsi="Courier New"/>
          <w:sz w:val="14"/>
          <w:szCs w:val="14"/>
          <w:color w:val="auto"/>
        </w:rPr>
        <w:t>Many financial institutions, including banks, credit unions, mortgage banks and savings institutions, rely on Fiserv data center service bureau solutions for their information processing needs. These solutions offer clients a choice of online systems compatible with their existing equipment. Fiserv data centers focus on the financial institution's needs within its local business climate, helping to better serve the customer base and provide quality service at all points of customer contact.</w:t>
      </w:r>
    </w:p>
    <w:p>
      <w:pPr>
        <w:spacing w:after="0" w:line="3" w:lineRule="exact"/>
        <w:rPr>
          <w:sz w:val="20"/>
          <w:szCs w:val="20"/>
          <w:color w:val="auto"/>
        </w:rPr>
      </w:pPr>
    </w:p>
    <w:p>
      <w:pPr>
        <w:jc w:val="both"/>
        <w:ind w:right="140" w:firstLine="775"/>
        <w:spacing w:after="0" w:line="250" w:lineRule="auto"/>
        <w:rPr>
          <w:sz w:val="20"/>
          <w:szCs w:val="20"/>
          <w:color w:val="auto"/>
        </w:rPr>
      </w:pPr>
      <w:r>
        <w:rPr>
          <w:rFonts w:ascii="Courier New" w:cs="Courier New" w:eastAsia="Courier New" w:hAnsi="Courier New"/>
          <w:sz w:val="14"/>
          <w:szCs w:val="14"/>
          <w:color w:val="auto"/>
        </w:rPr>
        <w:t>In-house software systems give clients a service delivery method that enables them to process their own work. These solutions offer clients a broad array of service capabilities to respond to emerging market opportunities. Specific to this Fiserv solution is the option of migrating between in-house or service bureau delivery approaches without new software conversion. The end result: a business alliance designed to help financial institutions respond to their customers while enabling each institution to select its preferred operating environment.</w:t>
      </w:r>
    </w:p>
    <w:p>
      <w:pPr>
        <w:spacing w:after="0" w:line="3" w:lineRule="exact"/>
        <w:rPr>
          <w:sz w:val="20"/>
          <w:szCs w:val="20"/>
          <w:color w:val="auto"/>
        </w:rPr>
      </w:pPr>
    </w:p>
    <w:p>
      <w:pPr>
        <w:jc w:val="both"/>
        <w:ind w:right="140" w:firstLine="775"/>
        <w:spacing w:after="0" w:line="262" w:lineRule="auto"/>
        <w:rPr>
          <w:sz w:val="20"/>
          <w:szCs w:val="20"/>
          <w:color w:val="auto"/>
        </w:rPr>
      </w:pPr>
      <w:r>
        <w:rPr>
          <w:rFonts w:ascii="Courier New" w:cs="Courier New" w:eastAsia="Courier New" w:hAnsi="Courier New"/>
          <w:sz w:val="14"/>
          <w:szCs w:val="14"/>
          <w:color w:val="auto"/>
        </w:rPr>
        <w:t>Strategic technology alliances offer financial institutions the option of full data processing management by Fiserv personnel on-site; or management of their systems at a Fiserv data center. Facilities Management brings Fiserv personnel to the client's site, while Resource Management brings the client's operations to one of the many Fiserv data processing or computer service centers throughout the United States. Both solutions are designed to meet the unique requirements of the client by partnering to minimize operating costs while allowing each client to maintain control of its software applications.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processing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Disaster recovery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Asset/liability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Asset/liability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processing</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processing, EFT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Mortgage banking services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Automated card services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Imaging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Network integration</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Specialized forms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management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&amp; services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DP for retirement planning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processing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processing</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&amp; services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DP for retirement planning</w:t>
      </w:r>
    </w:p>
    <w:p>
      <w:pPr>
        <w:sectPr>
          <w:pgSz w:w="11900" w:h="16966" w:orient="portrait"/>
          <w:cols w:equalWidth="0" w:num="2">
            <w:col w:w="7040" w:space="720"/>
            <w:col w:w="2479"/>
          </w:cols>
          <w:pgMar w:left="220" w:top="115" w:right="1440" w:bottom="0" w:gutter="0" w:footer="0" w:header="0"/>
        </w:sectPr>
      </w:pPr>
    </w:p>
    <w:bookmarkStart w:id="5" w:name="page6"/>
    <w:bookmarkEnd w:id="5"/>
    <w:p>
      <w:pPr>
        <w:spacing w:after="0" w:line="151" w:lineRule="exact"/>
        <w:rPr>
          <w:sz w:val="20"/>
          <w:szCs w:val="20"/>
          <w:color w:val="auto"/>
        </w:rPr>
      </w:pPr>
    </w:p>
    <w:p>
      <w:pPr>
        <w:jc w:val="both"/>
        <w:ind w:right="3339" w:firstLine="775"/>
        <w:spacing w:after="0" w:line="258" w:lineRule="auto"/>
        <w:rPr>
          <w:sz w:val="20"/>
          <w:szCs w:val="20"/>
          <w:color w:val="auto"/>
        </w:rPr>
      </w:pPr>
      <w:r>
        <w:rPr>
          <w:rFonts w:ascii="Courier New" w:cs="Courier New" w:eastAsia="Courier New" w:hAnsi="Courier New"/>
          <w:sz w:val="14"/>
          <w:szCs w:val="14"/>
          <w:color w:val="auto"/>
        </w:rPr>
        <w:t>For institutions seeking to expand or enhance their mortgage banking capabilities, Fiserv offers a specialized line of mortgage products and services. The benefits of complete PC Windows(TM)-based origination and secondary marketing solutions and online, real-time loan servicing solutions are available to help clients effectively meet their mortgage banking needs.</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Offering comprehensive item processing (IP) services to more financial institutions than any other external provider, Fiserv maintains a network of specialized, regional processing centers in 45 cities. In a field where efficiencies are gained through volume, Fiserv is well positioned to leverage its resources and technological expertise for the benefit of IP services clients nationwide. Other item processing services include: proof of deposit, inclearing, statement rendering, bulkfile, lockbox, item research, overdraft processing, qualified returns and return items, cash letter deposit, fine sorting, account reconcilement and adjustments.</w:t>
      </w:r>
    </w:p>
    <w:p>
      <w:pPr>
        <w:spacing w:after="0" w:line="4"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A growing trend in check operations is the use of imaging technology. Fiserv offers a full range of image integration products and services. Included are image and document management systems for management, storage and presentation of check and document images.</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Fiserv is among the nation's leading third-party providers of electronic funds transfer (EFT) services, providing transaction authorization, comprehensive Automated Teller Machine / Point-of-Sale (ATM / POS) processing and card management services. Product flexibility and current technology, coupled with access to all major EFT services networks, helps to keep Fiserv clients competitive.</w:t>
      </w:r>
    </w:p>
    <w:p>
      <w:pPr>
        <w:spacing w:after="0" w:line="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As a leading systems integrator, Fiserv creates joint ventures that combine core competencies in hardware, software, functional application systems, networks, data management and end-user computing, along with dedicated human resources. In addition, Fiserv complements its service offerings through numerous strategic alliances with specialized third-party technology providers.</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As a worldwide provider of financial decision-support systems, Fiserv offers asset/liability management, data warehousing and performance measurement solutions. Consulting services help to analyze, enhance and expedite the total financial management process.</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Office automation and communication network integration services are designed to meet specialized information technology needs. Included are hardware and software installation, maintenance, on-site education and support for financial institutions.</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For cash management services, Fiserv offers a variety of software products that take into account an institution's particular needs. This portfolio of cash management solutions includes electronic banking information, reporting and transaction initiation services.</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Fiserv backroom automation systems provide PC-based productivity tools that deliver the software, service and support necessary to meet the customer service challenges facing the financial industry. The systems are designed to streamline backroom operations by reducing time, keystrokes and labor.</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A full range of human resource, benefit and payroll information services are available through Fiserv to help large organizations enhance their personnel management tasks. Marketing communications and a comprehensive financial business forms service, including communications needs analysis and complete project management, provide assistance at all levels of planning and implementation. Concept, development and design of printed pieces, ranging from direct mail and collateral material to annual reports, assist clients in communicating with their customer base.</w:t>
      </w:r>
    </w:p>
    <w:p>
      <w:pPr>
        <w:spacing w:after="0" w:line="3" w:lineRule="exact"/>
        <w:rPr>
          <w:sz w:val="20"/>
          <w:szCs w:val="20"/>
          <w:color w:val="auto"/>
        </w:rPr>
      </w:pPr>
    </w:p>
    <w:p>
      <w:pPr>
        <w:jc w:val="both"/>
        <w:ind w:right="3339" w:firstLine="775"/>
        <w:spacing w:after="0" w:line="265" w:lineRule="auto"/>
        <w:rPr>
          <w:sz w:val="20"/>
          <w:szCs w:val="20"/>
          <w:color w:val="auto"/>
        </w:rPr>
      </w:pPr>
      <w:r>
        <w:rPr>
          <w:rFonts w:ascii="Courier New" w:cs="Courier New" w:eastAsia="Courier New" w:hAnsi="Courier New"/>
          <w:sz w:val="14"/>
          <w:szCs w:val="14"/>
          <w:color w:val="auto"/>
        </w:rPr>
        <w:t>First Trust Corporation and Lincoln Trust Company, specialized providers of account processing, administration and trusteeship of self-directed individual and business retirement plans, are together the largest provider of their kind in the nation. Based in Denver, Colorado, these Fiserv companies specifically assist financial representatives and other financial service intermediaries in managing information through their proprietary data base technology.</w:t>
      </w: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Servicing the Market</w:t>
      </w:r>
    </w:p>
    <w:p>
      <w:pPr>
        <w:spacing w:after="0" w:line="173" w:lineRule="exact"/>
        <w:rPr>
          <w:sz w:val="20"/>
          <w:szCs w:val="20"/>
          <w:color w:val="auto"/>
        </w:rPr>
      </w:pPr>
    </w:p>
    <w:p>
      <w:pPr>
        <w:jc w:val="both"/>
        <w:ind w:right="3339" w:firstLine="775"/>
        <w:spacing w:after="0" w:line="256" w:lineRule="auto"/>
        <w:rPr>
          <w:sz w:val="20"/>
          <w:szCs w:val="20"/>
          <w:color w:val="auto"/>
        </w:rPr>
      </w:pPr>
      <w:r>
        <w:rPr>
          <w:rFonts w:ascii="Courier New" w:cs="Courier New" w:eastAsia="Courier New" w:hAnsi="Courier New"/>
          <w:sz w:val="14"/>
          <w:szCs w:val="14"/>
          <w:color w:val="auto"/>
        </w:rPr>
        <w:t>The market for Fiserv data processing services and products has specific needs and requirements, with strong emphasis placed by clients on software flexibility, product quality, reliability of service, comprehensiveness and integration of product line, timely introduction of new products and features, and cost value. Through its multiple product offerings, the Company successfully services these market needs for clients ranging in size from start-ups to some of the largest institutions worldwide.</w:t>
      </w:r>
    </w:p>
    <w:p>
      <w:pPr>
        <w:spacing w:after="0" w:line="1"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Fiserv believes that the position it holds as an independent, growth-oriented company dedicated to its business is an advantage to its clients. The Company differs from many of the data processing resources currently available since it isn't a regional or local cooperatively owned organization, nor a data processing subsidiary, an affiliate of a financial institution or a hardware vendor. Due to the economies of scale gained through its broad market presence, Fiserv offers clients a selection of data processing solutions designed to meet the specific needs of financial institutions.</w:t>
      </w:r>
    </w:p>
    <w:p>
      <w:pPr>
        <w:spacing w:after="0" w:line="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The Company believes this independence and primary focus on the financial industry helps its business development and related Client Service and Product Support teams remain responsive to the data processing needs of its market, now and for the future.</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"The Client Comes First" is one of the Company's founding principles. It's a belief backed by a dedication to providing ongoing client service and support--no matter the institution size. The Fiserv Client Support and Account Management staff is responsible for the day-to-day interface with the operations of clients.</w:t>
      </w:r>
    </w:p>
    <w:p>
      <w:pPr>
        <w:spacing w:after="0" w:line="2" w:lineRule="exact"/>
        <w:rPr>
          <w:sz w:val="20"/>
          <w:szCs w:val="20"/>
          <w:color w:val="auto"/>
        </w:rPr>
      </w:pPr>
    </w:p>
    <w:p>
      <w:pPr>
        <w:jc w:val="both"/>
        <w:ind w:right="3339" w:firstLine="775"/>
        <w:spacing w:after="0" w:line="267" w:lineRule="auto"/>
        <w:rPr>
          <w:sz w:val="20"/>
          <w:szCs w:val="20"/>
          <w:color w:val="auto"/>
        </w:rPr>
      </w:pPr>
      <w:r>
        <w:rPr>
          <w:rFonts w:ascii="Courier New" w:cs="Courier New" w:eastAsia="Courier New" w:hAnsi="Courier New"/>
          <w:sz w:val="14"/>
          <w:szCs w:val="14"/>
          <w:color w:val="auto"/>
        </w:rPr>
        <w:t>The Company's commitment of substantial resources to training and technical support helps keep Fiserv clients first. Fiserv conducts the majority of its new and ongoing client training in its data centers, where the Company maintains fully equipped demonstration and training facilities containing equipment used in the delivery of Fiserv services. Fiserv also provides local and on-site training services.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Development</w:t>
      </w:r>
    </w:p>
    <w:p>
      <w:pPr>
        <w:spacing w:after="0" w:line="173" w:lineRule="exact"/>
        <w:rPr>
          <w:sz w:val="20"/>
          <w:szCs w:val="20"/>
          <w:color w:val="auto"/>
        </w:rPr>
      </w:pPr>
    </w:p>
    <w:p>
      <w:pPr>
        <w:jc w:val="both"/>
        <w:ind w:right="3339" w:firstLine="775"/>
        <w:spacing w:after="0" w:line="292" w:lineRule="auto"/>
        <w:rPr>
          <w:sz w:val="20"/>
          <w:szCs w:val="20"/>
          <w:color w:val="auto"/>
        </w:rPr>
      </w:pPr>
      <w:r>
        <w:rPr>
          <w:rFonts w:ascii="Courier New" w:cs="Courier New" w:eastAsia="Courier New" w:hAnsi="Courier New"/>
          <w:sz w:val="14"/>
          <w:szCs w:val="14"/>
          <w:color w:val="auto"/>
        </w:rPr>
        <w:t>In order to meet the changing data processing needs of the financial institutions served by Fiserv, the Company continually develops, maintains and enhances its systems. Resources applied to product development and maintenance are believed to be approximately 8% to 10% of Company revenues, about half of</w:t>
      </w:r>
    </w:p>
    <w:p>
      <w:pPr>
        <w:sectPr>
          <w:pgSz w:w="11900" w:h="16989" w:orient="portrait"/>
          <w:cols w:equalWidth="0" w:num="1">
            <w:col w:w="10239"/>
          </w:cols>
          <w:pgMar w:left="220" w:top="115" w:right="1440" w:bottom="0" w:gutter="0" w:footer="0" w:header="0"/>
        </w:sectPr>
      </w:pPr>
    </w:p>
    <w:bookmarkStart w:id="6" w:name="page7"/>
    <w:bookmarkEnd w:id="6"/>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is dedicated to software development.</w:t>
      </w:r>
    </w:p>
    <w:p>
      <w:pPr>
        <w:spacing w:after="0" w:line="3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Unique to Fiserv, its network of development and data processing centers applies the shared expertise of multiple Fiserv teams to design, develop and maintain specialized processing systems around the leading technology platforms. The applications of its account processing systems meet the preferences and diverse requirements of the various international, national, regional or local market-specific financial service environments of the Company's many clients.</w:t>
      </w:r>
    </w:p>
    <w:p>
      <w:pPr>
        <w:spacing w:after="0" w:line="160"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Though all Fiserv centers rely on the Company's nationally developed and supported software, each center has specialized capabilities that enable them to offer system application features and functions unique to their client base. Where the client's requirements warrant, Fiserv purchases software programs from third parties which are interfaced with existing Fiserv systems. In developing its products, Fiserv stresses responsiveness to the needs of its clients through close client contact.</w:t>
      </w:r>
    </w:p>
    <w:p>
      <w:pPr>
        <w:spacing w:after="0" w:line="3" w:lineRule="exact"/>
        <w:rPr>
          <w:sz w:val="20"/>
          <w:szCs w:val="20"/>
          <w:color w:val="auto"/>
        </w:rPr>
      </w:pPr>
    </w:p>
    <w:p>
      <w:pPr>
        <w:jc w:val="both"/>
        <w:ind w:right="3339" w:firstLine="775"/>
        <w:spacing w:after="0" w:line="279" w:lineRule="auto"/>
        <w:rPr>
          <w:sz w:val="20"/>
          <w:szCs w:val="20"/>
          <w:color w:val="auto"/>
        </w:rPr>
      </w:pPr>
      <w:r>
        <w:rPr>
          <w:rFonts w:ascii="Courier New" w:cs="Courier New" w:eastAsia="Courier New" w:hAnsi="Courier New"/>
          <w:sz w:val="14"/>
          <w:szCs w:val="14"/>
          <w:color w:val="auto"/>
        </w:rPr>
        <w:t>Fiserv provides a dedicated system designed, developed, maintained and enhanced according to each client's goals for service quality, business development, asset/liability mix, local-market positioning and other user-defined parameters.</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jc w:val="both"/>
        <w:ind w:right="3339" w:firstLine="775"/>
        <w:spacing w:after="0" w:line="254" w:lineRule="auto"/>
        <w:rPr>
          <w:sz w:val="20"/>
          <w:szCs w:val="20"/>
          <w:color w:val="auto"/>
        </w:rPr>
      </w:pPr>
      <w:r>
        <w:rPr>
          <w:rFonts w:ascii="Courier New" w:cs="Courier New" w:eastAsia="Courier New" w:hAnsi="Courier New"/>
          <w:sz w:val="14"/>
          <w:szCs w:val="14"/>
          <w:color w:val="auto"/>
        </w:rPr>
        <w:t>The market for data processing services to banks, credit unions and savings institutions is highly competitive. The Company's principal competitors include internal data processing departments, data processing affiliates of financial institutions or large computer hardware manufacturers, independent computer service firms and processing centers owned and operated as user cooperatives. Fiserv competitors include EDS, M&amp;I, Bisys, ALLTEL, ISSC (IBM), Symitar and various regional firms. Certain of these competitors possess substantially greater financial, sales and marketing resources than the Company. Competition from in-house data processing and software departments is intensified by the efforts of computer hardware vendors who encourage the growth of internal data centers.</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Competitive factors for processing services include product quality, reliability of service, comprehensiveness and integration of product line, timely introduction of new products and features, and price. The Company believes that it competes favorably in each of these categories. In addition, the Company believes that its position as an independent vendor, rather than as a cooperative, an affiliate of a financial institution or a hardware vendor, is a competitive advantage.</w:t>
      </w:r>
    </w:p>
    <w:p>
      <w:pPr>
        <w:spacing w:after="0" w:line="3" w:lineRule="exact"/>
        <w:rPr>
          <w:sz w:val="20"/>
          <w:szCs w:val="20"/>
          <w:color w:val="auto"/>
        </w:rPr>
      </w:pPr>
    </w:p>
    <w:p>
      <w:pPr>
        <w:jc w:val="both"/>
        <w:ind w:right="3339" w:firstLine="775"/>
        <w:spacing w:after="0" w:line="336" w:lineRule="auto"/>
        <w:rPr>
          <w:sz w:val="20"/>
          <w:szCs w:val="20"/>
          <w:color w:val="auto"/>
        </w:rPr>
      </w:pPr>
      <w:r>
        <w:rPr>
          <w:rFonts w:ascii="Courier New" w:cs="Courier New" w:eastAsia="Courier New" w:hAnsi="Courier New"/>
          <w:sz w:val="14"/>
          <w:szCs w:val="14"/>
          <w:color w:val="auto"/>
        </w:rPr>
        <w:t>First Trust and Lincoln Trust compete with a number of large and small providers of retirement plan administration services.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Regulation</w:t>
      </w:r>
    </w:p>
    <w:p>
      <w:pPr>
        <w:spacing w:after="0" w:line="173" w:lineRule="exact"/>
        <w:rPr>
          <w:sz w:val="20"/>
          <w:szCs w:val="20"/>
          <w:color w:val="auto"/>
        </w:rPr>
      </w:pPr>
    </w:p>
    <w:p>
      <w:pPr>
        <w:jc w:val="both"/>
        <w:ind w:right="3339" w:firstLine="775"/>
        <w:spacing w:after="0" w:line="253" w:lineRule="auto"/>
        <w:rPr>
          <w:sz w:val="20"/>
          <w:szCs w:val="20"/>
          <w:color w:val="auto"/>
        </w:rPr>
      </w:pPr>
      <w:r>
        <w:rPr>
          <w:rFonts w:ascii="Courier New" w:cs="Courier New" w:eastAsia="Courier New" w:hAnsi="Courier New"/>
          <w:sz w:val="14"/>
          <w:szCs w:val="14"/>
          <w:color w:val="auto"/>
        </w:rPr>
        <w:t>The Company's data processing subsidiaries are not themselves directly subject to federal or state regulations specifically applicable to financial institutions such as banks, thrifts and credit unions. As a provider of services to these entities, however, the data processing operations are observed from time to time by the Federal Deposit Insurance Corporation, the National Credit Union Association, the Office of Thrift Supervision, the Office of the Comptroller of the Currency and various state regulatory authorities. These regulators make certain recommendations to the Company regarding various aspects of its data processing operations. Such recommendations are generally implemented by the Company. In addition, the Company's operations are reviewed annually by an independent auditor to provide required internal control evaluations for its clients' auditors and regulators.</w:t>
      </w:r>
    </w:p>
    <w:p>
      <w:pPr>
        <w:spacing w:after="0" w:line="7" w:lineRule="exact"/>
        <w:rPr>
          <w:sz w:val="20"/>
          <w:szCs w:val="20"/>
          <w:color w:val="auto"/>
        </w:rPr>
      </w:pPr>
    </w:p>
    <w:p>
      <w:pPr>
        <w:jc w:val="both"/>
        <w:ind w:right="3339" w:firstLine="775"/>
        <w:spacing w:after="0" w:line="265" w:lineRule="auto"/>
        <w:rPr>
          <w:sz w:val="20"/>
          <w:szCs w:val="20"/>
          <w:color w:val="auto"/>
        </w:rPr>
      </w:pPr>
      <w:r>
        <w:rPr>
          <w:rFonts w:ascii="Courier New" w:cs="Courier New" w:eastAsia="Courier New" w:hAnsi="Courier New"/>
          <w:sz w:val="14"/>
          <w:szCs w:val="14"/>
          <w:color w:val="auto"/>
        </w:rPr>
        <w:t>As trust companies under Colorado law, First Trust and Lincoln Trust are subject to the regulations of the Colorado Division of Banking. First Trust and Lincoln Trust historically have complied with such regulations and although no assurance can be given, the Company believes First Trust and Lincoln Trust will continue to be able to comply with such regulations. Commencing in 1991, First Trust received approval of its application for Federal Deposit Insurance Corporation coverage of its customer deposits.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jc w:val="both"/>
        <w:ind w:right="3339" w:firstLine="775"/>
        <w:spacing w:after="0" w:line="257" w:lineRule="auto"/>
        <w:rPr>
          <w:sz w:val="20"/>
          <w:szCs w:val="20"/>
          <w:color w:val="auto"/>
        </w:rPr>
      </w:pPr>
      <w:r>
        <w:rPr>
          <w:rFonts w:ascii="Courier New" w:cs="Courier New" w:eastAsia="Courier New" w:hAnsi="Courier New"/>
          <w:sz w:val="14"/>
          <w:szCs w:val="14"/>
          <w:color w:val="auto"/>
        </w:rPr>
        <w:t>Fiserv employs 8,590 specialists throughout the United States and worldwide in its information management centers and related product and service companies. This service support network includes employees with backgrounds in computer science and the financial industry, often complemented by management and other direct experience in banks, credit unions, mortgage firms, savings and other financial institution business environments.</w:t>
      </w:r>
    </w:p>
    <w:p>
      <w:pPr>
        <w:spacing w:after="0" w:line="1"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Fiserv employees provide expertise in sales and marketing; account management and client services; computer operations, network control and technical support; programming, software development, modification and maintenance; conversions and client training; and related support services.</w:t>
      </w:r>
    </w:p>
    <w:p>
      <w:pPr>
        <w:spacing w:after="0" w:line="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Fiserv employees are not represented by a union, and there have been no work stoppages, strikes or organizational attempts. The service nature of the Fiserv business makes its employees an important corporate asset, and while the market for qualified personnel is competitive, the Company does not experience difficulty with hiring or retaining its staff of top industry professionals. In assessing companies to acquire, the quality and stability of the prospective company's staff are emphasized.</w:t>
      </w:r>
    </w:p>
    <w:p>
      <w:pPr>
        <w:spacing w:after="0" w:line="3" w:lineRule="exact"/>
        <w:rPr>
          <w:sz w:val="20"/>
          <w:szCs w:val="20"/>
          <w:color w:val="auto"/>
        </w:rPr>
      </w:pPr>
    </w:p>
    <w:p>
      <w:pPr>
        <w:jc w:val="both"/>
        <w:ind w:right="3339" w:firstLine="775"/>
        <w:spacing w:after="0" w:line="293" w:lineRule="auto"/>
        <w:rPr>
          <w:sz w:val="20"/>
          <w:szCs w:val="20"/>
          <w:color w:val="auto"/>
        </w:rPr>
      </w:pPr>
      <w:r>
        <w:rPr>
          <w:rFonts w:ascii="Courier New" w:cs="Courier New" w:eastAsia="Courier New" w:hAnsi="Courier New"/>
          <w:sz w:val="14"/>
          <w:szCs w:val="14"/>
          <w:color w:val="auto"/>
        </w:rPr>
        <w:t>Management attributes its ability to attract and keep quality employees to, among other things, the Company's growth and dedication to state-of-the-art software development tools and hardware technologies.</w:t>
      </w:r>
    </w:p>
    <w:p>
      <w:pPr>
        <w:spacing w:after="0" w:line="5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jc w:val="both"/>
        <w:ind w:right="3339" w:firstLine="775"/>
        <w:spacing w:after="0" w:line="264" w:lineRule="auto"/>
        <w:rPr>
          <w:sz w:val="20"/>
          <w:szCs w:val="20"/>
          <w:color w:val="auto"/>
        </w:rPr>
      </w:pPr>
      <w:r>
        <w:rPr>
          <w:rFonts w:ascii="Courier New" w:cs="Courier New" w:eastAsia="Courier New" w:hAnsi="Courier New"/>
          <w:sz w:val="14"/>
          <w:szCs w:val="14"/>
          <w:color w:val="auto"/>
        </w:rPr>
        <w:t>Fiserv currently operates full-service data centers, software system development centers and item processing and back-office support centers in 75 cities (59 in the United States): Birmingham, Alabama; Phoenix and Scottsdale, Arizona; Little Rock, Arkansas; Alameda, Covina, Fresno, Fullerton, Los Angeles, Sacramento, San Diego, San Leandro, Van Nuys and Walnut, California; Denver, Colorado; New Haven and Stamford, Connecticut; Fort Lauderdale, Jacksonville, Maitland, Miami, Orlando, Tampa and Titusville, Florida; Atlanta and Macon, Georgia; Honolulu, Hawaii; Arlington Heights, Chicago, Marion and Pontiac, Illinois; Indianapolis and South Bend, Indiana; Des Moines, Iowa; Bowling Green, Kentucky; New Orleans, Louisiana; Boston, Massachusetts; Flint and Troy,</w:t>
      </w:r>
    </w:p>
    <w:p>
      <w:pPr>
        <w:sectPr>
          <w:pgSz w:w="11900" w:h="16968" w:orient="portrait"/>
          <w:cols w:equalWidth="0" w:num="1">
            <w:col w:w="10239"/>
          </w:cols>
          <w:pgMar w:left="220" w:top="115" w:right="1440" w:bottom="0" w:gutter="0" w:footer="0" w:header="0"/>
        </w:sectPr>
      </w:pPr>
    </w:p>
    <w:bookmarkStart w:id="7" w:name="page8"/>
    <w:bookmarkEnd w:id="7"/>
    <w:p>
      <w:pPr>
        <w:spacing w:after="0" w:line="151" w:lineRule="exact"/>
        <w:rPr>
          <w:sz w:val="20"/>
          <w:szCs w:val="20"/>
          <w:color w:val="auto"/>
        </w:rPr>
      </w:pPr>
    </w:p>
    <w:p>
      <w:pPr>
        <w:jc w:val="both"/>
        <w:ind w:right="3339"/>
        <w:spacing w:after="0" w:line="257" w:lineRule="auto"/>
        <w:rPr>
          <w:sz w:val="20"/>
          <w:szCs w:val="20"/>
          <w:color w:val="auto"/>
        </w:rPr>
      </w:pPr>
      <w:r>
        <w:rPr>
          <w:rFonts w:ascii="Courier New" w:cs="Courier New" w:eastAsia="Courier New" w:hAnsi="Courier New"/>
          <w:sz w:val="14"/>
          <w:szCs w:val="14"/>
          <w:color w:val="auto"/>
        </w:rPr>
        <w:t>Michigan; Mendota Heights and Minneapolis, Minnesota; Lincoln, Nebraska; Piscataway, New Jersey; Lake Success, Melville and New York, New York; Cleveland, Ohio; Oklahoma City, Oklahoma; Corvallis and Portland, Oregon; Philadelphia and Pittsburgh, Pennsylvania; Amarillo (FM), Beaumont, Dallas, Houston and San Antonio, Texas; Seattle, Washington; and Brookfield and Milwaukee, Wisconsin. International business centers are located in London, England; Singapore; and Burlington, Calgary, Edmonton, Halifax, London, Montreal, Ottawa, Regina, St. Catherines, Toronto, Vancouver, Victoria and Winnipeg, Canada.</w:t>
      </w:r>
    </w:p>
    <w:p>
      <w:pPr>
        <w:spacing w:after="0" w:line="158"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The Company owns facilities in Brookfield, Corvallis, Fresno, Hartford and Lincoln; all other buildings in which centers are located are subject to leases expiring through 1998 and beyond. The Company owns or leases 129 mainframe computers (Data General, Digital, Hewlett Packard, IBM, NCR and Unisys). In addition, the Company maintains its own national data communication network consisting of communications processors and leased lines.</w:t>
      </w:r>
    </w:p>
    <w:p>
      <w:pPr>
        <w:spacing w:after="0" w:line="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Fiserv believes its facilities and equipment are generally well maintained and are in good operating condition. The Company believes that the computer equipment it owns and its various facilities are adequate for its present and foreseeable business. Fiserv periodically upgrades its mainframe capability as needed. Fiserv contracts with multiple sites to provide processing backup in the event of a disaster and maintains duplicate tapes of data collected and software used in its business in locations away from the Company's facilities.</w:t>
      </w:r>
    </w:p>
    <w:p>
      <w:pPr>
        <w:spacing w:after="0" w:line="159" w:lineRule="exact"/>
        <w:rPr>
          <w:sz w:val="20"/>
          <w:szCs w:val="20"/>
          <w:color w:val="auto"/>
        </w:rPr>
      </w:pPr>
    </w:p>
    <w:p>
      <w:pPr>
        <w:jc w:val="both"/>
        <w:ind w:right="3339" w:firstLine="775"/>
        <w:spacing w:after="0" w:line="262" w:lineRule="auto"/>
        <w:rPr>
          <w:sz w:val="20"/>
          <w:szCs w:val="20"/>
          <w:color w:val="auto"/>
        </w:rPr>
      </w:pPr>
      <w:r>
        <w:rPr>
          <w:rFonts w:ascii="Courier New" w:cs="Courier New" w:eastAsia="Courier New" w:hAnsi="Courier New"/>
          <w:sz w:val="14"/>
          <w:szCs w:val="14"/>
          <w:color w:val="auto"/>
        </w:rPr>
        <w:t>Fiserv regards its software as proprietary and utilizes a combination of trade secrecy law, internal security practices and employee non-disclosure agreements for protection. The Company has not patented or registered the copyrights on its software. The Company believes that legal protection of its software, while important, is less significant than the knowledge and experience of the Company's management and personnel and their ability to develop, enhance and market new products and services. The Company believes that it holds all proprietary rights necessary for the conduct of its business.</w:t>
      </w:r>
    </w:p>
    <w:p>
      <w:pPr>
        <w:spacing w:after="0" w:line="8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jc w:val="both"/>
        <w:ind w:right="3339" w:firstLine="775"/>
        <w:spacing w:after="0" w:line="282" w:lineRule="auto"/>
        <w:rPr>
          <w:sz w:val="20"/>
          <w:szCs w:val="20"/>
          <w:color w:val="auto"/>
        </w:rPr>
      </w:pPr>
      <w:r>
        <w:rPr>
          <w:rFonts w:ascii="Courier New" w:cs="Courier New" w:eastAsia="Courier New" w:hAnsi="Courier New"/>
          <w:sz w:val="14"/>
          <w:szCs w:val="14"/>
          <w:color w:val="auto"/>
        </w:rPr>
        <w:t>In the normal course of business, the Company and its subsidiaries are named as defendants in various lawsuits in which claims are asserted against the Company. In the opinion of management, the liabilities, if any, which may ultimately result from such lawsuits are not expected to have a material adverse effect on the financial statements of the Company.</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jc w:val="both"/>
        <w:ind w:right="3339" w:firstLine="775"/>
        <w:spacing w:after="0" w:line="376" w:lineRule="auto"/>
        <w:rPr>
          <w:sz w:val="20"/>
          <w:szCs w:val="20"/>
          <w:color w:val="auto"/>
        </w:rPr>
      </w:pPr>
      <w:r>
        <w:rPr>
          <w:rFonts w:ascii="Courier New" w:cs="Courier New" w:eastAsia="Courier New" w:hAnsi="Courier New"/>
          <w:sz w:val="14"/>
          <w:szCs w:val="14"/>
          <w:color w:val="auto"/>
        </w:rPr>
        <w:t>During the fourth quarter of the fiscal year covered by this report, no matter was submitted to a vote of security holders of the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jc w:val="both"/>
        <w:ind w:right="3339" w:firstLine="775"/>
        <w:spacing w:after="0" w:line="313" w:lineRule="auto"/>
        <w:rPr>
          <w:sz w:val="20"/>
          <w:szCs w:val="20"/>
          <w:color w:val="auto"/>
        </w:rPr>
      </w:pPr>
      <w:r>
        <w:rPr>
          <w:rFonts w:ascii="Courier New" w:cs="Courier New" w:eastAsia="Courier New" w:hAnsi="Courier New"/>
          <w:sz w:val="14"/>
          <w:szCs w:val="14"/>
          <w:color w:val="auto"/>
        </w:rPr>
        <w:t>Pursuant to Instruction G(2) for Form 10-K, the information required in Items 5 through 8 is incorporated by reference from the Company's annual report to shareholders included in this Form 10-K Annual Report as Exhibit 13.</w:t>
      </w:r>
    </w:p>
    <w:p>
      <w:pPr>
        <w:spacing w:after="0" w:line="42" w:lineRule="exact"/>
        <w:rPr>
          <w:sz w:val="20"/>
          <w:szCs w:val="20"/>
          <w:color w:val="auto"/>
        </w:rPr>
      </w:pPr>
    </w:p>
    <w:p>
      <w:pPr>
        <w:ind w:right="4379"/>
        <w:spacing w:after="0" w:line="37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jc w:val="both"/>
        <w:ind w:right="3339" w:firstLine="775"/>
        <w:spacing w:after="0" w:line="282" w:lineRule="auto"/>
        <w:rPr>
          <w:sz w:val="20"/>
          <w:szCs w:val="20"/>
          <w:color w:val="auto"/>
        </w:rPr>
      </w:pPr>
      <w:r>
        <w:rPr>
          <w:rFonts w:ascii="Courier New" w:cs="Courier New" w:eastAsia="Courier New" w:hAnsi="Courier New"/>
          <w:sz w:val="14"/>
          <w:szCs w:val="14"/>
          <w:color w:val="auto"/>
        </w:rPr>
        <w:t>Pursuant to Instruction G(3) for Form 10-K, the information required in Items 10 through 13 is incorporated by reference from the Company's definitive proxy statement which is expected to be filed pursuant to Regulation 14A on or before February 17, 1997, and included in the Form 10-K Annual Report as Exhibit 28.</w:t>
      </w:r>
    </w:p>
    <w:p>
      <w:pPr>
        <w:spacing w:after="0" w:line="2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3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PART IV</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31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 (1)</w:t>
        <w:tab/>
        <w:t>Financial Statements:</w:t>
      </w:r>
    </w:p>
    <w:p>
      <w:pPr>
        <w:spacing w:after="0" w:line="173" w:lineRule="exact"/>
        <w:rPr>
          <w:sz w:val="20"/>
          <w:szCs w:val="20"/>
          <w:color w:val="auto"/>
        </w:rPr>
      </w:pPr>
    </w:p>
    <w:p>
      <w:pPr>
        <w:jc w:val="both"/>
        <w:ind w:right="3339" w:firstLine="775"/>
        <w:spacing w:after="0" w:line="275" w:lineRule="auto"/>
        <w:rPr>
          <w:sz w:val="20"/>
          <w:szCs w:val="20"/>
          <w:color w:val="auto"/>
        </w:rPr>
      </w:pPr>
      <w:r>
        <w:rPr>
          <w:rFonts w:ascii="Courier New" w:cs="Courier New" w:eastAsia="Courier New" w:hAnsi="Courier New"/>
          <w:sz w:val="14"/>
          <w:szCs w:val="14"/>
          <w:color w:val="auto"/>
        </w:rPr>
        <w:t>The consolidated financial statements of the companies as of December 31, 1996 and 1995 and for each of the three years in the period ending December 31, 1996, together with the report thereon of Deloitte &amp; Touche LLP, dated January 31, 1997, appear on pages 23 through 38 of the Company's annual report to shareholders, Exhibit 13 to this Form 10-K Annual Report, and are incorporated herein by reference.</w:t>
      </w:r>
    </w:p>
    <w:p>
      <w:pPr>
        <w:spacing w:after="0" w:line="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(a) (2)</w:t>
        <w:tab/>
        <w:t>Financial Statement Schedules:</w:t>
      </w:r>
    </w:p>
    <w:p>
      <w:pPr>
        <w:spacing w:after="0" w:line="173" w:lineRule="exact"/>
        <w:rPr>
          <w:sz w:val="20"/>
          <w:szCs w:val="20"/>
          <w:color w:val="auto"/>
        </w:rPr>
      </w:pPr>
    </w:p>
    <w:p>
      <w:pPr>
        <w:jc w:val="both"/>
        <w:ind w:right="3339" w:firstLine="775"/>
        <w:spacing w:after="0" w:line="313" w:lineRule="auto"/>
        <w:rPr>
          <w:sz w:val="20"/>
          <w:szCs w:val="20"/>
          <w:color w:val="auto"/>
        </w:rPr>
      </w:pPr>
      <w:r>
        <w:rPr>
          <w:rFonts w:ascii="Courier New" w:cs="Courier New" w:eastAsia="Courier New" w:hAnsi="Courier New"/>
          <w:sz w:val="14"/>
          <w:szCs w:val="14"/>
          <w:color w:val="auto"/>
        </w:rPr>
        <w:t>All financial statement schedules are omitted for the reason that they are either not applicable or not required or because the information required is contained in the consolidated financial statements or notes thereto.</w:t>
      </w:r>
    </w:p>
    <w:p>
      <w:pPr>
        <w:spacing w:after="0" w:line="42" w:lineRule="exact"/>
        <w:rPr>
          <w:sz w:val="20"/>
          <w:szCs w:val="20"/>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jc w:val="both"/>
        <w:ind w:right="3339" w:firstLine="775"/>
        <w:spacing w:after="0" w:line="292" w:lineRule="auto"/>
        <w:rPr>
          <w:sz w:val="20"/>
          <w:szCs w:val="20"/>
          <w:color w:val="auto"/>
        </w:rPr>
      </w:pPr>
      <w:r>
        <w:rPr>
          <w:rFonts w:ascii="Courier New" w:cs="Courier New" w:eastAsia="Courier New" w:hAnsi="Courier New"/>
          <w:sz w:val="14"/>
          <w:szCs w:val="14"/>
          <w:color w:val="auto"/>
        </w:rPr>
        <w:t>During 1996, the Company filed three reports on Form 8-K, one dated April 4, 1996, relating to an amendment of its processing contract with Chase Manhattan Corporation, and two dated July 25, 1996, and December 19, 1996, relating to an item processing contract with Canadian Imperial Bank of Canada.</w:t>
      </w:r>
    </w:p>
    <w:p>
      <w:pPr>
        <w:sectPr>
          <w:pgSz w:w="11900" w:h="16989" w:orient="portrait"/>
          <w:cols w:equalWidth="0" w:num="1">
            <w:col w:w="10239"/>
          </w:cols>
          <w:pgMar w:left="220" w:top="115" w:right="1440" w:bottom="0" w:gutter="0" w:footer="0" w:header="0"/>
        </w:sectPr>
      </w:pPr>
    </w:p>
    <w:bookmarkStart w:id="8" w:name="page9"/>
    <w:bookmarkEnd w:id="8"/>
    <w:p>
      <w:pPr>
        <w:ind w:left="432" w:hanging="432"/>
        <w:spacing w:after="0"/>
        <w:tabs>
          <w:tab w:leader="none" w:pos="43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772" w:right="3519" w:hanging="774"/>
        <w:spacing w:after="0" w:line="292" w:lineRule="auto"/>
        <w:tabs>
          <w:tab w:leader="none" w:pos="751"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Stock Purchase Agreement, dated as of April 6, 1995, by and between Fiserv, Inc. and Information Technology, Inc.(filed as Exhibit 2.1 to the Company's Registration Statement on Form S-3, File No. 33-58709, and incorporated herein by reference).</w:t>
      </w:r>
    </w:p>
    <w:p>
      <w:pPr>
        <w:spacing w:after="0" w:line="56" w:lineRule="exact"/>
        <w:rPr>
          <w:sz w:val="20"/>
          <w:szCs w:val="20"/>
          <w:color w:val="auto"/>
        </w:rPr>
      </w:pPr>
    </w:p>
    <w:p>
      <w:pPr>
        <w:jc w:val="both"/>
        <w:ind w:left="772" w:right="3679" w:hanging="774"/>
        <w:spacing w:after="0" w:line="313" w:lineRule="auto"/>
        <w:tabs>
          <w:tab w:leader="none" w:pos="751"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Articles of Incorporation, as amended (filed as Exhibit 3.1 to the Company's Registration Statement on Form S-4,File No. 33-62870, and incorporated herein by reference).</w:t>
      </w:r>
    </w:p>
    <w:p>
      <w:pPr>
        <w:spacing w:after="0" w:line="42" w:lineRule="exact"/>
        <w:rPr>
          <w:sz w:val="20"/>
          <w:szCs w:val="20"/>
          <w:color w:val="auto"/>
        </w:rPr>
      </w:pPr>
    </w:p>
    <w:p>
      <w:pPr>
        <w:ind w:left="772" w:right="3419" w:hanging="774"/>
        <w:spacing w:after="0" w:line="375" w:lineRule="auto"/>
        <w:tabs>
          <w:tab w:leader="none" w:pos="751"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By-laws (filed as Exhibit 3.2 to the Company's Registration Statement on Form S-4, File No. 33-62870, and incorporated herein by reference).</w:t>
      </w:r>
    </w:p>
    <w:p>
      <w:pPr>
        <w:spacing w:after="0" w:line="1" w:lineRule="exact"/>
        <w:rPr>
          <w:sz w:val="20"/>
          <w:szCs w:val="20"/>
          <w:color w:val="auto"/>
        </w:rPr>
      </w:pPr>
    </w:p>
    <w:p>
      <w:pPr>
        <w:jc w:val="both"/>
        <w:ind w:left="772" w:right="3339" w:hanging="774"/>
        <w:spacing w:after="0" w:line="282" w:lineRule="auto"/>
        <w:tabs>
          <w:tab w:leader="none" w:pos="751"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Credit Agreement dated as of May 17, 1995, as amended, by and among Fiserv, Inc., the Lenders Party Hereto, First Bank National Association, as Co-Agent and The Bank of New York, as Agent. (Not being filed herewith, but will be provided to the Commission upon its request, pursuant to Item 601(b) (4) (iii) (A) of Regulation S-K.)</w:t>
      </w:r>
    </w:p>
    <w:p>
      <w:pPr>
        <w:spacing w:after="0" w:line="62" w:lineRule="exact"/>
        <w:rPr>
          <w:sz w:val="20"/>
          <w:szCs w:val="20"/>
          <w:color w:val="auto"/>
        </w:rPr>
      </w:pPr>
    </w:p>
    <w:p>
      <w:pPr>
        <w:ind w:left="772" w:right="3339" w:hanging="774"/>
        <w:spacing w:after="0" w:line="275" w:lineRule="auto"/>
        <w:tabs>
          <w:tab w:leader="none" w:pos="751"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Note Purchase Agreement dated as of March 15, 1991, as amended, among Fiserv, Inc., Aid Association for Lutherans, Northwestern National Life Insurance Company, Northern Life Insurance Company and The North Atlantic Life Insurance Company of America. (Not being filed herewith, but will be provided to the Commission upon its request, pursuant to Item 601(b) (4) (iii) (A) of Regulation S-K.)</w:t>
      </w:r>
    </w:p>
    <w:p>
      <w:pPr>
        <w:spacing w:after="0" w:line="69" w:lineRule="exact"/>
        <w:rPr>
          <w:sz w:val="20"/>
          <w:szCs w:val="20"/>
          <w:color w:val="auto"/>
        </w:rPr>
      </w:pPr>
    </w:p>
    <w:p>
      <w:pPr>
        <w:jc w:val="both"/>
        <w:ind w:left="772" w:right="3339" w:hanging="774"/>
        <w:spacing w:after="0" w:line="292" w:lineRule="auto"/>
        <w:tabs>
          <w:tab w:leader="none" w:pos="751"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Note Purchase Agreement dated as of April 30, 1990, as amended, among Fiserv, Inc. and Teachers Insurance and Annuity Association of America. (Not being filed herewith, but will be provided to the Commission upon its request, pursuant to Item 601(b) (4) (iii) (A) of Regulation S-K.)</w:t>
      </w:r>
    </w:p>
    <w:p>
      <w:pPr>
        <w:spacing w:after="0" w:line="56" w:lineRule="exact"/>
        <w:rPr>
          <w:sz w:val="20"/>
          <w:szCs w:val="20"/>
          <w:color w:val="auto"/>
        </w:rPr>
      </w:pPr>
    </w:p>
    <w:p>
      <w:pPr>
        <w:jc w:val="both"/>
        <w:ind w:left="772" w:right="3339" w:hanging="774"/>
        <w:spacing w:after="0" w:line="257" w:lineRule="auto"/>
        <w:tabs>
          <w:tab w:leader="none" w:pos="751"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Note Purchase Agreement dated as of May 17, 1995, as amended, among Fiserv, Inc., Teachers Insurance and Annuity Association of America, Massachusetts Mutual Life Insurance Company, Aid Association for Lutherans, Northern Life Insurance Company and Northwestern National Life Insurance Company. (Not being filed herewith, but will be provided to the Commission upon its request, pursuant to Item 601(b) (4) (iii)</w:t>
      </w:r>
    </w:p>
    <w:p>
      <w:pPr>
        <w:spacing w:after="0" w:line="1" w:lineRule="exact"/>
        <w:rPr>
          <w:sz w:val="20"/>
          <w:szCs w:val="20"/>
          <w:color w:val="auto"/>
        </w:rPr>
      </w:pPr>
    </w:p>
    <w:p>
      <w:pPr>
        <w:ind w:left="1112" w:hanging="336"/>
        <w:spacing w:after="0"/>
        <w:tabs>
          <w:tab w:leader="none" w:pos="1112"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Regulation S-K.)</w:t>
      </w:r>
    </w:p>
    <w:p>
      <w:pPr>
        <w:spacing w:after="0" w:line="146"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w:t>
      </w:r>
    </w:p>
    <w:p>
      <w:pPr>
        <w:spacing w:after="0" w:line="173" w:lineRule="exact"/>
        <w:rPr>
          <w:sz w:val="20"/>
          <w:szCs w:val="20"/>
          <w:color w:val="auto"/>
        </w:rPr>
      </w:pPr>
    </w:p>
    <w:p>
      <w:pPr>
        <w:jc w:val="both"/>
        <w:ind w:left="772" w:right="3339" w:hanging="774"/>
        <w:spacing w:after="0" w:line="282" w:lineRule="auto"/>
        <w:tabs>
          <w:tab w:leader="none" w:pos="751"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Stock Purchase Agreement, dated as of December 31, 1992, by and between Fiserv, Inc. and First Financial Management Corporation, as amended by Amendment dated as of February 10, 1993, included in the Company's Current Report on Form 8-K, dated February 10, 1993 and incorporated herein by reference.</w:t>
      </w:r>
    </w:p>
    <w:p>
      <w:pPr>
        <w:spacing w:after="0" w:line="62" w:lineRule="exact"/>
        <w:rPr>
          <w:sz w:val="20"/>
          <w:szCs w:val="20"/>
          <w:color w:val="auto"/>
        </w:rPr>
      </w:pPr>
    </w:p>
    <w:p>
      <w:pPr>
        <w:jc w:val="both"/>
        <w:ind w:left="772" w:right="3339" w:hanging="774"/>
        <w:spacing w:after="0" w:line="275" w:lineRule="auto"/>
        <w:tabs>
          <w:tab w:leader="none" w:pos="751"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Stock and Asset Purchase Agreement, dated as of July 30, 1993, as amended, by and between Mellon Bank Corporation, Mellon Bank, N.A., Mellon Financial Services Corporation #1 and Vertical Technologies, Inc., as Sellers, and Fiserv, Inc., as Purchaser, included in the Company's Annual Report on Form 10-K, dated February 29, 1994, and incorporated herein by reference.</w:t>
      </w:r>
    </w:p>
    <w:p>
      <w:pPr>
        <w:spacing w:after="0" w:line="69" w:lineRule="exact"/>
        <w:rPr>
          <w:sz w:val="20"/>
          <w:szCs w:val="20"/>
          <w:color w:val="auto"/>
        </w:rPr>
      </w:pPr>
    </w:p>
    <w:p>
      <w:pPr>
        <w:ind w:left="772" w:hanging="772"/>
        <w:spacing w:after="0"/>
        <w:tabs>
          <w:tab w:leader="none" w:pos="77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Shares Used in Computing Earnings per Share.</w:t>
      </w:r>
    </w:p>
    <w:p>
      <w:pPr>
        <w:spacing w:after="0" w:line="173" w:lineRule="exact"/>
        <w:rPr>
          <w:sz w:val="20"/>
          <w:szCs w:val="20"/>
          <w:color w:val="auto"/>
        </w:rPr>
      </w:pPr>
    </w:p>
    <w:p>
      <w:pPr>
        <w:ind w:left="772" w:hanging="772"/>
        <w:spacing w:after="0"/>
        <w:tabs>
          <w:tab w:leader="none" w:pos="77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1996 Annual Report to Shareholders.</w:t>
      </w:r>
    </w:p>
    <w:p>
      <w:pPr>
        <w:spacing w:after="0" w:line="173" w:lineRule="exact"/>
        <w:rPr>
          <w:sz w:val="20"/>
          <w:szCs w:val="20"/>
          <w:color w:val="auto"/>
        </w:rPr>
      </w:pPr>
    </w:p>
    <w:p>
      <w:pPr>
        <w:ind w:left="772" w:hanging="772"/>
        <w:spacing w:after="0"/>
        <w:tabs>
          <w:tab w:leader="none" w:pos="772"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Subsidiaries of the Registrant.</w:t>
      </w:r>
    </w:p>
    <w:p>
      <w:pPr>
        <w:spacing w:after="0" w:line="173" w:lineRule="exact"/>
        <w:rPr>
          <w:sz w:val="20"/>
          <w:szCs w:val="20"/>
          <w:color w:val="auto"/>
        </w:rPr>
      </w:pPr>
    </w:p>
    <w:p>
      <w:pPr>
        <w:ind w:left="772" w:hanging="772"/>
        <w:spacing w:after="0"/>
        <w:tabs>
          <w:tab w:leader="none" w:pos="772"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Manually signed Consent of Independent Auditors.</w:t>
      </w:r>
    </w:p>
    <w:p>
      <w:pPr>
        <w:spacing w:after="0" w:line="173" w:lineRule="exact"/>
        <w:rPr>
          <w:sz w:val="20"/>
          <w:szCs w:val="20"/>
          <w:color w:val="auto"/>
        </w:rPr>
      </w:pPr>
    </w:p>
    <w:p>
      <w:pPr>
        <w:ind w:left="772" w:hanging="772"/>
        <w:spacing w:after="0"/>
        <w:tabs>
          <w:tab w:leader="none" w:pos="7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2" w:lineRule="exact"/>
        <w:rPr>
          <w:rFonts w:ascii="Courier New" w:cs="Courier New" w:eastAsia="Courier New" w:hAnsi="Courier New"/>
          <w:sz w:val="14"/>
          <w:szCs w:val="14"/>
          <w:color w:val="auto"/>
        </w:rPr>
      </w:pPr>
    </w:p>
    <w:p>
      <w:pPr>
        <w:jc w:val="both"/>
        <w:ind w:left="772" w:right="3339" w:hanging="772"/>
        <w:spacing w:after="0" w:line="313" w:lineRule="auto"/>
        <w:tabs>
          <w:tab w:leader="none" w:pos="77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definitive proxy statement for the 1997 annual meeting of shareholders to be held on March 20, 1997, to be filed pursuant to Regulation 14A under the Securities and Exchange Act of 1934.</w:t>
      </w:r>
    </w:p>
    <w:p>
      <w:pPr>
        <w:sectPr>
          <w:pgSz w:w="11900" w:h="16838" w:orient="portrait"/>
          <w:cols w:equalWidth="0" w:num="1">
            <w:col w:w="10231"/>
          </w:cols>
          <w:pgMar w:left="228" w:top="28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339" w:firstLine="775"/>
        <w:spacing w:after="0" w:line="313"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4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February 17, 1997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FISERV, INC.</w:t>
      </w:r>
    </w:p>
    <w:p>
      <w:pPr>
        <w:sectPr>
          <w:pgSz w:w="11900" w:h="16838" w:orient="portrait"/>
          <w:cols w:equalWidth="0" w:num="1">
            <w:col w:w="10239"/>
          </w:cols>
          <w:pgMar w:left="220" w:top="756" w:right="1440" w:bottom="1440" w:gutter="0" w:footer="0" w:header="0"/>
        </w:sectPr>
      </w:pP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GEORGE D. DALTON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D. Dalton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147" w:lineRule="exact"/>
        <w:rPr>
          <w:sz w:val="20"/>
          <w:szCs w:val="20"/>
          <w:color w:val="auto"/>
        </w:rPr>
      </w:pPr>
    </w:p>
    <w:p>
      <w:pPr>
        <w:sectPr>
          <w:pgSz w:w="11900" w:h="16838" w:orient="portrait"/>
          <w:cols w:equalWidth="0" w:num="2">
            <w:col w:w="180" w:space="600"/>
            <w:col w:w="9459"/>
          </w:cols>
          <w:pgMar w:left="220" w:top="756" w:right="1440" w:bottom="1440" w:gutter="0" w:footer="0" w:header="0"/>
          <w:type w:val="continuous"/>
        </w:sectPr>
      </w:pPr>
    </w:p>
    <w:p>
      <w:pPr>
        <w:jc w:val="both"/>
        <w:ind w:right="3339" w:firstLine="775"/>
        <w:spacing w:after="0" w:line="313"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 on behalf of the registrant and in the capacities indicated on February 17, 1997.</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/S/ George D. Dalton</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Chairman of the Board, Chief Executive Officer</w:t>
            </w:r>
          </w:p>
        </w:tc>
        <w:tc>
          <w:tcPr>
            <w:tcW w:w="0" w:type="dxa"/>
            <w:vAlign w:val="bottom"/>
          </w:tcPr>
          <w:p>
            <w:pPr>
              <w:spacing w:after="0"/>
              <w:rPr>
                <w:sz w:val="1"/>
                <w:szCs w:val="1"/>
                <w:color w:val="auto"/>
              </w:rPr>
            </w:pPr>
          </w:p>
        </w:tc>
      </w:tr>
      <w:tr>
        <w:trPr>
          <w:trHeight w:val="242"/>
        </w:trPr>
        <w:tc>
          <w:tcPr>
            <w:tcW w:w="2340" w:type="dxa"/>
            <w:vAlign w:val="bottom"/>
          </w:tcPr>
          <w:p>
            <w:pPr>
              <w:spacing w:after="0"/>
              <w:rPr>
                <w:sz w:val="20"/>
                <w:szCs w:val="20"/>
                <w:color w:val="auto"/>
              </w:rPr>
            </w:pPr>
            <w:r>
              <w:rPr>
                <w:rFonts w:ascii="Courier New" w:cs="Courier New" w:eastAsia="Courier New" w:hAnsi="Courier New"/>
                <w:sz w:val="14"/>
                <w:szCs w:val="14"/>
                <w:color w:val="auto"/>
              </w:rPr>
              <w:t>George D. Dalton</w:t>
            </w:r>
          </w:p>
        </w:tc>
        <w:tc>
          <w:tcPr>
            <w:tcW w:w="4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40" w:type="dxa"/>
            <w:vAlign w:val="bottom"/>
          </w:tcPr>
          <w:p>
            <w:pPr>
              <w:spacing w:after="0"/>
              <w:rPr>
                <w:sz w:val="20"/>
                <w:szCs w:val="20"/>
                <w:color w:val="auto"/>
              </w:rPr>
            </w:pPr>
            <w:r>
              <w:rPr>
                <w:rFonts w:ascii="Courier New" w:cs="Courier New" w:eastAsia="Courier New" w:hAnsi="Courier New"/>
                <w:sz w:val="14"/>
                <w:szCs w:val="14"/>
                <w:color w:val="auto"/>
              </w:rPr>
              <w:t>/S/ Leslie M. Muma</w:t>
            </w: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Vice Chairman of the Board, President,</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Leslie M. Muma</w:t>
            </w: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340" w:type="dxa"/>
            <w:vAlign w:val="bottom"/>
            <w:vMerge w:val="restart"/>
          </w:tcPr>
          <w:p>
            <w:pPr>
              <w:spacing w:after="0"/>
              <w:rPr>
                <w:sz w:val="20"/>
                <w:szCs w:val="20"/>
                <w:color w:val="auto"/>
              </w:rPr>
            </w:pPr>
            <w:r>
              <w:rPr>
                <w:rFonts w:ascii="Courier New" w:cs="Courier New" w:eastAsia="Courier New" w:hAnsi="Courier New"/>
                <w:sz w:val="14"/>
                <w:szCs w:val="14"/>
                <w:color w:val="auto"/>
              </w:rPr>
              <w:t>/S/ Donald F. Dillon</w:t>
            </w:r>
          </w:p>
        </w:tc>
        <w:tc>
          <w:tcPr>
            <w:tcW w:w="4220" w:type="dxa"/>
            <w:vAlign w:val="bottom"/>
          </w:tcPr>
          <w:p>
            <w:pPr>
              <w:ind w:left="80"/>
              <w:spacing w:after="0"/>
              <w:rPr>
                <w:sz w:val="20"/>
                <w:szCs w:val="20"/>
                <w:color w:val="auto"/>
              </w:rPr>
            </w:pPr>
            <w:r>
              <w:rPr>
                <w:rFonts w:ascii="Courier New" w:cs="Courier New" w:eastAsia="Courier New" w:hAnsi="Courier New"/>
                <w:sz w:val="14"/>
                <w:szCs w:val="14"/>
                <w:color w:val="auto"/>
              </w:rPr>
              <w:t>Chief Operating Officer</w:t>
            </w:r>
          </w:p>
        </w:tc>
        <w:tc>
          <w:tcPr>
            <w:tcW w:w="0" w:type="dxa"/>
            <w:vAlign w:val="bottom"/>
          </w:tcPr>
          <w:p>
            <w:pPr>
              <w:spacing w:after="0"/>
              <w:rPr>
                <w:sz w:val="1"/>
                <w:szCs w:val="1"/>
                <w:color w:val="auto"/>
              </w:rPr>
            </w:pPr>
          </w:p>
        </w:tc>
      </w:tr>
      <w:tr>
        <w:trPr>
          <w:trHeight w:val="90"/>
        </w:trPr>
        <w:tc>
          <w:tcPr>
            <w:tcW w:w="2340" w:type="dxa"/>
            <w:vAlign w:val="bottom"/>
            <w:vMerge w:val="continue"/>
          </w:tcPr>
          <w:p>
            <w:pPr>
              <w:spacing w:after="0"/>
              <w:rPr>
                <w:sz w:val="7"/>
                <w:szCs w:val="7"/>
                <w:color w:val="auto"/>
              </w:rPr>
            </w:pPr>
          </w:p>
        </w:tc>
        <w:tc>
          <w:tcPr>
            <w:tcW w:w="4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Vice Chairman of the Board,</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Donald F. Dillon</w:t>
            </w: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340" w:type="dxa"/>
            <w:vAlign w:val="bottom"/>
            <w:vMerge w:val="restart"/>
          </w:tcPr>
          <w:p>
            <w:pPr>
              <w:spacing w:after="0"/>
              <w:rPr>
                <w:sz w:val="20"/>
                <w:szCs w:val="20"/>
                <w:color w:val="auto"/>
              </w:rPr>
            </w:pPr>
            <w:r>
              <w:rPr>
                <w:rFonts w:ascii="Courier New" w:cs="Courier New" w:eastAsia="Courier New" w:hAnsi="Courier New"/>
                <w:sz w:val="14"/>
                <w:szCs w:val="14"/>
                <w:color w:val="auto"/>
              </w:rPr>
              <w:t>/S/ Kenneth R. Jensen</w:t>
            </w:r>
          </w:p>
        </w:tc>
        <w:tc>
          <w:tcPr>
            <w:tcW w:w="4220" w:type="dxa"/>
            <w:vAlign w:val="bottom"/>
          </w:tcPr>
          <w:p>
            <w:pPr>
              <w:ind w:left="80"/>
              <w:spacing w:after="0"/>
              <w:rPr>
                <w:sz w:val="20"/>
                <w:szCs w:val="20"/>
                <w:color w:val="auto"/>
              </w:rPr>
            </w:pPr>
            <w:r>
              <w:rPr>
                <w:rFonts w:ascii="Courier New" w:cs="Courier New" w:eastAsia="Courier New" w:hAnsi="Courier New"/>
                <w:sz w:val="14"/>
                <w:szCs w:val="14"/>
                <w:color w:val="auto"/>
              </w:rPr>
              <w:t>President - Information Technology, Inc.</w:t>
            </w:r>
          </w:p>
        </w:tc>
        <w:tc>
          <w:tcPr>
            <w:tcW w:w="0" w:type="dxa"/>
            <w:vAlign w:val="bottom"/>
          </w:tcPr>
          <w:p>
            <w:pPr>
              <w:spacing w:after="0"/>
              <w:rPr>
                <w:sz w:val="1"/>
                <w:szCs w:val="1"/>
                <w:color w:val="auto"/>
              </w:rPr>
            </w:pPr>
          </w:p>
        </w:tc>
      </w:tr>
      <w:tr>
        <w:trPr>
          <w:trHeight w:val="90"/>
        </w:trPr>
        <w:tc>
          <w:tcPr>
            <w:tcW w:w="2340" w:type="dxa"/>
            <w:vAlign w:val="bottom"/>
            <w:vMerge w:val="continue"/>
          </w:tcPr>
          <w:p>
            <w:pPr>
              <w:spacing w:after="0"/>
              <w:rPr>
                <w:sz w:val="7"/>
                <w:szCs w:val="7"/>
                <w:color w:val="auto"/>
              </w:rPr>
            </w:pPr>
          </w:p>
        </w:tc>
        <w:tc>
          <w:tcPr>
            <w:tcW w:w="4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Senior Executive Vice President, Chief Financial</w:t>
            </w: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Kenneth R. Jensen</w:t>
            </w: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340" w:type="dxa"/>
            <w:vAlign w:val="bottom"/>
            <w:vMerge w:val="restart"/>
          </w:tcPr>
          <w:p>
            <w:pPr>
              <w:spacing w:after="0"/>
              <w:rPr>
                <w:sz w:val="20"/>
                <w:szCs w:val="20"/>
                <w:color w:val="auto"/>
              </w:rPr>
            </w:pPr>
            <w:r>
              <w:rPr>
                <w:rFonts w:ascii="Courier New" w:cs="Courier New" w:eastAsia="Courier New" w:hAnsi="Courier New"/>
                <w:sz w:val="14"/>
                <w:szCs w:val="14"/>
                <w:color w:val="auto"/>
              </w:rPr>
              <w:t>/S/ Gerald J. Levy</w:t>
            </w:r>
          </w:p>
        </w:tc>
        <w:tc>
          <w:tcPr>
            <w:tcW w:w="4220" w:type="dxa"/>
            <w:vAlign w:val="bottom"/>
          </w:tcPr>
          <w:p>
            <w:pPr>
              <w:ind w:left="80"/>
              <w:spacing w:after="0"/>
              <w:rPr>
                <w:sz w:val="20"/>
                <w:szCs w:val="20"/>
                <w:color w:val="auto"/>
              </w:rPr>
            </w:pPr>
            <w:r>
              <w:rPr>
                <w:rFonts w:ascii="Courier New" w:cs="Courier New" w:eastAsia="Courier New" w:hAnsi="Courier New"/>
                <w:sz w:val="14"/>
                <w:szCs w:val="14"/>
                <w:color w:val="auto"/>
              </w:rPr>
              <w:t>Officer, Treasurer, Director</w:t>
            </w:r>
          </w:p>
        </w:tc>
        <w:tc>
          <w:tcPr>
            <w:tcW w:w="0" w:type="dxa"/>
            <w:vAlign w:val="bottom"/>
          </w:tcPr>
          <w:p>
            <w:pPr>
              <w:spacing w:after="0"/>
              <w:rPr>
                <w:sz w:val="1"/>
                <w:szCs w:val="1"/>
                <w:color w:val="auto"/>
              </w:rPr>
            </w:pPr>
          </w:p>
        </w:tc>
      </w:tr>
      <w:tr>
        <w:trPr>
          <w:trHeight w:val="90"/>
        </w:trPr>
        <w:tc>
          <w:tcPr>
            <w:tcW w:w="2340" w:type="dxa"/>
            <w:vAlign w:val="bottom"/>
            <w:vMerge w:val="continue"/>
          </w:tcPr>
          <w:p>
            <w:pPr>
              <w:spacing w:after="0"/>
              <w:rPr>
                <w:sz w:val="7"/>
                <w:szCs w:val="7"/>
                <w:color w:val="auto"/>
              </w:rPr>
            </w:pPr>
          </w:p>
        </w:tc>
        <w:tc>
          <w:tcPr>
            <w:tcW w:w="4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340" w:type="dxa"/>
            <w:vAlign w:val="bottom"/>
          </w:tcPr>
          <w:p>
            <w:pPr>
              <w:spacing w:after="0"/>
              <w:rPr>
                <w:sz w:val="20"/>
                <w:szCs w:val="20"/>
                <w:color w:val="auto"/>
              </w:rPr>
            </w:pPr>
            <w:r>
              <w:rPr>
                <w:rFonts w:ascii="Courier New" w:cs="Courier New" w:eastAsia="Courier New" w:hAnsi="Courier New"/>
                <w:sz w:val="14"/>
                <w:szCs w:val="14"/>
                <w:color w:val="auto"/>
              </w:rPr>
              <w:t>Gerald J. Levy</w:t>
            </w:r>
          </w:p>
        </w:tc>
        <w:tc>
          <w:tcPr>
            <w:tcW w:w="4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40" w:type="dxa"/>
            <w:vAlign w:val="bottom"/>
          </w:tcPr>
          <w:p>
            <w:pPr>
              <w:spacing w:after="0"/>
              <w:rPr>
                <w:sz w:val="20"/>
                <w:szCs w:val="20"/>
                <w:color w:val="auto"/>
              </w:rPr>
            </w:pPr>
            <w:r>
              <w:rPr>
                <w:rFonts w:ascii="Courier New" w:cs="Courier New" w:eastAsia="Courier New" w:hAnsi="Courier New"/>
                <w:sz w:val="14"/>
                <w:szCs w:val="14"/>
                <w:color w:val="auto"/>
              </w:rPr>
              <w:t>/S/ L. William Seidman</w:t>
            </w: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340" w:type="dxa"/>
            <w:vAlign w:val="bottom"/>
          </w:tcPr>
          <w:p>
            <w:pPr>
              <w:spacing w:after="0"/>
              <w:rPr>
                <w:sz w:val="20"/>
                <w:szCs w:val="20"/>
                <w:color w:val="auto"/>
              </w:rPr>
            </w:pPr>
            <w:r>
              <w:rPr>
                <w:rFonts w:ascii="Courier New" w:cs="Courier New" w:eastAsia="Courier New" w:hAnsi="Courier New"/>
                <w:sz w:val="14"/>
                <w:szCs w:val="14"/>
                <w:color w:val="auto"/>
              </w:rPr>
              <w:t>L. William Seidman</w:t>
            </w:r>
          </w:p>
        </w:tc>
        <w:tc>
          <w:tcPr>
            <w:tcW w:w="4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40" w:type="dxa"/>
            <w:vAlign w:val="bottom"/>
          </w:tcPr>
          <w:p>
            <w:pPr>
              <w:spacing w:after="0"/>
              <w:rPr>
                <w:sz w:val="20"/>
                <w:szCs w:val="20"/>
                <w:color w:val="auto"/>
              </w:rPr>
            </w:pPr>
            <w:r>
              <w:rPr>
                <w:rFonts w:ascii="Courier New" w:cs="Courier New" w:eastAsia="Courier New" w:hAnsi="Courier New"/>
                <w:sz w:val="14"/>
                <w:szCs w:val="14"/>
                <w:color w:val="auto"/>
              </w:rPr>
              <w:t>/S/ Thekla R. Shackelford</w:t>
            </w: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340" w:type="dxa"/>
            <w:vAlign w:val="bottom"/>
          </w:tcPr>
          <w:p>
            <w:pPr>
              <w:spacing w:after="0"/>
              <w:rPr>
                <w:sz w:val="20"/>
                <w:szCs w:val="20"/>
                <w:color w:val="auto"/>
              </w:rPr>
            </w:pPr>
            <w:r>
              <w:rPr>
                <w:rFonts w:ascii="Courier New" w:cs="Courier New" w:eastAsia="Courier New" w:hAnsi="Courier New"/>
                <w:sz w:val="14"/>
                <w:szCs w:val="14"/>
                <w:color w:val="auto"/>
              </w:rPr>
              <w:t>Thekla R. Shackelford</w:t>
            </w:r>
          </w:p>
        </w:tc>
        <w:tc>
          <w:tcPr>
            <w:tcW w:w="4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40" w:type="dxa"/>
            <w:vAlign w:val="bottom"/>
          </w:tcPr>
          <w:p>
            <w:pPr>
              <w:spacing w:after="0"/>
              <w:rPr>
                <w:sz w:val="20"/>
                <w:szCs w:val="20"/>
                <w:color w:val="auto"/>
              </w:rPr>
            </w:pPr>
            <w:r>
              <w:rPr>
                <w:rFonts w:ascii="Courier New" w:cs="Courier New" w:eastAsia="Courier New" w:hAnsi="Courier New"/>
                <w:sz w:val="14"/>
                <w:szCs w:val="14"/>
                <w:color w:val="auto"/>
              </w:rPr>
              <w:t>/S/ Roland D. Sullivan</w:t>
            </w: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Director</w:t>
            </w:r>
          </w:p>
        </w:tc>
        <w:tc>
          <w:tcPr>
            <w:tcW w:w="0" w:type="dxa"/>
            <w:vAlign w:val="bottom"/>
          </w:tcPr>
          <w:p>
            <w:pPr>
              <w:spacing w:after="0"/>
              <w:rPr>
                <w:sz w:val="1"/>
                <w:szCs w:val="1"/>
                <w:color w:val="auto"/>
              </w:rPr>
            </w:pPr>
          </w:p>
        </w:tc>
      </w:tr>
      <w:tr>
        <w:trPr>
          <w:trHeight w:val="242"/>
        </w:trPr>
        <w:tc>
          <w:tcPr>
            <w:tcW w:w="2340" w:type="dxa"/>
            <w:vAlign w:val="bottom"/>
          </w:tcPr>
          <w:p>
            <w:pPr>
              <w:spacing w:after="0"/>
              <w:rPr>
                <w:sz w:val="20"/>
                <w:szCs w:val="20"/>
                <w:color w:val="auto"/>
              </w:rPr>
            </w:pPr>
            <w:r>
              <w:rPr>
                <w:rFonts w:ascii="Courier New" w:cs="Courier New" w:eastAsia="Courier New" w:hAnsi="Courier New"/>
                <w:sz w:val="14"/>
                <w:szCs w:val="14"/>
                <w:color w:val="auto"/>
              </w:rPr>
              <w:t>Roland D. Sullivan</w:t>
            </w:r>
          </w:p>
        </w:tc>
        <w:tc>
          <w:tcPr>
            <w:tcW w:w="4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756"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EXHIBIT 11</w:t>
      </w:r>
    </w:p>
    <w:p>
      <w:pPr>
        <w:spacing w:after="0" w:line="3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COMPUTATION OF SHARES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240" w:type="dxa"/>
            <w:vAlign w:val="bottom"/>
          </w:tcPr>
          <w:p>
            <w:pPr>
              <w:ind w:left="2600"/>
              <w:spacing w:after="0"/>
              <w:rPr>
                <w:sz w:val="20"/>
                <w:szCs w:val="20"/>
                <w:color w:val="auto"/>
              </w:rPr>
            </w:pPr>
            <w:r>
              <w:rPr>
                <w:rFonts w:ascii="Courier New" w:cs="Courier New" w:eastAsia="Courier New" w:hAnsi="Courier New"/>
                <w:sz w:val="14"/>
                <w:szCs w:val="14"/>
                <w:color w:val="auto"/>
              </w:rPr>
              <w:t>USED IN</w:t>
            </w: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COMPUTING EARNINGS PER SHARE</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3240" w:type="dxa"/>
            <w:vAlign w:val="bottom"/>
          </w:tcPr>
          <w:p>
            <w:pPr>
              <w:spacing w:after="0"/>
              <w:rPr>
                <w:sz w:val="24"/>
                <w:szCs w:val="2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86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6"/>
        </w:trPr>
        <w:tc>
          <w:tcPr>
            <w:tcW w:w="324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6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1995</w:t>
            </w: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240" w:type="dxa"/>
            <w:vAlign w:val="bottom"/>
            <w:vMerge w:val="restart"/>
          </w:tcPr>
          <w:p>
            <w:pPr>
              <w:spacing w:after="0"/>
              <w:rPr>
                <w:sz w:val="20"/>
                <w:szCs w:val="20"/>
                <w:color w:val="auto"/>
              </w:rPr>
            </w:pPr>
            <w:r>
              <w:rPr>
                <w:rFonts w:ascii="Courier New" w:cs="Courier New" w:eastAsia="Courier New" w:hAnsi="Courier New"/>
                <w:sz w:val="14"/>
                <w:szCs w:val="14"/>
                <w:color w:val="auto"/>
              </w:rPr>
              <w:t>Primary:</w:t>
            </w:r>
          </w:p>
        </w:tc>
        <w:tc>
          <w:tcPr>
            <w:tcW w:w="36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2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24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45,229,000</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43,058,000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39,954,000</w:t>
            </w:r>
          </w:p>
        </w:tc>
        <w:tc>
          <w:tcPr>
            <w:tcW w:w="0" w:type="dxa"/>
            <w:vAlign w:val="bottom"/>
          </w:tcPr>
          <w:p>
            <w:pPr>
              <w:spacing w:after="0"/>
              <w:rPr>
                <w:sz w:val="1"/>
                <w:szCs w:val="1"/>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Common Stock Equivalents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969,000</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781,000</w:t>
            </w: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1"/>
                <w:szCs w:val="21"/>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240" w:type="dxa"/>
            <w:vAlign w:val="bottom"/>
          </w:tcPr>
          <w:p>
            <w:pPr>
              <w:spacing w:after="0"/>
              <w:rPr>
                <w:sz w:val="20"/>
                <w:szCs w:val="20"/>
                <w:color w:val="auto"/>
              </w:rPr>
            </w:pPr>
            <w:r>
              <w:rPr>
                <w:rFonts w:ascii="Courier New" w:cs="Courier New" w:eastAsia="Courier New" w:hAnsi="Courier New"/>
                <w:sz w:val="14"/>
                <w:szCs w:val="14"/>
                <w:color w:val="auto"/>
              </w:rPr>
              <w:t>Shares Used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46,198,000</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44,008,000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40,735,000</w:t>
            </w: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1"/>
                <w:szCs w:val="21"/>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324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 are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essentially</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the same as primary</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0"/>
                <w:szCs w:val="20"/>
                <w:color w:val="auto"/>
              </w:rPr>
            </w:pPr>
            <w:r>
              <w:rPr>
                <w:rFonts w:ascii="Courier New" w:cs="Courier New" w:eastAsia="Courier New" w:hAnsi="Courier New"/>
                <w:sz w:val="14"/>
                <w:szCs w:val="14"/>
                <w:color w:val="auto"/>
              </w:rPr>
              <w:t>per share for all periods presented.</w:t>
            </w:r>
          </w:p>
        </w:tc>
        <w:tc>
          <w:tcPr>
            <w:tcW w:w="1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11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FISERV, INC.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1996</w:t>
            </w:r>
          </w:p>
        </w:tc>
        <w:tc>
          <w:tcPr>
            <w:tcW w:w="520" w:type="dxa"/>
            <w:vAlign w:val="bottom"/>
          </w:tcPr>
          <w:p>
            <w:pPr>
              <w:spacing w:after="0"/>
              <w:rPr>
                <w:sz w:val="14"/>
                <w:szCs w:val="14"/>
                <w:color w:val="auto"/>
              </w:rPr>
            </w:pP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1995</w:t>
            </w:r>
          </w:p>
        </w:tc>
        <w:tc>
          <w:tcPr>
            <w:tcW w:w="42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2"/>
        </w:trPr>
        <w:tc>
          <w:tcPr>
            <w:tcW w:w="398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68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$798,268</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$703,380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579,839</w:t>
            </w:r>
          </w:p>
        </w:tc>
        <w:tc>
          <w:tcPr>
            <w:tcW w:w="0" w:type="dxa"/>
            <w:vAlign w:val="bottom"/>
          </w:tcPr>
          <w:p>
            <w:pPr>
              <w:spacing w:after="0"/>
              <w:rPr>
                <w:sz w:val="1"/>
                <w:szCs w:val="1"/>
                <w:color w:val="auto"/>
              </w:rPr>
            </w:pPr>
          </w:p>
        </w:tc>
      </w:tr>
      <w:tr>
        <w:trPr>
          <w:trHeight w:val="242"/>
        </w:trPr>
        <w:tc>
          <w:tcPr>
            <w:tcW w:w="3980" w:type="dxa"/>
            <w:vAlign w:val="bottom"/>
          </w:tcPr>
          <w:p>
            <w:pPr>
              <w:spacing w:after="0"/>
              <w:rPr>
                <w:sz w:val="21"/>
                <w:szCs w:val="21"/>
                <w:color w:val="auto"/>
              </w:rPr>
            </w:pPr>
          </w:p>
        </w:tc>
        <w:tc>
          <w:tcPr>
            <w:tcW w:w="29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Salaries, commissions and payroll</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371,526</w:t>
            </w:r>
          </w:p>
        </w:tc>
        <w:tc>
          <w:tcPr>
            <w:tcW w:w="112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330,845</w:t>
            </w:r>
          </w:p>
        </w:tc>
        <w:tc>
          <w:tcPr>
            <w:tcW w:w="42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281,651</w:t>
            </w: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related costs ...........................</w:t>
            </w:r>
          </w:p>
        </w:tc>
        <w:tc>
          <w:tcPr>
            <w:tcW w:w="68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Data processing expenses, rentals and</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90,919</w:t>
            </w:r>
          </w:p>
        </w:tc>
        <w:tc>
          <w:tcPr>
            <w:tcW w:w="520" w:type="dxa"/>
            <w:vAlign w:val="bottom"/>
          </w:tcPr>
          <w:p>
            <w:pPr>
              <w:spacing w:after="0"/>
              <w:rPr>
                <w:sz w:val="14"/>
                <w:szCs w:val="14"/>
                <w:color w:val="auto"/>
              </w:rPr>
            </w:pP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9"/>
              </w:rPr>
              <w:t>95,798</w:t>
            </w:r>
          </w:p>
        </w:tc>
        <w:tc>
          <w:tcPr>
            <w:tcW w:w="42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81,320</w:t>
            </w: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telecommunication costs .................</w:t>
            </w:r>
          </w:p>
        </w:tc>
        <w:tc>
          <w:tcPr>
            <w:tcW w:w="6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Other operating expenses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145,230</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125,498</w:t>
            </w:r>
          </w:p>
        </w:tc>
        <w:tc>
          <w:tcPr>
            <w:tcW w:w="4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109,975</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of</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42,241</w:t>
            </w:r>
          </w:p>
        </w:tc>
        <w:tc>
          <w:tcPr>
            <w:tcW w:w="520" w:type="dxa"/>
            <w:vAlign w:val="bottom"/>
          </w:tcPr>
          <w:p>
            <w:pPr>
              <w:spacing w:after="0"/>
              <w:rPr>
                <w:sz w:val="14"/>
                <w:szCs w:val="14"/>
                <w:color w:val="auto"/>
              </w:rPr>
            </w:pP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9"/>
              </w:rPr>
              <w:t>38,480</w:t>
            </w:r>
          </w:p>
        </w:tc>
        <w:tc>
          <w:tcPr>
            <w:tcW w:w="42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31,350</w:t>
            </w: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property and equipment ..................</w:t>
            </w:r>
          </w:p>
        </w:tc>
        <w:tc>
          <w:tcPr>
            <w:tcW w:w="6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Purchased incomplete software</w:t>
            </w:r>
          </w:p>
        </w:tc>
        <w:tc>
          <w:tcPr>
            <w:tcW w:w="680" w:type="dxa"/>
            <w:vAlign w:val="bottom"/>
          </w:tcPr>
          <w:p>
            <w:pPr>
              <w:spacing w:after="0"/>
              <w:rPr>
                <w:sz w:val="14"/>
                <w:szCs w:val="14"/>
                <w:color w:val="auto"/>
              </w:rPr>
            </w:pPr>
          </w:p>
        </w:tc>
        <w:tc>
          <w:tcPr>
            <w:tcW w:w="1120" w:type="dxa"/>
            <w:vAlign w:val="bottom"/>
            <w:gridSpan w:val="2"/>
            <w:vMerge w:val="restart"/>
          </w:tcPr>
          <w:p>
            <w:pPr>
              <w:jc w:val="right"/>
              <w:ind w:right="8"/>
              <w:spacing w:after="0"/>
              <w:rPr>
                <w:sz w:val="20"/>
                <w:szCs w:val="20"/>
                <w:color w:val="auto"/>
              </w:rPr>
            </w:pPr>
            <w:r>
              <w:rPr>
                <w:rFonts w:ascii="Courier New" w:cs="Courier New" w:eastAsia="Courier New" w:hAnsi="Courier New"/>
                <w:sz w:val="14"/>
                <w:szCs w:val="14"/>
                <w:color w:val="auto"/>
              </w:rPr>
              <w:t>172,970</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technology Note 2 .......................</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20,983</w:t>
            </w:r>
          </w:p>
        </w:tc>
        <w:tc>
          <w:tcPr>
            <w:tcW w:w="11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10,846</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 .........</w:t>
            </w:r>
          </w:p>
        </w:tc>
        <w:tc>
          <w:tcPr>
            <w:tcW w:w="6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25,880</w:t>
            </w:r>
          </w:p>
        </w:tc>
        <w:tc>
          <w:tcPr>
            <w:tcW w:w="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Amortization (capitalization) of internally</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3,732</w:t>
            </w:r>
          </w:p>
        </w:tc>
        <w:tc>
          <w:tcPr>
            <w:tcW w:w="5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(6,382)</w:t>
            </w:r>
          </w:p>
        </w:tc>
        <w:tc>
          <w:tcPr>
            <w:tcW w:w="4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(9,599)</w:t>
            </w: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generated computer software-net .........</w:t>
            </w:r>
          </w:p>
        </w:tc>
        <w:tc>
          <w:tcPr>
            <w:tcW w:w="6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TOTAL .....................................</w:t>
            </w:r>
          </w:p>
        </w:tc>
        <w:tc>
          <w:tcPr>
            <w:tcW w:w="2920" w:type="dxa"/>
            <w:vAlign w:val="bottom"/>
            <w:gridSpan w:val="5"/>
          </w:tcPr>
          <w:p>
            <w:pPr>
              <w:jc w:val="center"/>
              <w:ind w:lef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80" w:type="dxa"/>
            <w:vAlign w:val="bottom"/>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674,631</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783,089</w:t>
            </w:r>
          </w:p>
        </w:tc>
        <w:tc>
          <w:tcPr>
            <w:tcW w:w="4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505,543</w:t>
            </w:r>
          </w:p>
        </w:tc>
        <w:tc>
          <w:tcPr>
            <w:tcW w:w="0" w:type="dxa"/>
            <w:vAlign w:val="bottom"/>
          </w:tcPr>
          <w:p>
            <w:pPr>
              <w:spacing w:after="0"/>
              <w:rPr>
                <w:sz w:val="1"/>
                <w:szCs w:val="1"/>
                <w:color w:val="auto"/>
              </w:rPr>
            </w:pPr>
          </w:p>
        </w:tc>
      </w:tr>
      <w:tr>
        <w:trPr>
          <w:trHeight w:val="166"/>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INCOME (LOSS) ...................</w:t>
            </w:r>
          </w:p>
        </w:tc>
        <w:tc>
          <w:tcPr>
            <w:tcW w:w="2920" w:type="dxa"/>
            <w:vAlign w:val="bottom"/>
            <w:gridSpan w:val="5"/>
          </w:tcPr>
          <w:p>
            <w:pPr>
              <w:jc w:val="center"/>
              <w:ind w:lef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80" w:type="dxa"/>
            <w:vAlign w:val="bottom"/>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123,637</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(79,709)</w:t>
            </w:r>
          </w:p>
        </w:tc>
        <w:tc>
          <w:tcPr>
            <w:tcW w:w="4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74,296</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Interest expense - net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19,088</w:t>
            </w: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18,822</w:t>
            </w:r>
          </w:p>
        </w:tc>
        <w:tc>
          <w:tcPr>
            <w:tcW w:w="4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6,951</w:t>
            </w:r>
          </w:p>
        </w:tc>
        <w:tc>
          <w:tcPr>
            <w:tcW w:w="0" w:type="dxa"/>
            <w:vAlign w:val="bottom"/>
          </w:tcPr>
          <w:p>
            <w:pPr>
              <w:spacing w:after="0"/>
              <w:rPr>
                <w:sz w:val="1"/>
                <w:szCs w:val="1"/>
                <w:color w:val="auto"/>
              </w:rPr>
            </w:pPr>
          </w:p>
        </w:tc>
      </w:tr>
      <w:tr>
        <w:trPr>
          <w:trHeight w:val="166"/>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INCOME (LOSS) BEFORE INCOME TAXES .........</w:t>
            </w:r>
          </w:p>
        </w:tc>
        <w:tc>
          <w:tcPr>
            <w:tcW w:w="2920" w:type="dxa"/>
            <w:vAlign w:val="bottom"/>
            <w:gridSpan w:val="5"/>
          </w:tcPr>
          <w:p>
            <w:pPr>
              <w:jc w:val="center"/>
              <w:ind w:lef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80" w:type="dxa"/>
            <w:vAlign w:val="bottom"/>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104,549</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(98,531)</w:t>
            </w:r>
          </w:p>
        </w:tc>
        <w:tc>
          <w:tcPr>
            <w:tcW w:w="4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67,345</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tax provision (credit) Note 4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42,865</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(38,668)</w:t>
            </w:r>
          </w:p>
        </w:tc>
        <w:tc>
          <w:tcPr>
            <w:tcW w:w="4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26,938</w:t>
            </w:r>
          </w:p>
        </w:tc>
        <w:tc>
          <w:tcPr>
            <w:tcW w:w="0" w:type="dxa"/>
            <w:vAlign w:val="bottom"/>
          </w:tcPr>
          <w:p>
            <w:pPr>
              <w:spacing w:after="0"/>
              <w:rPr>
                <w:sz w:val="1"/>
                <w:szCs w:val="1"/>
                <w:color w:val="auto"/>
              </w:rPr>
            </w:pPr>
          </w:p>
        </w:tc>
      </w:tr>
      <w:tr>
        <w:trPr>
          <w:trHeight w:val="166"/>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 .........................</w:t>
            </w:r>
          </w:p>
        </w:tc>
        <w:tc>
          <w:tcPr>
            <w:tcW w:w="2920" w:type="dxa"/>
            <w:vAlign w:val="bottom"/>
            <w:gridSpan w:val="5"/>
          </w:tcPr>
          <w:p>
            <w:pPr>
              <w:jc w:val="center"/>
              <w:ind w:lef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80" w:type="dxa"/>
            <w:vAlign w:val="bottom"/>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$ 61,684</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(59,863)</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40,407</w:t>
            </w:r>
          </w:p>
        </w:tc>
        <w:tc>
          <w:tcPr>
            <w:tcW w:w="0" w:type="dxa"/>
            <w:vAlign w:val="bottom"/>
          </w:tcPr>
          <w:p>
            <w:pPr>
              <w:spacing w:after="0"/>
              <w:rPr>
                <w:sz w:val="1"/>
                <w:szCs w:val="1"/>
                <w:color w:val="auto"/>
              </w:rPr>
            </w:pPr>
          </w:p>
        </w:tc>
      </w:tr>
      <w:tr>
        <w:trPr>
          <w:trHeight w:val="242"/>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(loss) per common and</w:t>
            </w:r>
          </w:p>
        </w:tc>
        <w:tc>
          <w:tcPr>
            <w:tcW w:w="2920" w:type="dxa"/>
            <w:vAlign w:val="bottom"/>
            <w:gridSpan w:val="5"/>
          </w:tcPr>
          <w:p>
            <w:pPr>
              <w:jc w:val="center"/>
              <w:ind w:lef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980" w:type="dxa"/>
            <w:vAlign w:val="bottom"/>
            <w:vMerge w:val="continue"/>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   1.34</w:t>
            </w:r>
          </w:p>
        </w:tc>
        <w:tc>
          <w:tcPr>
            <w:tcW w:w="5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(1.36)</w:t>
            </w:r>
          </w:p>
        </w:tc>
        <w:tc>
          <w:tcPr>
            <w:tcW w:w="42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0.99</w:t>
            </w: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common equivalent share .................</w:t>
            </w:r>
          </w:p>
        </w:tc>
        <w:tc>
          <w:tcPr>
            <w:tcW w:w="6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Shares used in computing net</w:t>
            </w:r>
          </w:p>
        </w:tc>
        <w:tc>
          <w:tcPr>
            <w:tcW w:w="2920" w:type="dxa"/>
            <w:vAlign w:val="bottom"/>
            <w:gridSpan w:val="5"/>
          </w:tcPr>
          <w:p>
            <w:pPr>
              <w:jc w:val="center"/>
              <w:ind w:lef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980" w:type="dxa"/>
            <w:vAlign w:val="bottom"/>
            <w:vMerge w:val="continue"/>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46,198</w:t>
            </w:r>
          </w:p>
        </w:tc>
        <w:tc>
          <w:tcPr>
            <w:tcW w:w="520" w:type="dxa"/>
            <w:vAlign w:val="bottom"/>
          </w:tcPr>
          <w:p>
            <w:pPr>
              <w:spacing w:after="0"/>
              <w:rPr>
                <w:sz w:val="7"/>
                <w:szCs w:val="7"/>
                <w:color w:val="auto"/>
              </w:rPr>
            </w:pPr>
          </w:p>
        </w:tc>
        <w:tc>
          <w:tcPr>
            <w:tcW w:w="6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w w:val="99"/>
              </w:rPr>
              <w:t>44,008</w:t>
            </w:r>
          </w:p>
        </w:tc>
        <w:tc>
          <w:tcPr>
            <w:tcW w:w="420" w:type="dxa"/>
            <w:vAlign w:val="bottom"/>
          </w:tcPr>
          <w:p>
            <w:pPr>
              <w:spacing w:after="0"/>
              <w:rPr>
                <w:sz w:val="7"/>
                <w:szCs w:val="7"/>
                <w:color w:val="auto"/>
              </w:rPr>
            </w:pPr>
          </w:p>
        </w:tc>
        <w:tc>
          <w:tcPr>
            <w:tcW w:w="7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40,735</w:t>
            </w:r>
          </w:p>
        </w:tc>
        <w:tc>
          <w:tcPr>
            <w:tcW w:w="0" w:type="dxa"/>
            <w:vAlign w:val="bottom"/>
          </w:tcPr>
          <w:p>
            <w:pPr>
              <w:spacing w:after="0"/>
              <w:rPr>
                <w:sz w:val="1"/>
                <w:szCs w:val="1"/>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income per share ........................</w:t>
            </w:r>
          </w:p>
        </w:tc>
        <w:tc>
          <w:tcPr>
            <w:tcW w:w="68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14"/>
                <w:szCs w:val="14"/>
                <w:color w:val="auto"/>
              </w:rPr>
            </w:pPr>
          </w:p>
        </w:tc>
        <w:tc>
          <w:tcPr>
            <w:tcW w:w="2920" w:type="dxa"/>
            <w:vAlign w:val="bottom"/>
            <w:gridSpan w:val="5"/>
          </w:tcPr>
          <w:p>
            <w:pPr>
              <w:jc w:val="center"/>
              <w:ind w:lef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See notes to consolidated financial statements.</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spacing w:after="0"/>
              <w:rPr>
                <w:sz w:val="24"/>
                <w:szCs w:val="24"/>
                <w:color w:val="auto"/>
              </w:rPr>
            </w:pPr>
          </w:p>
        </w:tc>
        <w:tc>
          <w:tcPr>
            <w:tcW w:w="1120" w:type="dxa"/>
            <w:vAlign w:val="bottom"/>
            <w:gridSpan w:val="2"/>
            <w:vMerge w:val="restart"/>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6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9"/>
                <w:szCs w:val="19"/>
                <w:color w:val="auto"/>
                <w:w w:val="95"/>
                <w:vertAlign w:val="superscript"/>
              </w:rPr>
              <w:t>ASSETS</w:t>
            </w:r>
            <w:r>
              <w:rPr>
                <w:rFonts w:ascii="Courier New" w:cs="Courier New" w:eastAsia="Courier New" w:hAnsi="Courier New"/>
                <w:sz w:val="14"/>
                <w:szCs w:val="14"/>
                <w:color w:val="auto"/>
                <w:w w:val="95"/>
              </w:rPr>
              <w:t>..............</w:t>
            </w:r>
          </w:p>
        </w:tc>
        <w:tc>
          <w:tcPr>
            <w:tcW w:w="6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80,833</w:t>
            </w:r>
          </w:p>
        </w:tc>
        <w:tc>
          <w:tcPr>
            <w:tcW w:w="600" w:type="dxa"/>
            <w:vAlign w:val="bottom"/>
            <w:vMerge w:val="restart"/>
          </w:tcPr>
          <w:p>
            <w:pPr>
              <w:jc w:val="center"/>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gridSpan w:val="2"/>
            <w:vMerge w:val="restart"/>
          </w:tcPr>
          <w:p>
            <w:pPr>
              <w:jc w:val="right"/>
              <w:ind w:right="528"/>
              <w:spacing w:after="0"/>
              <w:rPr>
                <w:sz w:val="20"/>
                <w:szCs w:val="20"/>
                <w:color w:val="auto"/>
              </w:rPr>
            </w:pPr>
            <w:r>
              <w:rPr>
                <w:rFonts w:ascii="Courier New" w:cs="Courier New" w:eastAsia="Courier New" w:hAnsi="Courier New"/>
                <w:sz w:val="14"/>
                <w:szCs w:val="14"/>
                <w:color w:val="auto"/>
                <w:w w:val="99"/>
              </w:rPr>
              <w:t>59,743</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Cash and cash equivalents Note 1</w:t>
            </w:r>
          </w:p>
        </w:tc>
        <w:tc>
          <w:tcPr>
            <w:tcW w:w="6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Accounts receivable ...........................</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160,747</w:t>
            </w: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154,628</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Prepaid expenses and other assets Note 1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54,354</w:t>
            </w:r>
          </w:p>
        </w:tc>
        <w:tc>
          <w:tcPr>
            <w:tcW w:w="600" w:type="dxa"/>
            <w:vAlign w:val="bottom"/>
          </w:tcPr>
          <w:p>
            <w:pPr>
              <w:spacing w:after="0"/>
              <w:rPr>
                <w:sz w:val="14"/>
                <w:szCs w:val="14"/>
                <w:color w:val="auto"/>
              </w:rPr>
            </w:pPr>
          </w:p>
        </w:tc>
        <w:tc>
          <w:tcPr>
            <w:tcW w:w="1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w w:val="99"/>
              </w:rPr>
              <w:t>63,893</w:t>
            </w:r>
          </w:p>
        </w:tc>
        <w:tc>
          <w:tcPr>
            <w:tcW w:w="0" w:type="dxa"/>
            <w:vAlign w:val="bottom"/>
          </w:tcPr>
          <w:p>
            <w:pPr>
              <w:spacing w:after="0"/>
              <w:rPr>
                <w:sz w:val="1"/>
                <w:szCs w:val="1"/>
                <w:color w:val="auto"/>
              </w:rPr>
            </w:pPr>
          </w:p>
        </w:tc>
      </w:tr>
      <w:tr>
        <w:trPr>
          <w:trHeight w:val="166"/>
        </w:trPr>
        <w:tc>
          <w:tcPr>
            <w:tcW w:w="3980" w:type="dxa"/>
            <w:vAlign w:val="bottom"/>
          </w:tcPr>
          <w:p>
            <w:pPr>
              <w:spacing w:after="0" w:line="166" w:lineRule="exact"/>
              <w:rPr>
                <w:sz w:val="20"/>
                <w:szCs w:val="20"/>
                <w:color w:val="auto"/>
              </w:rPr>
            </w:pPr>
            <w:r>
              <w:rPr>
                <w:rFonts w:ascii="Courier New" w:cs="Courier New" w:eastAsia="Courier New" w:hAnsi="Courier New"/>
                <w:sz w:val="11"/>
                <w:szCs w:val="11"/>
                <w:color w:val="auto"/>
                <w:w w:val="95"/>
              </w:rPr>
              <w:t>Due on sale of investments ....................</w:t>
            </w:r>
            <w:r>
              <w:rPr>
                <w:rFonts w:ascii="Courier New" w:cs="Courier New" w:eastAsia="Courier New" w:hAnsi="Courier New"/>
                <w:sz w:val="19"/>
                <w:szCs w:val="19"/>
                <w:color w:val="auto"/>
                <w:w w:val="95"/>
                <w:vertAlign w:val="subscript"/>
              </w:rPr>
              <w:t>..............</w:t>
            </w:r>
          </w:p>
        </w:tc>
        <w:tc>
          <w:tcPr>
            <w:tcW w:w="120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970,553</w:t>
            </w:r>
          </w:p>
        </w:tc>
        <w:tc>
          <w:tcPr>
            <w:tcW w:w="600" w:type="dxa"/>
            <w:vAlign w:val="bottom"/>
          </w:tcPr>
          <w:p>
            <w:pPr>
              <w:spacing w:after="0"/>
              <w:rPr>
                <w:sz w:val="14"/>
                <w:szCs w:val="14"/>
                <w:color w:val="auto"/>
              </w:rPr>
            </w:pPr>
          </w:p>
        </w:tc>
        <w:tc>
          <w:tcPr>
            <w:tcW w:w="1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w w:val="99"/>
              </w:rPr>
              <w:t>97,446</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Trust account investments Note 1</w:t>
            </w:r>
          </w:p>
        </w:tc>
        <w:tc>
          <w:tcPr>
            <w:tcW w:w="1200" w:type="dxa"/>
            <w:vAlign w:val="bottom"/>
            <w:gridSpan w:val="2"/>
            <w:vMerge w:val="continue"/>
          </w:tcPr>
          <w:p>
            <w:pPr>
              <w:spacing w:after="0"/>
              <w:rPr>
                <w:sz w:val="14"/>
                <w:szCs w:val="14"/>
                <w:color w:val="auto"/>
              </w:rPr>
            </w:pP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834,286</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Other investments Note 1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53,556</w:t>
            </w:r>
          </w:p>
        </w:tc>
        <w:tc>
          <w:tcPr>
            <w:tcW w:w="600" w:type="dxa"/>
            <w:vAlign w:val="bottom"/>
          </w:tcPr>
          <w:p>
            <w:pPr>
              <w:spacing w:after="0"/>
              <w:rPr>
                <w:sz w:val="14"/>
                <w:szCs w:val="14"/>
                <w:color w:val="auto"/>
              </w:rPr>
            </w:pPr>
          </w:p>
        </w:tc>
        <w:tc>
          <w:tcPr>
            <w:tcW w:w="1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w w:val="99"/>
              </w:rPr>
              <w:t>55,748</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 Note 4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32,083</w:t>
            </w:r>
          </w:p>
        </w:tc>
        <w:tc>
          <w:tcPr>
            <w:tcW w:w="600" w:type="dxa"/>
            <w:vAlign w:val="bottom"/>
          </w:tcPr>
          <w:p>
            <w:pPr>
              <w:spacing w:after="0"/>
              <w:rPr>
                <w:sz w:val="14"/>
                <w:szCs w:val="14"/>
                <w:color w:val="auto"/>
              </w:rPr>
            </w:pPr>
          </w:p>
        </w:tc>
        <w:tc>
          <w:tcPr>
            <w:tcW w:w="1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w w:val="99"/>
              </w:rPr>
              <w:t>39,527</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Property and equipment-Net Note 1 .............</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143,661</w:t>
            </w: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148,343</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Internally generated computer software-Net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70,487</w:t>
            </w:r>
          </w:p>
        </w:tc>
        <w:tc>
          <w:tcPr>
            <w:tcW w:w="600" w:type="dxa"/>
            <w:vAlign w:val="bottom"/>
          </w:tcPr>
          <w:p>
            <w:pPr>
              <w:spacing w:after="0"/>
              <w:rPr>
                <w:sz w:val="14"/>
                <w:szCs w:val="14"/>
                <w:color w:val="auto"/>
              </w:rPr>
            </w:pPr>
          </w:p>
        </w:tc>
        <w:tc>
          <w:tcPr>
            <w:tcW w:w="1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w w:val="99"/>
              </w:rPr>
              <w:t>73,863</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Identifiable intangible assets relating</w:t>
            </w:r>
          </w:p>
        </w:tc>
        <w:tc>
          <w:tcPr>
            <w:tcW w:w="6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9"/>
              </w:rPr>
              <w:t>50,156</w:t>
            </w:r>
          </w:p>
        </w:tc>
        <w:tc>
          <w:tcPr>
            <w:tcW w:w="600" w:type="dxa"/>
            <w:vAlign w:val="bottom"/>
          </w:tcPr>
          <w:p>
            <w:pPr>
              <w:spacing w:after="0"/>
              <w:rPr>
                <w:sz w:val="14"/>
                <w:szCs w:val="14"/>
                <w:color w:val="auto"/>
              </w:rPr>
            </w:pPr>
          </w:p>
        </w:tc>
        <w:tc>
          <w:tcPr>
            <w:tcW w:w="1120" w:type="dxa"/>
            <w:vAlign w:val="bottom"/>
            <w:gridSpan w:val="2"/>
            <w:vMerge w:val="restart"/>
          </w:tcPr>
          <w:p>
            <w:pPr>
              <w:jc w:val="right"/>
              <w:ind w:right="528"/>
              <w:spacing w:after="0"/>
              <w:rPr>
                <w:sz w:val="20"/>
                <w:szCs w:val="20"/>
                <w:color w:val="auto"/>
              </w:rPr>
            </w:pPr>
            <w:r>
              <w:rPr>
                <w:rFonts w:ascii="Courier New" w:cs="Courier New" w:eastAsia="Courier New" w:hAnsi="Courier New"/>
                <w:sz w:val="14"/>
                <w:szCs w:val="14"/>
                <w:color w:val="auto"/>
                <w:w w:val="99"/>
              </w:rPr>
              <w:t>57,270</w:t>
            </w:r>
          </w:p>
        </w:tc>
        <w:tc>
          <w:tcPr>
            <w:tcW w:w="0" w:type="dxa"/>
            <w:vAlign w:val="bottom"/>
          </w:tcPr>
          <w:p>
            <w:pPr>
              <w:spacing w:after="0"/>
              <w:rPr>
                <w:sz w:val="1"/>
                <w:szCs w:val="1"/>
                <w:color w:val="auto"/>
              </w:rPr>
            </w:pPr>
          </w:p>
        </w:tc>
      </w:tr>
      <w:tr>
        <w:trPr>
          <w:trHeight w:val="166"/>
        </w:trPr>
        <w:tc>
          <w:tcPr>
            <w:tcW w:w="46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to acquisitions-Net Note 1 ...................</w:t>
            </w:r>
          </w:p>
        </w:tc>
        <w:tc>
          <w:tcPr>
            <w:tcW w:w="5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Goodwill-Net Note 1 ...........................</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292,089</w:t>
            </w: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300,552</w:t>
            </w:r>
          </w:p>
        </w:tc>
        <w:tc>
          <w:tcPr>
            <w:tcW w:w="0" w:type="dxa"/>
            <w:vAlign w:val="bottom"/>
          </w:tcPr>
          <w:p>
            <w:pPr>
              <w:spacing w:after="0"/>
              <w:rPr>
                <w:sz w:val="1"/>
                <w:szCs w:val="1"/>
                <w:color w:val="auto"/>
              </w:rPr>
            </w:pPr>
          </w:p>
        </w:tc>
      </w:tr>
      <w:tr>
        <w:trPr>
          <w:trHeight w:val="166"/>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292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80" w:type="dxa"/>
            <w:vAlign w:val="bottom"/>
            <w:vMerge w:val="continue"/>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$1,908,519</w:t>
            </w: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$1,885,299</w:t>
            </w:r>
          </w:p>
        </w:tc>
        <w:tc>
          <w:tcPr>
            <w:tcW w:w="0" w:type="dxa"/>
            <w:vAlign w:val="bottom"/>
          </w:tcPr>
          <w:p>
            <w:pPr>
              <w:spacing w:after="0"/>
              <w:rPr>
                <w:sz w:val="1"/>
                <w:szCs w:val="1"/>
                <w:color w:val="auto"/>
              </w:rPr>
            </w:pPr>
          </w:p>
        </w:tc>
      </w:tr>
      <w:tr>
        <w:trPr>
          <w:trHeight w:val="242"/>
        </w:trPr>
        <w:tc>
          <w:tcPr>
            <w:tcW w:w="3980" w:type="dxa"/>
            <w:vAlign w:val="bottom"/>
          </w:tcPr>
          <w:p>
            <w:pPr>
              <w:spacing w:after="0"/>
              <w:rPr>
                <w:sz w:val="21"/>
                <w:szCs w:val="21"/>
                <w:color w:val="auto"/>
              </w:rPr>
            </w:pPr>
          </w:p>
        </w:tc>
        <w:tc>
          <w:tcPr>
            <w:tcW w:w="292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980" w:type="dxa"/>
            <w:vAlign w:val="bottom"/>
          </w:tcPr>
          <w:p>
            <w:pPr>
              <w:spacing w:after="0"/>
              <w:rPr>
                <w:sz w:val="20"/>
                <w:szCs w:val="20"/>
                <w:color w:val="auto"/>
              </w:rPr>
            </w:pPr>
            <w:r>
              <w:rPr>
                <w:rFonts w:ascii="Courier New" w:cs="Courier New" w:eastAsia="Courier New" w:hAnsi="Courier New"/>
                <w:sz w:val="14"/>
                <w:szCs w:val="14"/>
                <w:color w:val="auto"/>
              </w:rPr>
              <w:t>Accounts payable ..............................</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43,486</w:t>
            </w:r>
          </w:p>
        </w:tc>
        <w:tc>
          <w:tcPr>
            <w:tcW w:w="60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w w:val="99"/>
              </w:rPr>
              <w:t>43,948</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Accrued expenses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60,747</w:t>
            </w:r>
          </w:p>
        </w:tc>
        <w:tc>
          <w:tcPr>
            <w:tcW w:w="600" w:type="dxa"/>
            <w:vAlign w:val="bottom"/>
          </w:tcPr>
          <w:p>
            <w:pPr>
              <w:spacing w:after="0"/>
              <w:rPr>
                <w:sz w:val="14"/>
                <w:szCs w:val="14"/>
                <w:color w:val="auto"/>
              </w:rPr>
            </w:pPr>
          </w:p>
        </w:tc>
        <w:tc>
          <w:tcPr>
            <w:tcW w:w="1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w w:val="99"/>
              </w:rPr>
              <w:t>59,614</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Accrued income taxes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7,510</w:t>
            </w:r>
          </w:p>
        </w:tc>
        <w:tc>
          <w:tcPr>
            <w:tcW w:w="600" w:type="dxa"/>
            <w:vAlign w:val="bottom"/>
          </w:tcPr>
          <w:p>
            <w:pPr>
              <w:spacing w:after="0"/>
              <w:rPr>
                <w:sz w:val="14"/>
                <w:szCs w:val="14"/>
                <w:color w:val="auto"/>
              </w:rPr>
            </w:pPr>
          </w:p>
        </w:tc>
        <w:tc>
          <w:tcPr>
            <w:tcW w:w="1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6,116</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Deferred revenues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46,089</w:t>
            </w:r>
          </w:p>
        </w:tc>
        <w:tc>
          <w:tcPr>
            <w:tcW w:w="600" w:type="dxa"/>
            <w:vAlign w:val="bottom"/>
          </w:tcPr>
          <w:p>
            <w:pPr>
              <w:spacing w:after="0"/>
              <w:rPr>
                <w:sz w:val="14"/>
                <w:szCs w:val="14"/>
                <w:color w:val="auto"/>
              </w:rPr>
            </w:pPr>
          </w:p>
        </w:tc>
        <w:tc>
          <w:tcPr>
            <w:tcW w:w="1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w w:val="99"/>
              </w:rPr>
              <w:t>40,754</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Trust account deposits ........................</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970,553</w:t>
            </w: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917,189</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Long-term debt Note 3 .........................</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271,502</w:t>
            </w: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381,361</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Other obligations Note 3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1,362</w:t>
            </w:r>
          </w:p>
        </w:tc>
        <w:tc>
          <w:tcPr>
            <w:tcW w:w="600" w:type="dxa"/>
            <w:vAlign w:val="bottom"/>
          </w:tcPr>
          <w:p>
            <w:pPr>
              <w:spacing w:after="0"/>
              <w:rPr>
                <w:sz w:val="14"/>
                <w:szCs w:val="14"/>
                <w:color w:val="auto"/>
              </w:rPr>
            </w:pPr>
          </w:p>
        </w:tc>
        <w:tc>
          <w:tcPr>
            <w:tcW w:w="1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2,055</w:t>
            </w:r>
          </w:p>
        </w:tc>
        <w:tc>
          <w:tcPr>
            <w:tcW w:w="0" w:type="dxa"/>
            <w:vAlign w:val="bottom"/>
          </w:tcPr>
          <w:p>
            <w:pPr>
              <w:spacing w:after="0"/>
              <w:rPr>
                <w:sz w:val="1"/>
                <w:szCs w:val="1"/>
                <w:color w:val="auto"/>
              </w:rPr>
            </w:pPr>
          </w:p>
        </w:tc>
      </w:tr>
      <w:tr>
        <w:trPr>
          <w:trHeight w:val="166"/>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TOTAL LIABILITIES .............................</w:t>
            </w:r>
          </w:p>
        </w:tc>
        <w:tc>
          <w:tcPr>
            <w:tcW w:w="292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80" w:type="dxa"/>
            <w:vAlign w:val="bottom"/>
            <w:vMerge w:val="continue"/>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1,401,249</w:t>
            </w: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1,451,037</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6</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Common stock outstanding, 45,348,000 and</w:t>
            </w:r>
          </w:p>
        </w:tc>
        <w:tc>
          <w:tcPr>
            <w:tcW w:w="6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453</w:t>
            </w:r>
          </w:p>
        </w:tc>
        <w:tc>
          <w:tcPr>
            <w:tcW w:w="600" w:type="dxa"/>
            <w:vAlign w:val="bottom"/>
          </w:tcPr>
          <w:p>
            <w:pPr>
              <w:spacing w:after="0"/>
              <w:rPr>
                <w:sz w:val="14"/>
                <w:szCs w:val="14"/>
                <w:color w:val="auto"/>
              </w:rPr>
            </w:pPr>
          </w:p>
        </w:tc>
        <w:tc>
          <w:tcPr>
            <w:tcW w:w="1120" w:type="dxa"/>
            <w:vAlign w:val="bottom"/>
            <w:gridSpan w:val="2"/>
            <w:vMerge w:val="restart"/>
          </w:tcPr>
          <w:p>
            <w:pPr>
              <w:jc w:val="right"/>
              <w:ind w:right="528"/>
              <w:spacing w:after="0"/>
              <w:rPr>
                <w:sz w:val="20"/>
                <w:szCs w:val="20"/>
                <w:color w:val="auto"/>
              </w:rPr>
            </w:pPr>
            <w:r>
              <w:rPr>
                <w:rFonts w:ascii="Courier New" w:cs="Courier New" w:eastAsia="Courier New" w:hAnsi="Courier New"/>
                <w:sz w:val="14"/>
                <w:szCs w:val="14"/>
                <w:color w:val="auto"/>
              </w:rPr>
              <w:t>449</w:t>
            </w:r>
          </w:p>
        </w:tc>
        <w:tc>
          <w:tcPr>
            <w:tcW w:w="0" w:type="dxa"/>
            <w:vAlign w:val="bottom"/>
          </w:tcPr>
          <w:p>
            <w:pPr>
              <w:spacing w:after="0"/>
              <w:rPr>
                <w:sz w:val="1"/>
                <w:szCs w:val="1"/>
                <w:color w:val="auto"/>
              </w:rPr>
            </w:pPr>
          </w:p>
        </w:tc>
      </w:tr>
      <w:tr>
        <w:trPr>
          <w:trHeight w:val="166"/>
        </w:trPr>
        <w:tc>
          <w:tcPr>
            <w:tcW w:w="46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44,887,000 shares, respectively ..............</w:t>
            </w:r>
          </w:p>
        </w:tc>
        <w:tc>
          <w:tcPr>
            <w:tcW w:w="5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Additional paid-in capital ....................</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323,268</w:t>
            </w: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315,800</w:t>
            </w:r>
          </w:p>
        </w:tc>
        <w:tc>
          <w:tcPr>
            <w:tcW w:w="0" w:type="dxa"/>
            <w:vAlign w:val="bottom"/>
          </w:tcPr>
          <w:p>
            <w:pPr>
              <w:spacing w:after="0"/>
              <w:rPr>
                <w:sz w:val="1"/>
                <w:szCs w:val="1"/>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Unrealized gain on investments ................</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18,621</w:t>
            </w:r>
          </w:p>
        </w:tc>
        <w:tc>
          <w:tcPr>
            <w:tcW w:w="600" w:type="dxa"/>
            <w:vAlign w:val="bottom"/>
          </w:tcPr>
          <w:p>
            <w:pPr>
              <w:spacing w:after="0"/>
              <w:rPr>
                <w:sz w:val="14"/>
                <w:szCs w:val="14"/>
                <w:color w:val="auto"/>
              </w:rPr>
            </w:pPr>
          </w:p>
        </w:tc>
        <w:tc>
          <w:tcPr>
            <w:tcW w:w="11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w w:val="99"/>
              </w:rPr>
              <w:t>15,268</w:t>
            </w:r>
          </w:p>
        </w:tc>
        <w:tc>
          <w:tcPr>
            <w:tcW w:w="0" w:type="dxa"/>
            <w:vAlign w:val="bottom"/>
          </w:tcPr>
          <w:p>
            <w:pPr>
              <w:spacing w:after="0"/>
              <w:rPr>
                <w:sz w:val="1"/>
                <w:szCs w:val="1"/>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Accumulated earnings ..........................</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164,928</w:t>
            </w: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102,745</w:t>
            </w:r>
          </w:p>
        </w:tc>
        <w:tc>
          <w:tcPr>
            <w:tcW w:w="0" w:type="dxa"/>
            <w:vAlign w:val="bottom"/>
          </w:tcPr>
          <w:p>
            <w:pPr>
              <w:spacing w:after="0"/>
              <w:rPr>
                <w:sz w:val="1"/>
                <w:szCs w:val="1"/>
                <w:color w:val="auto"/>
              </w:rPr>
            </w:pPr>
          </w:p>
        </w:tc>
      </w:tr>
      <w:tr>
        <w:trPr>
          <w:trHeight w:val="166"/>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TOTAL SHAREHOLDERS' EQUITY ....................</w:t>
            </w:r>
          </w:p>
        </w:tc>
        <w:tc>
          <w:tcPr>
            <w:tcW w:w="292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80" w:type="dxa"/>
            <w:vAlign w:val="bottom"/>
            <w:vMerge w:val="continue"/>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507,270</w:t>
            </w: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434,262</w:t>
            </w:r>
          </w:p>
        </w:tc>
        <w:tc>
          <w:tcPr>
            <w:tcW w:w="0" w:type="dxa"/>
            <w:vAlign w:val="bottom"/>
          </w:tcPr>
          <w:p>
            <w:pPr>
              <w:spacing w:after="0"/>
              <w:rPr>
                <w:sz w:val="1"/>
                <w:szCs w:val="1"/>
                <w:color w:val="auto"/>
              </w:rPr>
            </w:pPr>
          </w:p>
        </w:tc>
      </w:tr>
      <w:tr>
        <w:trPr>
          <w:trHeight w:val="166"/>
        </w:trPr>
        <w:tc>
          <w:tcPr>
            <w:tcW w:w="3980" w:type="dxa"/>
            <w:vAlign w:val="bottom"/>
            <w:vMerge w:val="restart"/>
          </w:tcPr>
          <w:p>
            <w:pPr>
              <w:spacing w:after="0"/>
              <w:rPr>
                <w:sz w:val="20"/>
                <w:szCs w:val="20"/>
                <w:color w:val="auto"/>
              </w:rPr>
            </w:pPr>
            <w:r>
              <w:rPr>
                <w:rFonts w:ascii="Courier New" w:cs="Courier New" w:eastAsia="Courier New" w:hAnsi="Courier New"/>
                <w:sz w:val="14"/>
                <w:szCs w:val="14"/>
                <w:color w:val="auto"/>
              </w:rPr>
              <w:t>TOTAL .........................................</w:t>
            </w:r>
          </w:p>
        </w:tc>
        <w:tc>
          <w:tcPr>
            <w:tcW w:w="292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80" w:type="dxa"/>
            <w:vAlign w:val="bottom"/>
            <w:vMerge w:val="continue"/>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$1,908,519</w:t>
            </w:r>
          </w:p>
        </w:tc>
        <w:tc>
          <w:tcPr>
            <w:tcW w:w="17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$1,885,299</w:t>
            </w:r>
          </w:p>
        </w:tc>
        <w:tc>
          <w:tcPr>
            <w:tcW w:w="0" w:type="dxa"/>
            <w:vAlign w:val="bottom"/>
          </w:tcPr>
          <w:p>
            <w:pPr>
              <w:spacing w:after="0"/>
              <w:rPr>
                <w:sz w:val="1"/>
                <w:szCs w:val="1"/>
                <w:color w:val="auto"/>
              </w:rPr>
            </w:pPr>
          </w:p>
        </w:tc>
      </w:tr>
      <w:tr>
        <w:trPr>
          <w:trHeight w:val="242"/>
        </w:trPr>
        <w:tc>
          <w:tcPr>
            <w:tcW w:w="3980" w:type="dxa"/>
            <w:vAlign w:val="bottom"/>
          </w:tcPr>
          <w:p>
            <w:pPr>
              <w:spacing w:after="0"/>
              <w:rPr>
                <w:sz w:val="21"/>
                <w:szCs w:val="21"/>
                <w:color w:val="auto"/>
              </w:rPr>
            </w:pPr>
          </w:p>
        </w:tc>
        <w:tc>
          <w:tcPr>
            <w:tcW w:w="2920" w:type="dxa"/>
            <w:vAlign w:val="bottom"/>
            <w:gridSpan w:val="5"/>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115" w:right="1440" w:bottom="783"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2"/>
        </w:trPr>
        <w:tc>
          <w:tcPr>
            <w:tcW w:w="5000" w:type="dxa"/>
            <w:vAlign w:val="bottom"/>
            <w:gridSpan w:val="4"/>
          </w:tcPr>
          <w:p>
            <w:pPr>
              <w:spacing w:after="0"/>
              <w:rPr>
                <w:sz w:val="20"/>
                <w:szCs w:val="20"/>
                <w:color w:val="auto"/>
              </w:rPr>
            </w:pPr>
            <w:r>
              <w:rPr>
                <w:rFonts w:ascii="Courier New" w:cs="Courier New" w:eastAsia="Courier New" w:hAnsi="Courier New"/>
                <w:sz w:val="14"/>
                <w:szCs w:val="14"/>
                <w:color w:val="auto"/>
              </w:rPr>
              <w:t>CONSOLIDATED STATEMENTS OF CHANGES IN SHAREHOLDERS' EQUITY</w:t>
            </w: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24"/>
                <w:szCs w:val="2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24"/>
                <w:szCs w:val="2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26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2"/>
        </w:trPr>
        <w:tc>
          <w:tcPr>
            <w:tcW w:w="36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2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60" w:type="dxa"/>
            <w:vAlign w:val="bottom"/>
          </w:tcPr>
          <w:p>
            <w:pPr>
              <w:spacing w:after="0"/>
              <w:rPr>
                <w:sz w:val="20"/>
                <w:szCs w:val="20"/>
                <w:color w:val="auto"/>
              </w:rPr>
            </w:pPr>
            <w:r>
              <w:rPr>
                <w:rFonts w:ascii="Courier New" w:cs="Courier New" w:eastAsia="Courier New" w:hAnsi="Courier New"/>
                <w:sz w:val="14"/>
                <w:szCs w:val="14"/>
                <w:color w:val="auto"/>
              </w:rPr>
              <w:t>SHARES ISSUED-150,000,000 AUTHORIZED:</w:t>
            </w:r>
          </w:p>
        </w:tc>
        <w:tc>
          <w:tcPr>
            <w:tcW w:w="220" w:type="dxa"/>
            <w:vAlign w:val="bottom"/>
          </w:tcPr>
          <w:p>
            <w:pPr>
              <w:spacing w:after="0"/>
              <w:rPr>
                <w:sz w:val="22"/>
                <w:szCs w:val="22"/>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44,887</w:t>
            </w:r>
          </w:p>
        </w:tc>
        <w:tc>
          <w:tcPr>
            <w:tcW w:w="300" w:type="dxa"/>
            <w:vAlign w:val="bottom"/>
          </w:tcPr>
          <w:p>
            <w:pPr>
              <w:spacing w:after="0"/>
              <w:rPr>
                <w:sz w:val="22"/>
                <w:szCs w:val="22"/>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40,038</w:t>
            </w:r>
          </w:p>
        </w:tc>
        <w:tc>
          <w:tcPr>
            <w:tcW w:w="26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39,661</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Balance at beginning of year ..........</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issued under stock plans-net ...</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327</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274</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issued for acquired companies ..</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4,575</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c>
          <w:tcPr>
            <w:tcW w:w="0" w:type="dxa"/>
            <w:vAlign w:val="bottom"/>
          </w:tcPr>
          <w:p>
            <w:pPr>
              <w:spacing w:after="0"/>
              <w:rPr>
                <w:sz w:val="1"/>
                <w:szCs w:val="1"/>
                <w:color w:val="auto"/>
              </w:rPr>
            </w:pPr>
          </w:p>
        </w:tc>
      </w:tr>
      <w:tr>
        <w:trPr>
          <w:trHeight w:val="166"/>
        </w:trPr>
        <w:tc>
          <w:tcPr>
            <w:tcW w:w="36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Balance at end of year ................</w:t>
            </w:r>
          </w:p>
        </w:tc>
        <w:tc>
          <w:tcPr>
            <w:tcW w:w="220" w:type="dxa"/>
            <w:vAlign w:val="bottom"/>
          </w:tcPr>
          <w:p>
            <w:pPr>
              <w:spacing w:after="0"/>
              <w:rPr>
                <w:sz w:val="14"/>
                <w:szCs w:val="14"/>
                <w:color w:val="auto"/>
              </w:rPr>
            </w:pPr>
          </w:p>
        </w:tc>
        <w:tc>
          <w:tcPr>
            <w:tcW w:w="2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45,348</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44,887</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40,038</w:t>
            </w:r>
          </w:p>
        </w:tc>
        <w:tc>
          <w:tcPr>
            <w:tcW w:w="0" w:type="dxa"/>
            <w:vAlign w:val="bottom"/>
          </w:tcPr>
          <w:p>
            <w:pPr>
              <w:spacing w:after="0"/>
              <w:rPr>
                <w:sz w:val="1"/>
                <w:szCs w:val="1"/>
                <w:color w:val="auto"/>
              </w:rPr>
            </w:pPr>
          </w:p>
        </w:tc>
      </w:tr>
      <w:tr>
        <w:trPr>
          <w:trHeight w:val="242"/>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COMMON STOCK-PAR VALUE $.01 PER SHARE:</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449</w:t>
            </w:r>
          </w:p>
        </w:tc>
        <w:tc>
          <w:tcPr>
            <w:tcW w:w="3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397</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Balance at beginning of year ..........</w:t>
            </w:r>
          </w:p>
        </w:tc>
        <w:tc>
          <w:tcPr>
            <w:tcW w:w="2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issued under stock plans-net ...</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issued for acquired companies ..</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0" w:type="dxa"/>
            <w:vAlign w:val="bottom"/>
          </w:tcPr>
          <w:p>
            <w:pPr>
              <w:spacing w:after="0"/>
              <w:rPr>
                <w:sz w:val="1"/>
                <w:szCs w:val="1"/>
                <w:color w:val="auto"/>
              </w:rPr>
            </w:pPr>
          </w:p>
        </w:tc>
      </w:tr>
      <w:tr>
        <w:trPr>
          <w:trHeight w:val="166"/>
        </w:trPr>
        <w:tc>
          <w:tcPr>
            <w:tcW w:w="36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Balance at end of year ................</w:t>
            </w:r>
          </w:p>
        </w:tc>
        <w:tc>
          <w:tcPr>
            <w:tcW w:w="220" w:type="dxa"/>
            <w:vAlign w:val="bottom"/>
          </w:tcPr>
          <w:p>
            <w:pPr>
              <w:spacing w:after="0"/>
              <w:rPr>
                <w:sz w:val="14"/>
                <w:szCs w:val="14"/>
                <w:color w:val="auto"/>
              </w:rPr>
            </w:pPr>
          </w:p>
        </w:tc>
        <w:tc>
          <w:tcPr>
            <w:tcW w:w="2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453</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c>
          <w:tcPr>
            <w:tcW w:w="0" w:type="dxa"/>
            <w:vAlign w:val="bottom"/>
          </w:tcPr>
          <w:p>
            <w:pPr>
              <w:spacing w:after="0"/>
              <w:rPr>
                <w:sz w:val="1"/>
                <w:szCs w:val="1"/>
                <w:color w:val="auto"/>
              </w:rPr>
            </w:pPr>
          </w:p>
        </w:tc>
      </w:tr>
      <w:tr>
        <w:trPr>
          <w:trHeight w:val="242"/>
        </w:trPr>
        <w:tc>
          <w:tcPr>
            <w:tcW w:w="3660" w:type="dxa"/>
            <w:vAlign w:val="bottom"/>
            <w:vMerge w:val="restart"/>
          </w:tcPr>
          <w:p>
            <w:pPr>
              <w:spacing w:after="0"/>
              <w:rPr>
                <w:sz w:val="20"/>
                <w:szCs w:val="20"/>
                <w:color w:val="auto"/>
              </w:rPr>
            </w:pPr>
            <w:r>
              <w:rPr>
                <w:rFonts w:ascii="Courier New" w:cs="Courier New" w:eastAsia="Courier New" w:hAnsi="Courier New"/>
                <w:sz w:val="14"/>
                <w:szCs w:val="14"/>
                <w:color w:val="auto"/>
              </w:rPr>
              <w:t>CAPITAL IN EXCESS OF PAR VALUE:</w:t>
            </w:r>
          </w:p>
        </w:tc>
        <w:tc>
          <w:tcPr>
            <w:tcW w:w="220" w:type="dxa"/>
            <w:vAlign w:val="bottom"/>
          </w:tcPr>
          <w:p>
            <w:pPr>
              <w:spacing w:after="0"/>
              <w:rPr>
                <w:sz w:val="21"/>
                <w:szCs w:val="21"/>
                <w:color w:val="auto"/>
              </w:rPr>
            </w:pPr>
          </w:p>
        </w:tc>
        <w:tc>
          <w:tcPr>
            <w:tcW w:w="2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315,800</w:t>
            </w:r>
          </w:p>
        </w:tc>
        <w:tc>
          <w:tcPr>
            <w:tcW w:w="300" w:type="dxa"/>
            <w:vAlign w:val="bottom"/>
          </w:tcPr>
          <w:p>
            <w:pPr>
              <w:spacing w:after="0"/>
              <w:rPr>
                <w:sz w:val="7"/>
                <w:szCs w:val="7"/>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184,748</w:t>
            </w:r>
          </w:p>
        </w:tc>
        <w:tc>
          <w:tcPr>
            <w:tcW w:w="2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181,223</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Balance at beginning of year ..........</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issued under stock plans-net ...</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4,893</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670</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2,660</w:t>
            </w:r>
          </w:p>
        </w:tc>
        <w:tc>
          <w:tcPr>
            <w:tcW w:w="0" w:type="dxa"/>
            <w:vAlign w:val="bottom"/>
          </w:tcPr>
          <w:p>
            <w:pPr>
              <w:spacing w:after="0"/>
              <w:rPr>
                <w:sz w:val="1"/>
                <w:szCs w:val="1"/>
                <w:color w:val="auto"/>
              </w:rPr>
            </w:pPr>
          </w:p>
        </w:tc>
      </w:tr>
      <w:tr>
        <w:trPr>
          <w:trHeight w:val="166"/>
        </w:trPr>
        <w:tc>
          <w:tcPr>
            <w:tcW w:w="3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 tax reduction arising from the</w:t>
            </w:r>
          </w:p>
        </w:tc>
        <w:tc>
          <w:tcPr>
            <w:tcW w:w="2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2,400</w:t>
            </w: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800</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exercise of employee stock options ..</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issued for acquired companies ..</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575</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127,982</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0" w:type="dxa"/>
            <w:vAlign w:val="bottom"/>
          </w:tcPr>
          <w:p>
            <w:pPr>
              <w:spacing w:after="0"/>
              <w:rPr>
                <w:sz w:val="1"/>
                <w:szCs w:val="1"/>
                <w:color w:val="auto"/>
              </w:rPr>
            </w:pPr>
          </w:p>
        </w:tc>
      </w:tr>
      <w:tr>
        <w:trPr>
          <w:trHeight w:val="166"/>
        </w:trPr>
        <w:tc>
          <w:tcPr>
            <w:tcW w:w="36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Balance at end of year ................</w:t>
            </w:r>
          </w:p>
        </w:tc>
        <w:tc>
          <w:tcPr>
            <w:tcW w:w="220" w:type="dxa"/>
            <w:vAlign w:val="bottom"/>
          </w:tcPr>
          <w:p>
            <w:pPr>
              <w:spacing w:after="0"/>
              <w:rPr>
                <w:sz w:val="14"/>
                <w:szCs w:val="14"/>
                <w:color w:val="auto"/>
              </w:rPr>
            </w:pPr>
          </w:p>
        </w:tc>
        <w:tc>
          <w:tcPr>
            <w:tcW w:w="2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323,268</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315,800</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184,748</w:t>
            </w:r>
          </w:p>
        </w:tc>
        <w:tc>
          <w:tcPr>
            <w:tcW w:w="0" w:type="dxa"/>
            <w:vAlign w:val="bottom"/>
          </w:tcPr>
          <w:p>
            <w:pPr>
              <w:spacing w:after="0"/>
              <w:rPr>
                <w:sz w:val="1"/>
                <w:szCs w:val="1"/>
                <w:color w:val="auto"/>
              </w:rPr>
            </w:pPr>
          </w:p>
        </w:tc>
      </w:tr>
      <w:tr>
        <w:trPr>
          <w:trHeight w:val="166"/>
        </w:trPr>
        <w:tc>
          <w:tcPr>
            <w:tcW w:w="36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UNREALIZED GAIN ON INVESTMENTS ..........</w:t>
            </w:r>
          </w:p>
        </w:tc>
        <w:tc>
          <w:tcPr>
            <w:tcW w:w="220" w:type="dxa"/>
            <w:vAlign w:val="bottom"/>
          </w:tcPr>
          <w:p>
            <w:pPr>
              <w:spacing w:after="0"/>
              <w:rPr>
                <w:sz w:val="14"/>
                <w:szCs w:val="14"/>
                <w:color w:val="auto"/>
              </w:rPr>
            </w:pPr>
          </w:p>
        </w:tc>
        <w:tc>
          <w:tcPr>
            <w:tcW w:w="2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18,621</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15,268</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11,054</w:t>
            </w:r>
          </w:p>
        </w:tc>
        <w:tc>
          <w:tcPr>
            <w:tcW w:w="0" w:type="dxa"/>
            <w:vAlign w:val="bottom"/>
          </w:tcPr>
          <w:p>
            <w:pPr>
              <w:spacing w:after="0"/>
              <w:rPr>
                <w:sz w:val="1"/>
                <w:szCs w:val="1"/>
                <w:color w:val="auto"/>
              </w:rPr>
            </w:pPr>
          </w:p>
        </w:tc>
      </w:tr>
      <w:tr>
        <w:trPr>
          <w:trHeight w:val="242"/>
        </w:trPr>
        <w:tc>
          <w:tcPr>
            <w:tcW w:w="3660" w:type="dxa"/>
            <w:vAlign w:val="bottom"/>
            <w:vMerge w:val="restart"/>
          </w:tcPr>
          <w:p>
            <w:pPr>
              <w:spacing w:after="0"/>
              <w:rPr>
                <w:sz w:val="20"/>
                <w:szCs w:val="20"/>
                <w:color w:val="auto"/>
              </w:rPr>
            </w:pPr>
            <w:r>
              <w:rPr>
                <w:rFonts w:ascii="Courier New" w:cs="Courier New" w:eastAsia="Courier New" w:hAnsi="Courier New"/>
                <w:sz w:val="14"/>
                <w:szCs w:val="14"/>
                <w:color w:val="auto"/>
              </w:rPr>
              <w:t>ACCUMULATED EARNINGS:</w:t>
            </w:r>
          </w:p>
        </w:tc>
        <w:tc>
          <w:tcPr>
            <w:tcW w:w="220" w:type="dxa"/>
            <w:vAlign w:val="bottom"/>
          </w:tcPr>
          <w:p>
            <w:pPr>
              <w:spacing w:after="0"/>
              <w:rPr>
                <w:sz w:val="21"/>
                <w:szCs w:val="21"/>
                <w:color w:val="auto"/>
              </w:rPr>
            </w:pPr>
          </w:p>
        </w:tc>
        <w:tc>
          <w:tcPr>
            <w:tcW w:w="2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102,745</w:t>
            </w:r>
          </w:p>
        </w:tc>
        <w:tc>
          <w:tcPr>
            <w:tcW w:w="300" w:type="dxa"/>
            <w:vAlign w:val="bottom"/>
          </w:tcPr>
          <w:p>
            <w:pPr>
              <w:spacing w:after="0"/>
              <w:rPr>
                <w:sz w:val="7"/>
                <w:szCs w:val="7"/>
                <w:color w:val="auto"/>
              </w:rPr>
            </w:pPr>
          </w:p>
        </w:tc>
        <w:tc>
          <w:tcPr>
            <w:tcW w:w="8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w w:val="98"/>
              </w:rPr>
              <w:t>162,520</w:t>
            </w:r>
          </w:p>
        </w:tc>
        <w:tc>
          <w:tcPr>
            <w:tcW w:w="2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122,023</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Balance at beginning of year ..........</w:t>
            </w: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(loss) .....................</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61,684</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(59,863)</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40,407</w:t>
            </w:r>
          </w:p>
        </w:tc>
        <w:tc>
          <w:tcPr>
            <w:tcW w:w="0" w:type="dxa"/>
            <w:vAlign w:val="bottom"/>
          </w:tcPr>
          <w:p>
            <w:pPr>
              <w:spacing w:after="0"/>
              <w:rPr>
                <w:sz w:val="1"/>
                <w:szCs w:val="1"/>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Foreign currency translation adjustment</w:t>
            </w: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499</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0" w:type="dxa"/>
            <w:vAlign w:val="bottom"/>
          </w:tcPr>
          <w:p>
            <w:pPr>
              <w:spacing w:after="0"/>
              <w:rPr>
                <w:sz w:val="1"/>
                <w:szCs w:val="1"/>
                <w:color w:val="auto"/>
              </w:rPr>
            </w:pPr>
          </w:p>
        </w:tc>
      </w:tr>
      <w:tr>
        <w:trPr>
          <w:trHeight w:val="166"/>
        </w:trPr>
        <w:tc>
          <w:tcPr>
            <w:tcW w:w="36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Balance at end of year ................</w:t>
            </w:r>
          </w:p>
        </w:tc>
        <w:tc>
          <w:tcPr>
            <w:tcW w:w="220" w:type="dxa"/>
            <w:vAlign w:val="bottom"/>
          </w:tcPr>
          <w:p>
            <w:pPr>
              <w:spacing w:after="0"/>
              <w:rPr>
                <w:sz w:val="14"/>
                <w:szCs w:val="14"/>
                <w:color w:val="auto"/>
              </w:rPr>
            </w:pPr>
          </w:p>
        </w:tc>
        <w:tc>
          <w:tcPr>
            <w:tcW w:w="2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164,928</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102,745</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162,520</w:t>
            </w:r>
          </w:p>
        </w:tc>
        <w:tc>
          <w:tcPr>
            <w:tcW w:w="0" w:type="dxa"/>
            <w:vAlign w:val="bottom"/>
          </w:tcPr>
          <w:p>
            <w:pPr>
              <w:spacing w:after="0"/>
              <w:rPr>
                <w:sz w:val="1"/>
                <w:szCs w:val="1"/>
                <w:color w:val="auto"/>
              </w:rPr>
            </w:pPr>
          </w:p>
        </w:tc>
      </w:tr>
      <w:tr>
        <w:trPr>
          <w:trHeight w:val="166"/>
        </w:trPr>
        <w:tc>
          <w:tcPr>
            <w:tcW w:w="366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TOTAL SHAREHOLDERS' EQUITY ..............</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507,270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434,262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358,722</w:t>
            </w:r>
          </w:p>
        </w:tc>
        <w:tc>
          <w:tcPr>
            <w:tcW w:w="0" w:type="dxa"/>
            <w:vAlign w:val="bottom"/>
          </w:tcPr>
          <w:p>
            <w:pPr>
              <w:spacing w:after="0"/>
              <w:rPr>
                <w:sz w:val="1"/>
                <w:szCs w:val="1"/>
                <w:color w:val="auto"/>
              </w:rPr>
            </w:pPr>
          </w:p>
        </w:tc>
      </w:tr>
      <w:tr>
        <w:trPr>
          <w:trHeight w:val="242"/>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756"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2"/>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7"/>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00" w:type="dxa"/>
            <w:vAlign w:val="bottom"/>
          </w:tcPr>
          <w:p>
            <w:pPr>
              <w:spacing w:after="0"/>
              <w:rPr>
                <w:sz w:val="24"/>
                <w:szCs w:val="24"/>
                <w:color w:val="auto"/>
              </w:rPr>
            </w:pP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200" w:type="dxa"/>
            <w:vAlign w:val="bottom"/>
          </w:tcPr>
          <w:p>
            <w:pPr>
              <w:spacing w:after="0"/>
              <w:rPr>
                <w:sz w:val="24"/>
                <w:szCs w:val="24"/>
                <w:color w:val="auto"/>
              </w:rPr>
            </w:pP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200" w:type="dxa"/>
            <w:vAlign w:val="bottom"/>
          </w:tcPr>
          <w:p>
            <w:pPr>
              <w:spacing w:after="0"/>
              <w:rPr>
                <w:sz w:val="24"/>
                <w:szCs w:val="2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61,684</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(59,863)</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40,407</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income (loss) ..............................</w:t>
            </w:r>
          </w:p>
        </w:tc>
        <w:tc>
          <w:tcPr>
            <w:tcW w:w="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(loss) to</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10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00" w:type="dxa"/>
            <w:vAlign w:val="bottom"/>
          </w:tcPr>
          <w:p>
            <w:pPr>
              <w:spacing w:after="0"/>
              <w:rPr>
                <w:sz w:val="14"/>
                <w:szCs w:val="14"/>
                <w:color w:val="auto"/>
              </w:rPr>
            </w:pP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3,456</w:t>
            </w:r>
          </w:p>
        </w:tc>
        <w:tc>
          <w:tcPr>
            <w:tcW w:w="2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(58,952)</w:t>
            </w:r>
          </w:p>
        </w:tc>
        <w:tc>
          <w:tcPr>
            <w:tcW w:w="20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12,375</w:t>
            </w:r>
          </w:p>
        </w:tc>
        <w:tc>
          <w:tcPr>
            <w:tcW w:w="0" w:type="dxa"/>
            <w:vAlign w:val="bottom"/>
          </w:tcPr>
          <w:p>
            <w:pPr>
              <w:spacing w:after="0"/>
              <w:rPr>
                <w:sz w:val="1"/>
                <w:szCs w:val="1"/>
                <w:color w:val="auto"/>
              </w:rPr>
            </w:pPr>
          </w:p>
        </w:tc>
      </w:tr>
      <w:tr>
        <w:trPr>
          <w:trHeight w:val="166"/>
        </w:trPr>
        <w:tc>
          <w:tcPr>
            <w:tcW w:w="4280" w:type="dxa"/>
            <w:vAlign w:val="bottom"/>
          </w:tcPr>
          <w:p>
            <w:pPr>
              <w:ind w:left="100"/>
              <w:spacing w:after="0"/>
              <w:rPr>
                <w:sz w:val="20"/>
                <w:szCs w:val="20"/>
                <w:color w:val="auto"/>
              </w:rPr>
            </w:pPr>
            <w:r>
              <w:rPr>
                <w:rFonts w:ascii="Courier New" w:cs="Courier New" w:eastAsia="Courier New" w:hAnsi="Courier New"/>
                <w:sz w:val="14"/>
                <w:szCs w:val="14"/>
                <w:color w:val="auto"/>
              </w:rPr>
              <w:t>Deferred income taxes .........................</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 amortization of</w:t>
            </w:r>
          </w:p>
        </w:tc>
        <w:tc>
          <w:tcPr>
            <w:tcW w:w="200" w:type="dxa"/>
            <w:vAlign w:val="bottom"/>
          </w:tcPr>
          <w:p>
            <w:pPr>
              <w:spacing w:after="0"/>
              <w:rPr>
                <w:sz w:val="14"/>
                <w:szCs w:val="14"/>
                <w:color w:val="auto"/>
              </w:rPr>
            </w:pP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42,241</w:t>
            </w:r>
          </w:p>
        </w:tc>
        <w:tc>
          <w:tcPr>
            <w:tcW w:w="200" w:type="dxa"/>
            <w:vAlign w:val="bottom"/>
          </w:tcPr>
          <w:p>
            <w:pPr>
              <w:spacing w:after="0"/>
              <w:rPr>
                <w:sz w:val="14"/>
                <w:szCs w:val="14"/>
                <w:color w:val="auto"/>
              </w:rPr>
            </w:pP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38,480</w:t>
            </w:r>
          </w:p>
        </w:tc>
        <w:tc>
          <w:tcPr>
            <w:tcW w:w="20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31,401</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property and equipment .......................</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Amortization of intangible assets .............</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20,983</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25,880</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10,846</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Charge for incomplete software technology .....</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172,970</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100"/>
              <w:spacing w:after="0"/>
              <w:rPr>
                <w:sz w:val="20"/>
                <w:szCs w:val="20"/>
                <w:color w:val="auto"/>
              </w:rPr>
            </w:pPr>
            <w:r>
              <w:rPr>
                <w:rFonts w:ascii="Courier New" w:cs="Courier New" w:eastAsia="Courier New" w:hAnsi="Courier New"/>
                <w:sz w:val="14"/>
                <w:szCs w:val="14"/>
                <w:color w:val="auto"/>
              </w:rPr>
              <w:t>Amortization (capitalization) of internally</w:t>
            </w:r>
          </w:p>
        </w:tc>
        <w:tc>
          <w:tcPr>
            <w:tcW w:w="200" w:type="dxa"/>
            <w:vAlign w:val="bottom"/>
          </w:tcPr>
          <w:p>
            <w:pPr>
              <w:spacing w:after="0"/>
              <w:rPr>
                <w:sz w:val="14"/>
                <w:szCs w:val="14"/>
                <w:color w:val="auto"/>
              </w:rPr>
            </w:pP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3,732</w:t>
            </w:r>
          </w:p>
        </w:tc>
        <w:tc>
          <w:tcPr>
            <w:tcW w:w="2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(6,382)</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(9,599)</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generated computer software - net ............</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2"/>
        </w:trPr>
        <w:tc>
          <w:tcPr>
            <w:tcW w:w="42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Cash provided (used) by changes in assets</w:t>
            </w:r>
          </w:p>
        </w:tc>
        <w:tc>
          <w:tcPr>
            <w:tcW w:w="200" w:type="dxa"/>
            <w:vAlign w:val="bottom"/>
          </w:tcPr>
          <w:p>
            <w:pPr>
              <w:spacing w:after="0"/>
              <w:rPr>
                <w:sz w:val="21"/>
                <w:szCs w:val="21"/>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132,096</w:t>
            </w:r>
          </w:p>
        </w:tc>
        <w:tc>
          <w:tcPr>
            <w:tcW w:w="200" w:type="dxa"/>
            <w:vAlign w:val="bottom"/>
          </w:tcPr>
          <w:p>
            <w:pPr>
              <w:spacing w:after="0"/>
              <w:rPr>
                <w:sz w:val="21"/>
                <w:szCs w:val="21"/>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112,133</w:t>
            </w:r>
          </w:p>
        </w:tc>
        <w:tc>
          <w:tcPr>
            <w:tcW w:w="20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85,430</w:t>
            </w:r>
          </w:p>
        </w:tc>
        <w:tc>
          <w:tcPr>
            <w:tcW w:w="0" w:type="dxa"/>
            <w:vAlign w:val="bottom"/>
          </w:tcPr>
          <w:p>
            <w:pPr>
              <w:spacing w:after="0"/>
              <w:rPr>
                <w:sz w:val="1"/>
                <w:szCs w:val="1"/>
                <w:color w:val="auto"/>
              </w:rPr>
            </w:pPr>
          </w:p>
        </w:tc>
      </w:tr>
      <w:tr>
        <w:trPr>
          <w:trHeight w:val="90"/>
        </w:trPr>
        <w:tc>
          <w:tcPr>
            <w:tcW w:w="42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and liabilities, net of effects from</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acquisitions of businesses:</w:t>
            </w:r>
          </w:p>
        </w:tc>
        <w:tc>
          <w:tcPr>
            <w:tcW w:w="2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(4,881)</w:t>
            </w:r>
          </w:p>
        </w:tc>
        <w:tc>
          <w:tcPr>
            <w:tcW w:w="2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(10,014)</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(12,194)</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Accounts receivable ..........................</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Prepaid expenses and other assets ............</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10,080</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(23,709)</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(3,935)</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Accounts payable and accrued expenses ........</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2,288</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(4,843)</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(3,954)</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Deferred revenues ............................</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5,232</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9,283</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Accrued income taxes .........................</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4,085</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5,756</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2,059</w:t>
            </w:r>
          </w:p>
        </w:tc>
        <w:tc>
          <w:tcPr>
            <w:tcW w:w="0" w:type="dxa"/>
            <w:vAlign w:val="bottom"/>
          </w:tcPr>
          <w:p>
            <w:pPr>
              <w:spacing w:after="0"/>
              <w:rPr>
                <w:sz w:val="1"/>
                <w:szCs w:val="1"/>
                <w:color w:val="auto"/>
              </w:rPr>
            </w:pPr>
          </w:p>
        </w:tc>
      </w:tr>
      <w:tr>
        <w:trPr>
          <w:trHeight w:val="166"/>
        </w:trPr>
        <w:tc>
          <w:tcPr>
            <w:tcW w:w="42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Net cash provided by operating activities ......</w:t>
            </w:r>
          </w:p>
        </w:tc>
        <w:tc>
          <w:tcPr>
            <w:tcW w:w="200" w:type="dxa"/>
            <w:vAlign w:val="bottom"/>
          </w:tcPr>
          <w:p>
            <w:pPr>
              <w:spacing w:after="0"/>
              <w:rPr>
                <w:sz w:val="14"/>
                <w:szCs w:val="14"/>
                <w:color w:val="auto"/>
              </w:rPr>
            </w:pPr>
          </w:p>
        </w:tc>
        <w:tc>
          <w:tcPr>
            <w:tcW w:w="3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148,900</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88,606</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67,283</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00" w:type="dxa"/>
            <w:vAlign w:val="bottom"/>
          </w:tcPr>
          <w:p>
            <w:pPr>
              <w:spacing w:after="0"/>
              <w:rPr>
                <w:sz w:val="22"/>
                <w:szCs w:val="22"/>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(36,157)</w:t>
            </w:r>
          </w:p>
        </w:tc>
        <w:tc>
          <w:tcPr>
            <w:tcW w:w="200" w:type="dxa"/>
            <w:vAlign w:val="bottom"/>
          </w:tcPr>
          <w:p>
            <w:pPr>
              <w:spacing w:after="0"/>
              <w:rPr>
                <w:sz w:val="22"/>
                <w:szCs w:val="22"/>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(45,039)</w:t>
            </w:r>
          </w:p>
        </w:tc>
        <w:tc>
          <w:tcPr>
            <w:tcW w:w="20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(53,193)</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Capital expenditures ..........................</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100"/>
              <w:spacing w:after="0"/>
              <w:rPr>
                <w:sz w:val="20"/>
                <w:szCs w:val="20"/>
                <w:color w:val="auto"/>
              </w:rPr>
            </w:pPr>
            <w:r>
              <w:rPr>
                <w:rFonts w:ascii="Courier New" w:cs="Courier New" w:eastAsia="Courier New" w:hAnsi="Courier New"/>
                <w:sz w:val="14"/>
                <w:szCs w:val="14"/>
                <w:color w:val="auto"/>
              </w:rPr>
              <w:t>Payment for acquisition of businesses,</w:t>
            </w:r>
          </w:p>
        </w:tc>
        <w:tc>
          <w:tcPr>
            <w:tcW w:w="2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(8,025)</w:t>
            </w:r>
          </w:p>
        </w:tc>
        <w:tc>
          <w:tcPr>
            <w:tcW w:w="2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(258,237)</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(20,545)</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 of cash acquired .........................</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Investments ...................................</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(128,394)</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227,739</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(203,142)</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Due on sale of investments ....................</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97,446</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(97,446)</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Net cash used by investing activities ..........</w:t>
            </w:r>
          </w:p>
        </w:tc>
        <w:tc>
          <w:tcPr>
            <w:tcW w:w="200" w:type="dxa"/>
            <w:vAlign w:val="bottom"/>
          </w:tcPr>
          <w:p>
            <w:pPr>
              <w:spacing w:after="0"/>
              <w:rPr>
                <w:sz w:val="14"/>
                <w:szCs w:val="14"/>
                <w:color w:val="auto"/>
              </w:rPr>
            </w:pPr>
          </w:p>
        </w:tc>
        <w:tc>
          <w:tcPr>
            <w:tcW w:w="3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(75,130)</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(172,983)</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(276,880)</w:t>
            </w:r>
          </w:p>
        </w:tc>
        <w:tc>
          <w:tcPr>
            <w:tcW w:w="0" w:type="dxa"/>
            <w:vAlign w:val="bottom"/>
          </w:tcPr>
          <w:p>
            <w:pPr>
              <w:spacing w:after="0"/>
              <w:rPr>
                <w:sz w:val="1"/>
                <w:szCs w:val="1"/>
                <w:color w:val="auto"/>
              </w:rPr>
            </w:pPr>
          </w:p>
        </w:tc>
      </w:tr>
      <w:tr>
        <w:trPr>
          <w:trHeight w:val="242"/>
        </w:trPr>
        <w:tc>
          <w:tcPr>
            <w:tcW w:w="4280" w:type="dxa"/>
            <w:vAlign w:val="bottom"/>
            <w:vMerge w:val="restart"/>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00" w:type="dxa"/>
            <w:vAlign w:val="bottom"/>
          </w:tcPr>
          <w:p>
            <w:pPr>
              <w:spacing w:after="0"/>
              <w:rPr>
                <w:sz w:val="21"/>
                <w:szCs w:val="21"/>
                <w:color w:val="auto"/>
              </w:rPr>
            </w:pPr>
          </w:p>
        </w:tc>
        <w:tc>
          <w:tcPr>
            <w:tcW w:w="3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42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6,000</w:t>
            </w:r>
          </w:p>
        </w:tc>
        <w:tc>
          <w:tcPr>
            <w:tcW w:w="200" w:type="dxa"/>
            <w:vAlign w:val="bottom"/>
          </w:tcPr>
          <w:p>
            <w:pPr>
              <w:spacing w:after="0"/>
              <w:rPr>
                <w:sz w:val="7"/>
                <w:szCs w:val="7"/>
                <w:color w:val="auto"/>
              </w:rPr>
            </w:pPr>
          </w:p>
        </w:tc>
        <w:tc>
          <w:tcPr>
            <w:tcW w:w="92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252,977</w:t>
            </w:r>
          </w:p>
        </w:tc>
        <w:tc>
          <w:tcPr>
            <w:tcW w:w="200" w:type="dxa"/>
            <w:vAlign w:val="bottom"/>
          </w:tcPr>
          <w:p>
            <w:pPr>
              <w:spacing w:after="0"/>
              <w:rPr>
                <w:sz w:val="7"/>
                <w:szCs w:val="7"/>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39,165</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Borrowings and other long-term obligations ....</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ind w:left="100"/>
              <w:spacing w:after="0"/>
              <w:rPr>
                <w:sz w:val="20"/>
                <w:szCs w:val="20"/>
                <w:color w:val="auto"/>
              </w:rPr>
            </w:pPr>
            <w:r>
              <w:rPr>
                <w:rFonts w:ascii="Courier New" w:cs="Courier New" w:eastAsia="Courier New" w:hAnsi="Courier New"/>
                <w:sz w:val="14"/>
                <w:szCs w:val="14"/>
                <w:color w:val="auto"/>
              </w:rPr>
              <w:t>Repayment of borrowings and other long-</w:t>
            </w:r>
          </w:p>
        </w:tc>
        <w:tc>
          <w:tcPr>
            <w:tcW w:w="2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(116,940)</w:t>
            </w:r>
          </w:p>
        </w:tc>
        <w:tc>
          <w:tcPr>
            <w:tcW w:w="200" w:type="dxa"/>
            <w:vAlign w:val="bottom"/>
          </w:tcPr>
          <w:p>
            <w:pPr>
              <w:spacing w:after="0"/>
              <w:rPr>
                <w:sz w:val="14"/>
                <w:szCs w:val="14"/>
                <w:color w:val="auto"/>
              </w:rPr>
            </w:pPr>
          </w:p>
        </w:tc>
        <w:tc>
          <w:tcPr>
            <w:tcW w:w="92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(21,150)</w:t>
            </w: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(12,720)</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term obligations .............................</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Issuance of common stock ......................</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4,896</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638</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1,918</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Trust account deposits ........................</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53,364</w:t>
            </w: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(118,028)</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174,567</w:t>
            </w:r>
          </w:p>
        </w:tc>
        <w:tc>
          <w:tcPr>
            <w:tcW w:w="0" w:type="dxa"/>
            <w:vAlign w:val="bottom"/>
          </w:tcPr>
          <w:p>
            <w:pPr>
              <w:spacing w:after="0"/>
              <w:rPr>
                <w:sz w:val="1"/>
                <w:szCs w:val="1"/>
                <w:color w:val="auto"/>
              </w:rPr>
            </w:pPr>
          </w:p>
        </w:tc>
      </w:tr>
      <w:tr>
        <w:trPr>
          <w:trHeight w:val="166"/>
        </w:trPr>
        <w:tc>
          <w:tcPr>
            <w:tcW w:w="42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Net cash (used) provided by financing activities</w:t>
            </w:r>
          </w:p>
        </w:tc>
        <w:tc>
          <w:tcPr>
            <w:tcW w:w="200" w:type="dxa"/>
            <w:vAlign w:val="bottom"/>
          </w:tcPr>
          <w:p>
            <w:pPr>
              <w:spacing w:after="0"/>
              <w:rPr>
                <w:sz w:val="14"/>
                <w:szCs w:val="14"/>
                <w:color w:val="auto"/>
              </w:rPr>
            </w:pPr>
          </w:p>
        </w:tc>
        <w:tc>
          <w:tcPr>
            <w:tcW w:w="3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(52,680)</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114,437</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202,930</w:t>
            </w:r>
          </w:p>
        </w:tc>
        <w:tc>
          <w:tcPr>
            <w:tcW w:w="0" w:type="dxa"/>
            <w:vAlign w:val="bottom"/>
          </w:tcPr>
          <w:p>
            <w:pPr>
              <w:spacing w:after="0"/>
              <w:rPr>
                <w:sz w:val="1"/>
                <w:szCs w:val="1"/>
                <w:color w:val="auto"/>
              </w:rPr>
            </w:pPr>
          </w:p>
        </w:tc>
      </w:tr>
      <w:tr>
        <w:trPr>
          <w:trHeight w:val="166"/>
        </w:trPr>
        <w:tc>
          <w:tcPr>
            <w:tcW w:w="42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Change in cash and cash equivalents ............</w:t>
            </w:r>
          </w:p>
        </w:tc>
        <w:tc>
          <w:tcPr>
            <w:tcW w:w="200" w:type="dxa"/>
            <w:vAlign w:val="bottom"/>
          </w:tcPr>
          <w:p>
            <w:pPr>
              <w:spacing w:after="0"/>
              <w:rPr>
                <w:sz w:val="14"/>
                <w:szCs w:val="14"/>
                <w:color w:val="auto"/>
              </w:rPr>
            </w:pPr>
          </w:p>
        </w:tc>
        <w:tc>
          <w:tcPr>
            <w:tcW w:w="3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21,090</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30,060</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(6,667)</w:t>
            </w:r>
          </w:p>
        </w:tc>
        <w:tc>
          <w:tcPr>
            <w:tcW w:w="0" w:type="dxa"/>
            <w:vAlign w:val="bottom"/>
          </w:tcPr>
          <w:p>
            <w:pPr>
              <w:spacing w:after="0"/>
              <w:rPr>
                <w:sz w:val="1"/>
                <w:szCs w:val="1"/>
                <w:color w:val="auto"/>
              </w:rPr>
            </w:pPr>
          </w:p>
        </w:tc>
      </w:tr>
      <w:tr>
        <w:trPr>
          <w:trHeight w:val="166"/>
        </w:trPr>
        <w:tc>
          <w:tcPr>
            <w:tcW w:w="4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Beginning balance ..............................</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59,743</w:t>
            </w:r>
          </w:p>
        </w:tc>
        <w:tc>
          <w:tcPr>
            <w:tcW w:w="2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29,683</w:t>
            </w:r>
          </w:p>
        </w:tc>
        <w:tc>
          <w:tcPr>
            <w:tcW w:w="2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36,350</w:t>
            </w:r>
          </w:p>
        </w:tc>
        <w:tc>
          <w:tcPr>
            <w:tcW w:w="0" w:type="dxa"/>
            <w:vAlign w:val="bottom"/>
          </w:tcPr>
          <w:p>
            <w:pPr>
              <w:spacing w:after="0"/>
              <w:rPr>
                <w:sz w:val="1"/>
                <w:szCs w:val="1"/>
                <w:color w:val="auto"/>
              </w:rPr>
            </w:pPr>
          </w:p>
        </w:tc>
      </w:tr>
      <w:tr>
        <w:trPr>
          <w:trHeight w:val="166"/>
        </w:trPr>
        <w:tc>
          <w:tcPr>
            <w:tcW w:w="428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Ending balance .................................</w:t>
            </w:r>
          </w:p>
        </w:tc>
        <w:tc>
          <w:tcPr>
            <w:tcW w:w="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3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80,833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59,743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29,683</w:t>
            </w:r>
          </w:p>
        </w:tc>
        <w:tc>
          <w:tcPr>
            <w:tcW w:w="0" w:type="dxa"/>
            <w:vAlign w:val="bottom"/>
          </w:tcPr>
          <w:p>
            <w:pPr>
              <w:spacing w:after="0"/>
              <w:rPr>
                <w:sz w:val="1"/>
                <w:szCs w:val="1"/>
                <w:color w:val="auto"/>
              </w:rPr>
            </w:pPr>
          </w:p>
        </w:tc>
      </w:tr>
      <w:tr>
        <w:trPr>
          <w:trHeight w:val="242"/>
        </w:trPr>
        <w:tc>
          <w:tcPr>
            <w:tcW w:w="4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ectPr>
          <w:pgSz w:w="11900" w:h="16838" w:orient="portrait"/>
          <w:cols w:equalWidth="0" w:num="1">
            <w:col w:w="10239"/>
          </w:cols>
          <w:pgMar w:left="220" w:top="756" w:right="1440" w:bottom="1440" w:gutter="0" w:footer="0" w:header="0"/>
        </w:sectPr>
      </w:pPr>
    </w:p>
    <w:bookmarkStart w:id="14" w:name="page15"/>
    <w:bookmarkEnd w:id="14"/>
    <w:p>
      <w:pPr>
        <w:spacing w:after="0" w:line="95" w:lineRule="exact"/>
        <w:rPr>
          <w:sz w:val="20"/>
          <w:szCs w:val="20"/>
          <w:color w:val="auto"/>
        </w:rPr>
      </w:pPr>
    </w:p>
    <w:p>
      <w:pPr>
        <w:spacing w:after="0"/>
        <w:tabs>
          <w:tab w:leader="none" w:pos="840" w:val="left"/>
          <w:tab w:leader="none" w:pos="2060" w:val="left"/>
          <w:tab w:leader="none" w:pos="3000" w:val="left"/>
        </w:tabs>
        <w:rPr>
          <w:sz w:val="20"/>
          <w:szCs w:val="20"/>
          <w:color w:val="auto"/>
        </w:rPr>
      </w:pPr>
      <w:r>
        <w:rPr>
          <w:rFonts w:ascii="Courier New" w:cs="Courier New" w:eastAsia="Courier New" w:hAnsi="Courier New"/>
          <w:sz w:val="14"/>
          <w:szCs w:val="14"/>
          <w:color w:val="auto"/>
        </w:rPr>
        <w:t>NOTES TO</w:t>
        <w:tab/>
        <w:t>CONSOLIDATED</w:t>
        <w:tab/>
        <w:t>FINANCIAL</w:t>
        <w:tab/>
        <w:t>STATEMENTS</w:t>
      </w:r>
    </w:p>
    <w:p>
      <w:pPr>
        <w:spacing w:after="0" w:line="33"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For the years ended</w:t>
        <w:tab/>
        <w:t>December 31,1996, 1995 and 1994</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PRINCIPLES OF CONSOLIDATION</w:t>
      </w:r>
    </w:p>
    <w:p>
      <w:pPr>
        <w:spacing w:after="0" w:line="33" w:lineRule="exact"/>
        <w:rPr>
          <w:sz w:val="20"/>
          <w:szCs w:val="20"/>
          <w:color w:val="auto"/>
        </w:rPr>
      </w:pPr>
    </w:p>
    <w:p>
      <w:pPr>
        <w:jc w:val="both"/>
        <w:ind w:right="3339"/>
        <w:spacing w:after="0" w:line="293"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wholly-owned subsidiaries. All significant intercompany transactions and balances have been eliminated in consolidation.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c>
          <w:tcPr>
            <w:tcW w:w="57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cash</w:t>
            </w:r>
          </w:p>
        </w:tc>
        <w:tc>
          <w:tcPr>
            <w:tcW w:w="5720" w:type="dxa"/>
            <w:vAlign w:val="bottom"/>
          </w:tcPr>
          <w:p>
            <w:pPr>
              <w:ind w:left="40"/>
              <w:spacing w:after="0"/>
              <w:rPr>
                <w:sz w:val="20"/>
                <w:szCs w:val="20"/>
                <w:color w:val="auto"/>
              </w:rPr>
            </w:pPr>
            <w:r>
              <w:rPr>
                <w:rFonts w:ascii="Courier New" w:cs="Courier New" w:eastAsia="Courier New" w:hAnsi="Courier New"/>
                <w:sz w:val="14"/>
                <w:szCs w:val="14"/>
                <w:color w:val="auto"/>
              </w:rPr>
              <w:t>equivalents comprise cash and investments with original maturities</w:t>
            </w:r>
          </w:p>
        </w:tc>
      </w:tr>
      <w:tr>
        <w:trPr>
          <w:trHeight w:val="242"/>
        </w:trPr>
        <w:tc>
          <w:tcPr>
            <w:tcW w:w="1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of 90 days or</w:t>
            </w:r>
          </w:p>
        </w:tc>
        <w:tc>
          <w:tcPr>
            <w:tcW w:w="5720" w:type="dxa"/>
            <w:vAlign w:val="bottom"/>
          </w:tcPr>
          <w:p>
            <w:pPr>
              <w:ind w:left="40"/>
              <w:spacing w:after="0"/>
              <w:rPr>
                <w:sz w:val="20"/>
                <w:szCs w:val="20"/>
                <w:color w:val="auto"/>
              </w:rPr>
            </w:pPr>
            <w:r>
              <w:rPr>
                <w:rFonts w:ascii="Courier New" w:cs="Courier New" w:eastAsia="Courier New" w:hAnsi="Courier New"/>
                <w:sz w:val="14"/>
                <w:szCs w:val="14"/>
                <w:color w:val="auto"/>
              </w:rPr>
              <w:t>less.</w:t>
            </w: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PREPAID EXPENSES AND OTHER ASSETS</w:t>
      </w:r>
    </w:p>
    <w:p>
      <w:pPr>
        <w:spacing w:after="0" w:line="33" w:lineRule="exact"/>
        <w:rPr>
          <w:sz w:val="20"/>
          <w:szCs w:val="20"/>
          <w:color w:val="auto"/>
        </w:rPr>
      </w:pPr>
    </w:p>
    <w:p>
      <w:pPr>
        <w:jc w:val="both"/>
        <w:ind w:right="3339"/>
        <w:spacing w:after="0" w:line="293" w:lineRule="auto"/>
        <w:rPr>
          <w:sz w:val="20"/>
          <w:szCs w:val="20"/>
          <w:color w:val="auto"/>
        </w:rPr>
      </w:pPr>
      <w:r>
        <w:rPr>
          <w:rFonts w:ascii="Courier New" w:cs="Courier New" w:eastAsia="Courier New" w:hAnsi="Courier New"/>
          <w:sz w:val="14"/>
          <w:szCs w:val="14"/>
          <w:color w:val="auto"/>
        </w:rPr>
        <w:t>Prepaid expenses and other assets at December 31, 1996 and 1995 include $12,013,000 and $17,817,000,respectively, relating to long-term contracts, the profit from which is being recognized ratably over the periods to be benefited.</w:t>
      </w:r>
    </w:p>
    <w:p>
      <w:pPr>
        <w:spacing w:after="0" w:line="5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USE OF</w:t>
        <w:tab/>
        <w:t>ESTIMATES</w:t>
      </w:r>
    </w:p>
    <w:p>
      <w:pPr>
        <w:spacing w:after="0" w:line="33" w:lineRule="exact"/>
        <w:rPr>
          <w:sz w:val="20"/>
          <w:szCs w:val="20"/>
          <w:color w:val="auto"/>
        </w:rPr>
      </w:pPr>
    </w:p>
    <w:p>
      <w:pPr>
        <w:jc w:val="both"/>
        <w:ind w:right="3339"/>
        <w:spacing w:after="0" w:line="267"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VALUES</w:t>
      </w:r>
    </w:p>
    <w:p>
      <w:pPr>
        <w:spacing w:after="0" w:line="33" w:lineRule="exact"/>
        <w:rPr>
          <w:sz w:val="20"/>
          <w:szCs w:val="20"/>
          <w:color w:val="auto"/>
        </w:rPr>
      </w:pPr>
    </w:p>
    <w:p>
      <w:pPr>
        <w:spacing w:after="0"/>
        <w:tabs>
          <w:tab w:leader="none" w:pos="420" w:val="left"/>
          <w:tab w:leader="none" w:pos="1280" w:val="left"/>
          <w:tab w:leader="none" w:pos="3520" w:val="left"/>
          <w:tab w:leader="none" w:pos="4720" w:val="left"/>
          <w:tab w:leader="none" w:pos="5580" w:val="left"/>
          <w:tab w:leader="none" w:pos="6620" w:val="left"/>
        </w:tabs>
        <w:rPr>
          <w:sz w:val="20"/>
          <w:szCs w:val="20"/>
          <w:color w:val="auto"/>
        </w:rPr>
      </w:pPr>
      <w:r>
        <w:rPr>
          <w:rFonts w:ascii="Courier New" w:cs="Courier New" w:eastAsia="Courier New" w:hAnsi="Courier New"/>
          <w:sz w:val="14"/>
          <w:szCs w:val="14"/>
          <w:color w:val="auto"/>
        </w:rPr>
        <w:t>The</w:t>
        <w:tab/>
        <w:t>carrying</w:t>
        <w:tab/>
        <w:t>amounts of cash and cash</w:t>
        <w:tab/>
        <w:t>equivalents,</w:t>
        <w:tab/>
        <w:t>accounts</w:t>
        <w:tab/>
        <w:t>receivable</w:t>
        <w:tab/>
        <w:t>and</w:t>
      </w:r>
    </w:p>
    <w:tbl>
      <w:tblPr>
        <w:tblLayout w:type="fixed"/>
        <w:tblInd w:w="0" w:type="dxa"/>
        <w:tblCellMar>
          <w:top w:w="0" w:type="dxa"/>
          <w:left w:w="0" w:type="dxa"/>
          <w:bottom w:w="0" w:type="dxa"/>
          <w:right w:w="0" w:type="dxa"/>
        </w:tblCellMar>
      </w:tblPr>
      <w:tr>
        <w:trPr>
          <w:trHeight w:val="147"/>
        </w:trPr>
        <w:tc>
          <w:tcPr>
            <w:tcW w:w="740" w:type="dxa"/>
            <w:vAlign w:val="bottom"/>
          </w:tcPr>
          <w:p>
            <w:pPr>
              <w:spacing w:after="0" w:line="147" w:lineRule="exact"/>
              <w:rPr>
                <w:sz w:val="20"/>
                <w:szCs w:val="20"/>
                <w:color w:val="auto"/>
              </w:rPr>
            </w:pPr>
            <w:r>
              <w:rPr>
                <w:rFonts w:ascii="Courier New" w:cs="Courier New" w:eastAsia="Courier New" w:hAnsi="Courier New"/>
                <w:sz w:val="14"/>
                <w:szCs w:val="14"/>
                <w:color w:val="auto"/>
              </w:rPr>
              <w:t>payable,</w:t>
            </w:r>
          </w:p>
        </w:tc>
        <w:tc>
          <w:tcPr>
            <w:tcW w:w="1420" w:type="dxa"/>
            <w:vAlign w:val="bottom"/>
            <w:gridSpan w:val="2"/>
          </w:tcPr>
          <w:p>
            <w:pPr>
              <w:ind w:left="120"/>
              <w:spacing w:after="0" w:line="147" w:lineRule="exact"/>
              <w:rPr>
                <w:sz w:val="20"/>
                <w:szCs w:val="20"/>
                <w:color w:val="auto"/>
              </w:rPr>
            </w:pPr>
            <w:r>
              <w:rPr>
                <w:rFonts w:ascii="Courier New" w:cs="Courier New" w:eastAsia="Courier New" w:hAnsi="Courier New"/>
                <w:sz w:val="14"/>
                <w:szCs w:val="14"/>
                <w:color w:val="auto"/>
              </w:rPr>
              <w:t>and long-term</w:t>
            </w:r>
          </w:p>
        </w:tc>
        <w:tc>
          <w:tcPr>
            <w:tcW w:w="1000" w:type="dxa"/>
            <w:vAlign w:val="bottom"/>
          </w:tcPr>
          <w:p>
            <w:pPr>
              <w:spacing w:after="0" w:line="147" w:lineRule="exact"/>
              <w:rPr>
                <w:sz w:val="20"/>
                <w:szCs w:val="20"/>
                <w:color w:val="auto"/>
              </w:rPr>
            </w:pPr>
            <w:r>
              <w:rPr>
                <w:rFonts w:ascii="Courier New" w:cs="Courier New" w:eastAsia="Courier New" w:hAnsi="Courier New"/>
                <w:sz w:val="14"/>
                <w:szCs w:val="14"/>
                <w:color w:val="auto"/>
              </w:rPr>
              <w:t>borrowings</w:t>
            </w:r>
          </w:p>
        </w:tc>
        <w:tc>
          <w:tcPr>
            <w:tcW w:w="120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approximated</w:t>
            </w:r>
          </w:p>
        </w:tc>
        <w:tc>
          <w:tcPr>
            <w:tcW w:w="42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fair</w:t>
            </w:r>
          </w:p>
        </w:tc>
        <w:tc>
          <w:tcPr>
            <w:tcW w:w="7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value as</w:t>
            </w:r>
          </w:p>
        </w:tc>
        <w:tc>
          <w:tcPr>
            <w:tcW w:w="134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of December 31,</w:t>
            </w:r>
          </w:p>
        </w:tc>
        <w:tc>
          <w:tcPr>
            <w:tcW w:w="0" w:type="dxa"/>
            <w:vAlign w:val="bottom"/>
          </w:tcPr>
          <w:p>
            <w:pPr>
              <w:spacing w:after="0"/>
              <w:rPr>
                <w:sz w:val="1"/>
                <w:szCs w:val="1"/>
                <w:color w:val="auto"/>
              </w:rPr>
            </w:pPr>
          </w:p>
        </w:tc>
      </w:tr>
      <w:tr>
        <w:trPr>
          <w:trHeight w:val="242"/>
        </w:trPr>
        <w:tc>
          <w:tcPr>
            <w:tcW w:w="740" w:type="dxa"/>
            <w:vAlign w:val="bottom"/>
          </w:tcPr>
          <w:p>
            <w:pPr>
              <w:spacing w:after="0"/>
              <w:rPr>
                <w:sz w:val="20"/>
                <w:szCs w:val="20"/>
                <w:color w:val="auto"/>
              </w:rPr>
            </w:pPr>
            <w:r>
              <w:rPr>
                <w:rFonts w:ascii="Courier New" w:cs="Courier New" w:eastAsia="Courier New" w:hAnsi="Courier New"/>
                <w:sz w:val="14"/>
                <w:szCs w:val="14"/>
                <w:color w:val="auto"/>
              </w:rPr>
              <w:t>1996 and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TRUST  ACCOUNT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DEPOSITS</w:t>
            </w:r>
          </w:p>
        </w:tc>
        <w:tc>
          <w:tcPr>
            <w:tcW w:w="26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AND  INVESTMENT   SECURITIES</w:t>
            </w:r>
          </w:p>
        </w:tc>
        <w:tc>
          <w:tcPr>
            <w:tcW w:w="780" w:type="dxa"/>
            <w:vAlign w:val="bottom"/>
          </w:tcPr>
          <w:p>
            <w:pPr>
              <w:spacing w:after="0"/>
              <w:rPr>
                <w:sz w:val="22"/>
                <w:szCs w:val="22"/>
                <w:color w:val="auto"/>
              </w:rPr>
            </w:pPr>
          </w:p>
        </w:tc>
        <w:tc>
          <w:tcPr>
            <w:tcW w:w="13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market deposits</w:t>
            </w:r>
          </w:p>
        </w:tc>
        <w:tc>
          <w:tcPr>
            <w:tcW w:w="0" w:type="dxa"/>
            <w:vAlign w:val="bottom"/>
          </w:tcPr>
          <w:p>
            <w:pPr>
              <w:spacing w:after="0"/>
              <w:rPr>
                <w:sz w:val="1"/>
                <w:szCs w:val="1"/>
                <w:color w:val="auto"/>
              </w:rPr>
            </w:pPr>
          </w:p>
        </w:tc>
      </w:tr>
      <w:tr>
        <w:trPr>
          <w:trHeight w:val="192"/>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The Company's</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trust  administration</w:t>
            </w:r>
          </w:p>
        </w:tc>
        <w:tc>
          <w:tcPr>
            <w:tcW w:w="1200" w:type="dxa"/>
            <w:vAlign w:val="bottom"/>
          </w:tcPr>
          <w:p>
            <w:pPr>
              <w:ind w:left="120"/>
              <w:spacing w:after="0"/>
              <w:rPr>
                <w:sz w:val="20"/>
                <w:szCs w:val="20"/>
                <w:color w:val="auto"/>
              </w:rPr>
            </w:pPr>
            <w:r>
              <w:rPr>
                <w:rFonts w:ascii="Courier New" w:cs="Courier New" w:eastAsia="Courier New" w:hAnsi="Courier New"/>
                <w:sz w:val="14"/>
                <w:szCs w:val="14"/>
                <w:color w:val="auto"/>
              </w:rPr>
              <w:t>subsidiaries</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accept money</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tabs>
          <w:tab w:leader="none" w:pos="4980" w:val="left"/>
        </w:tabs>
        <w:rPr>
          <w:sz w:val="20"/>
          <w:szCs w:val="20"/>
          <w:color w:val="auto"/>
        </w:rPr>
      </w:pPr>
      <w:r>
        <w:rPr>
          <w:rFonts w:ascii="Courier New" w:cs="Courier New" w:eastAsia="Courier New" w:hAnsi="Courier New"/>
          <w:sz w:val="14"/>
          <w:szCs w:val="14"/>
          <w:color w:val="auto"/>
        </w:rPr>
        <w:t>from trust customers and invest the funds in securities.</w:t>
        <w:tab/>
        <w:t>Such amounts due trust</w:t>
      </w:r>
    </w:p>
    <w:tbl>
      <w:tblPr>
        <w:tblLayout w:type="fixed"/>
        <w:tblInd w:w="0" w:type="dxa"/>
        <w:tblCellMar>
          <w:top w:w="0" w:type="dxa"/>
          <w:left w:w="0" w:type="dxa"/>
          <w:bottom w:w="0" w:type="dxa"/>
          <w:right w:w="0" w:type="dxa"/>
        </w:tblCellMar>
      </w:tblPr>
      <w:tr>
        <w:trPr>
          <w:trHeight w:val="147"/>
        </w:trPr>
        <w:tc>
          <w:tcPr>
            <w:tcW w:w="1040" w:type="dxa"/>
            <w:vAlign w:val="bottom"/>
          </w:tcPr>
          <w:p>
            <w:pPr>
              <w:spacing w:after="0" w:line="147" w:lineRule="exact"/>
              <w:rPr>
                <w:sz w:val="20"/>
                <w:szCs w:val="20"/>
                <w:color w:val="auto"/>
              </w:rPr>
            </w:pPr>
            <w:r>
              <w:rPr>
                <w:rFonts w:ascii="Courier New" w:cs="Courier New" w:eastAsia="Courier New" w:hAnsi="Courier New"/>
                <w:sz w:val="14"/>
                <w:szCs w:val="14"/>
                <w:color w:val="auto"/>
              </w:rPr>
              <w:t>depositors</w:t>
            </w:r>
          </w:p>
        </w:tc>
        <w:tc>
          <w:tcPr>
            <w:tcW w:w="4920" w:type="dxa"/>
            <w:vAlign w:val="bottom"/>
            <w:gridSpan w:val="8"/>
          </w:tcPr>
          <w:p>
            <w:pPr>
              <w:spacing w:after="0" w:line="147" w:lineRule="exact"/>
              <w:rPr>
                <w:sz w:val="20"/>
                <w:szCs w:val="20"/>
                <w:color w:val="auto"/>
              </w:rPr>
            </w:pPr>
            <w:r>
              <w:rPr>
                <w:rFonts w:ascii="Courier New" w:cs="Courier New" w:eastAsia="Courier New" w:hAnsi="Courier New"/>
                <w:sz w:val="14"/>
                <w:szCs w:val="14"/>
                <w:color w:val="auto"/>
              </w:rPr>
              <w:t>represent the primary  source of funds for the Company's</w:t>
            </w:r>
          </w:p>
        </w:tc>
        <w:tc>
          <w:tcPr>
            <w:tcW w:w="9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investment</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580" w:type="dxa"/>
            <w:vAlign w:val="bottom"/>
          </w:tcPr>
          <w:p>
            <w:pPr>
              <w:spacing w:after="0"/>
              <w:rPr>
                <w:sz w:val="20"/>
                <w:szCs w:val="20"/>
                <w:color w:val="auto"/>
              </w:rPr>
            </w:pPr>
            <w:r>
              <w:rPr>
                <w:rFonts w:ascii="Courier New" w:cs="Courier New" w:eastAsia="Courier New" w:hAnsi="Courier New"/>
                <w:sz w:val="14"/>
                <w:szCs w:val="14"/>
                <w:color w:val="auto"/>
              </w:rPr>
              <w:t>and  amounted to  $970,553,000</w:t>
            </w:r>
          </w:p>
        </w:tc>
        <w:tc>
          <w:tcPr>
            <w:tcW w:w="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w:t>
            </w:r>
          </w:p>
        </w:tc>
        <w:tc>
          <w:tcPr>
            <w:tcW w:w="1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$917,189,000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1996 and 1995,</w:t>
            </w:r>
          </w:p>
        </w:tc>
        <w:tc>
          <w:tcPr>
            <w:tcW w:w="0" w:type="dxa"/>
            <w:vAlign w:val="bottom"/>
          </w:tcPr>
          <w:p>
            <w:pPr>
              <w:spacing w:after="0"/>
              <w:rPr>
                <w:sz w:val="1"/>
                <w:szCs w:val="1"/>
                <w:color w:val="auto"/>
              </w:rPr>
            </w:pPr>
          </w:p>
        </w:tc>
      </w:tr>
      <w:tr>
        <w:trPr>
          <w:trHeight w:val="166"/>
        </w:trPr>
        <w:tc>
          <w:tcPr>
            <w:tcW w:w="4180" w:type="dxa"/>
            <w:vAlign w:val="bottom"/>
            <w:gridSpan w:val="4"/>
          </w:tcPr>
          <w:p>
            <w:pPr>
              <w:spacing w:after="0"/>
              <w:rPr>
                <w:sz w:val="20"/>
                <w:szCs w:val="20"/>
                <w:color w:val="auto"/>
              </w:rPr>
            </w:pPr>
            <w:r>
              <w:rPr>
                <w:rFonts w:ascii="Courier New" w:cs="Courier New" w:eastAsia="Courier New" w:hAnsi="Courier New"/>
                <w:sz w:val="14"/>
                <w:szCs w:val="14"/>
                <w:color w:val="auto"/>
              </w:rPr>
              <w:t>respectively. The related investment securities,</w:t>
            </w:r>
          </w:p>
        </w:tc>
        <w:tc>
          <w:tcPr>
            <w:tcW w:w="2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including amounts representing</w:t>
            </w:r>
          </w:p>
        </w:tc>
        <w:tc>
          <w:tcPr>
            <w:tcW w:w="0" w:type="dxa"/>
            <w:vAlign w:val="bottom"/>
          </w:tcPr>
          <w:p>
            <w:pPr>
              <w:spacing w:after="0"/>
              <w:rPr>
                <w:sz w:val="1"/>
                <w:szCs w:val="1"/>
                <w:color w:val="auto"/>
              </w:rPr>
            </w:pPr>
          </w:p>
        </w:tc>
      </w:tr>
      <w:tr>
        <w:trPr>
          <w:trHeight w:val="242"/>
        </w:trPr>
        <w:tc>
          <w:tcPr>
            <w:tcW w:w="5960" w:type="dxa"/>
            <w:vAlign w:val="bottom"/>
            <w:gridSpan w:val="9"/>
          </w:tcPr>
          <w:p>
            <w:pPr>
              <w:spacing w:after="0"/>
              <w:rPr>
                <w:sz w:val="20"/>
                <w:szCs w:val="20"/>
                <w:color w:val="auto"/>
              </w:rPr>
            </w:pPr>
            <w:r>
              <w:rPr>
                <w:rFonts w:ascii="Courier New" w:cs="Courier New" w:eastAsia="Courier New" w:hAnsi="Courier New"/>
                <w:sz w:val="14"/>
                <w:szCs w:val="14"/>
                <w:color w:val="auto"/>
              </w:rPr>
              <w:t>Company funds, comprised the following at December 31, 1996 and 1995:</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PRINCIPAL</w:t>
            </w:r>
          </w:p>
        </w:tc>
        <w:tc>
          <w:tcPr>
            <w:tcW w:w="3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CARRYING</w:t>
            </w:r>
          </w:p>
        </w:tc>
        <w:tc>
          <w:tcPr>
            <w:tcW w:w="300" w:type="dxa"/>
            <w:vAlign w:val="bottom"/>
          </w:tcPr>
          <w:p>
            <w:pPr>
              <w:spacing w:after="0"/>
              <w:rPr>
                <w:sz w:val="22"/>
                <w:szCs w:val="22"/>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MARKET</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AMOUNT</w:t>
            </w:r>
          </w:p>
        </w:tc>
        <w:tc>
          <w:tcPr>
            <w:tcW w:w="3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VALUE</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VALUE</w:t>
            </w:r>
          </w:p>
        </w:tc>
        <w:tc>
          <w:tcPr>
            <w:tcW w:w="0" w:type="dxa"/>
            <w:vAlign w:val="bottom"/>
          </w:tcPr>
          <w:p>
            <w:pPr>
              <w:spacing w:after="0"/>
              <w:rPr>
                <w:sz w:val="1"/>
                <w:szCs w:val="1"/>
                <w:color w:val="auto"/>
              </w:rPr>
            </w:pPr>
          </w:p>
        </w:tc>
      </w:tr>
      <w:tr>
        <w:trPr>
          <w:trHeight w:val="242"/>
        </w:trPr>
        <w:tc>
          <w:tcPr>
            <w:tcW w:w="36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U. S. Government and government</w:t>
            </w:r>
          </w:p>
        </w:tc>
        <w:tc>
          <w:tcPr>
            <w:tcW w:w="3280" w:type="dxa"/>
            <w:vAlign w:val="bottom"/>
            <w:gridSpan w:val="8"/>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620" w:type="dxa"/>
            <w:vAlign w:val="bottom"/>
            <w:gridSpan w:val="2"/>
            <w:vMerge w:val="continue"/>
          </w:tcPr>
          <w:p>
            <w:pPr>
              <w:spacing w:after="0"/>
              <w:rPr>
                <w:sz w:val="7"/>
                <w:szCs w:val="7"/>
                <w:color w:val="auto"/>
              </w:rPr>
            </w:pPr>
          </w:p>
        </w:tc>
        <w:tc>
          <w:tcPr>
            <w:tcW w:w="2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w w:val="98"/>
              </w:rPr>
              <w:t>684,963</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695,955</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695,048</w:t>
            </w: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agency obligations ......................</w:t>
            </w:r>
          </w:p>
        </w:tc>
        <w:tc>
          <w:tcPr>
            <w:tcW w:w="2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Corporate bonds .........................</w:t>
            </w:r>
          </w:p>
        </w:tc>
        <w:tc>
          <w:tcPr>
            <w:tcW w:w="26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31,172</w:t>
            </w:r>
          </w:p>
        </w:tc>
        <w:tc>
          <w:tcPr>
            <w:tcW w:w="3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31,337</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31,374</w:t>
            </w: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Repurchase agreements ...................</w:t>
            </w:r>
          </w:p>
        </w:tc>
        <w:tc>
          <w:tcPr>
            <w:tcW w:w="26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41,888</w:t>
            </w:r>
          </w:p>
        </w:tc>
        <w:tc>
          <w:tcPr>
            <w:tcW w:w="3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41,888</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41,888</w:t>
            </w: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Other fixed income obligations ..........</w:t>
            </w:r>
          </w:p>
        </w:tc>
        <w:tc>
          <w:tcPr>
            <w:tcW w:w="26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263,878</w:t>
            </w:r>
          </w:p>
        </w:tc>
        <w:tc>
          <w:tcPr>
            <w:tcW w:w="3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262,293</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261,939</w:t>
            </w:r>
          </w:p>
        </w:tc>
        <w:tc>
          <w:tcPr>
            <w:tcW w:w="0" w:type="dxa"/>
            <w:vAlign w:val="bottom"/>
          </w:tcPr>
          <w:p>
            <w:pPr>
              <w:spacing w:after="0"/>
              <w:rPr>
                <w:sz w:val="1"/>
                <w:szCs w:val="1"/>
                <w:color w:val="auto"/>
              </w:rPr>
            </w:pPr>
          </w:p>
        </w:tc>
      </w:tr>
      <w:tr>
        <w:trPr>
          <w:trHeight w:val="166"/>
        </w:trPr>
        <w:tc>
          <w:tcPr>
            <w:tcW w:w="36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TOTAL ...................................</w:t>
            </w:r>
          </w:p>
        </w:tc>
        <w:tc>
          <w:tcPr>
            <w:tcW w:w="3280" w:type="dxa"/>
            <w:vAlign w:val="bottom"/>
            <w:gridSpan w:val="8"/>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040" w:type="dxa"/>
            <w:vAlign w:val="bottom"/>
            <w:vMerge w:val="continue"/>
          </w:tcPr>
          <w:p>
            <w:pPr>
              <w:spacing w:after="0"/>
              <w:rPr>
                <w:sz w:val="14"/>
                <w:szCs w:val="14"/>
                <w:color w:val="auto"/>
              </w:rPr>
            </w:pPr>
          </w:p>
        </w:tc>
        <w:tc>
          <w:tcPr>
            <w:tcW w:w="2580" w:type="dxa"/>
            <w:vAlign w:val="bottom"/>
          </w:tcPr>
          <w:p>
            <w:pPr>
              <w:spacing w:after="0"/>
              <w:rPr>
                <w:sz w:val="14"/>
                <w:szCs w:val="14"/>
                <w:color w:val="auto"/>
              </w:rPr>
            </w:pPr>
          </w:p>
        </w:tc>
        <w:tc>
          <w:tcPr>
            <w:tcW w:w="9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w w:val="99"/>
              </w:rPr>
              <w:t>$1,021,901</w:t>
            </w:r>
          </w:p>
        </w:tc>
        <w:tc>
          <w:tcPr>
            <w:tcW w:w="1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$1,031,473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1,030,249</w:t>
            </w:r>
          </w:p>
        </w:tc>
        <w:tc>
          <w:tcPr>
            <w:tcW w:w="0" w:type="dxa"/>
            <w:vAlign w:val="bottom"/>
          </w:tcPr>
          <w:p>
            <w:pPr>
              <w:spacing w:after="0"/>
              <w:rPr>
                <w:sz w:val="1"/>
                <w:szCs w:val="1"/>
                <w:color w:val="auto"/>
              </w:rPr>
            </w:pPr>
          </w:p>
        </w:tc>
      </w:tr>
      <w:tr>
        <w:trPr>
          <w:trHeight w:val="242"/>
        </w:trPr>
        <w:tc>
          <w:tcPr>
            <w:tcW w:w="36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Less amounts representing Company funds:</w:t>
            </w:r>
          </w:p>
        </w:tc>
        <w:tc>
          <w:tcPr>
            <w:tcW w:w="3280" w:type="dxa"/>
            <w:vAlign w:val="bottom"/>
            <w:gridSpan w:val="8"/>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6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41,888</w:t>
            </w: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Included in cash and cash equivalents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Included in other investments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19,032</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Trust account investments</w:t>
            </w:r>
          </w:p>
        </w:tc>
        <w:tc>
          <w:tcPr>
            <w:tcW w:w="3280" w:type="dxa"/>
            <w:vAlign w:val="bottom"/>
            <w:gridSpan w:val="8"/>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620" w:type="dxa"/>
            <w:vAlign w:val="bottom"/>
            <w:gridSpan w:val="2"/>
            <w:vMerge w:val="continue"/>
          </w:tcPr>
          <w:p>
            <w:pPr>
              <w:ind w:left="2240"/>
              <w:spacing w:after="0" w:line="146" w:lineRule="exact"/>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970,553</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040" w:type="dxa"/>
            <w:vAlign w:val="bottom"/>
            <w:vMerge w:val="restart"/>
          </w:tcPr>
          <w:p>
            <w:pPr>
              <w:spacing w:after="0"/>
              <w:rPr>
                <w:sz w:val="20"/>
                <w:szCs w:val="20"/>
                <w:color w:val="auto"/>
              </w:rPr>
            </w:pPr>
            <w:r>
              <w:rPr>
                <w:rFonts w:ascii="Courier New" w:cs="Courier New" w:eastAsia="Courier New" w:hAnsi="Courier New"/>
                <w:sz w:val="14"/>
                <w:szCs w:val="14"/>
                <w:color w:val="auto"/>
              </w:rPr>
              <w:t>1995</w:t>
            </w:r>
          </w:p>
        </w:tc>
        <w:tc>
          <w:tcPr>
            <w:tcW w:w="2580" w:type="dxa"/>
            <w:vAlign w:val="bottom"/>
          </w:tcPr>
          <w:p>
            <w:pPr>
              <w:spacing w:after="0"/>
              <w:rPr>
                <w:sz w:val="21"/>
                <w:szCs w:val="21"/>
                <w:color w:val="auto"/>
              </w:rPr>
            </w:pPr>
          </w:p>
        </w:tc>
        <w:tc>
          <w:tcPr>
            <w:tcW w:w="3280" w:type="dxa"/>
            <w:vAlign w:val="bottom"/>
            <w:gridSpan w:val="8"/>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1040" w:type="dxa"/>
            <w:vAlign w:val="bottom"/>
            <w:vMerge w:val="continue"/>
          </w:tcPr>
          <w:p>
            <w:pPr>
              <w:spacing w:after="0"/>
              <w:rPr>
                <w:sz w:val="7"/>
                <w:szCs w:val="7"/>
                <w:color w:val="auto"/>
              </w:rPr>
            </w:pPr>
          </w:p>
        </w:tc>
        <w:tc>
          <w:tcPr>
            <w:tcW w:w="2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U. S. Government and government</w:t>
            </w:r>
          </w:p>
        </w:tc>
        <w:tc>
          <w:tcPr>
            <w:tcW w:w="260" w:type="dxa"/>
            <w:vAlign w:val="bottom"/>
            <w:vMerge w:val="restart"/>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w w:val="98"/>
              </w:rPr>
              <w:t>553,384</w:t>
            </w:r>
          </w:p>
        </w:tc>
        <w:tc>
          <w:tcPr>
            <w:tcW w:w="34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558,893</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559,000</w:t>
            </w:r>
          </w:p>
        </w:tc>
        <w:tc>
          <w:tcPr>
            <w:tcW w:w="0" w:type="dxa"/>
            <w:vAlign w:val="bottom"/>
          </w:tcPr>
          <w:p>
            <w:pPr>
              <w:spacing w:after="0"/>
              <w:rPr>
                <w:sz w:val="1"/>
                <w:szCs w:val="1"/>
                <w:color w:val="auto"/>
              </w:rPr>
            </w:pPr>
          </w:p>
        </w:tc>
      </w:tr>
      <w:tr>
        <w:trPr>
          <w:trHeight w:val="166"/>
        </w:trPr>
        <w:tc>
          <w:tcPr>
            <w:tcW w:w="3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agency obligations ....................</w:t>
            </w:r>
          </w:p>
        </w:tc>
        <w:tc>
          <w:tcPr>
            <w:tcW w:w="2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Corporate bonds ........................</w:t>
            </w:r>
          </w:p>
        </w:tc>
        <w:tc>
          <w:tcPr>
            <w:tcW w:w="26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119,100</w:t>
            </w:r>
          </w:p>
        </w:tc>
        <w:tc>
          <w:tcPr>
            <w:tcW w:w="3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118,891</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118,716</w:t>
            </w: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Repurchase agreements ..................</w:t>
            </w:r>
          </w:p>
        </w:tc>
        <w:tc>
          <w:tcPr>
            <w:tcW w:w="26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96,671</w:t>
            </w:r>
          </w:p>
        </w:tc>
        <w:tc>
          <w:tcPr>
            <w:tcW w:w="3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96,671</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96,671</w:t>
            </w: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Other fixed income obligations .........</w:t>
            </w:r>
          </w:p>
        </w:tc>
        <w:tc>
          <w:tcPr>
            <w:tcW w:w="26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59,877</w:t>
            </w:r>
          </w:p>
        </w:tc>
        <w:tc>
          <w:tcPr>
            <w:tcW w:w="3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59,831</w:t>
            </w:r>
          </w:p>
        </w:tc>
        <w:tc>
          <w:tcPr>
            <w:tcW w:w="30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59,831</w:t>
            </w:r>
          </w:p>
        </w:tc>
        <w:tc>
          <w:tcPr>
            <w:tcW w:w="0" w:type="dxa"/>
            <w:vAlign w:val="bottom"/>
          </w:tcPr>
          <w:p>
            <w:pPr>
              <w:spacing w:after="0"/>
              <w:rPr>
                <w:sz w:val="1"/>
                <w:szCs w:val="1"/>
                <w:color w:val="auto"/>
              </w:rPr>
            </w:pPr>
          </w:p>
        </w:tc>
      </w:tr>
      <w:tr>
        <w:trPr>
          <w:trHeight w:val="166"/>
        </w:trPr>
        <w:tc>
          <w:tcPr>
            <w:tcW w:w="36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TOTAL ..................................</w:t>
            </w:r>
          </w:p>
        </w:tc>
        <w:tc>
          <w:tcPr>
            <w:tcW w:w="3280" w:type="dxa"/>
            <w:vAlign w:val="bottom"/>
            <w:gridSpan w:val="8"/>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040" w:type="dxa"/>
            <w:vAlign w:val="bottom"/>
            <w:vMerge w:val="continue"/>
          </w:tcPr>
          <w:p>
            <w:pPr>
              <w:spacing w:after="0"/>
              <w:rPr>
                <w:sz w:val="14"/>
                <w:szCs w:val="14"/>
                <w:color w:val="auto"/>
              </w:rPr>
            </w:pPr>
          </w:p>
        </w:tc>
        <w:tc>
          <w:tcPr>
            <w:tcW w:w="2580" w:type="dxa"/>
            <w:vAlign w:val="bottom"/>
          </w:tcPr>
          <w:p>
            <w:pPr>
              <w:spacing w:after="0"/>
              <w:rPr>
                <w:sz w:val="14"/>
                <w:szCs w:val="14"/>
                <w:color w:val="auto"/>
              </w:rPr>
            </w:pPr>
          </w:p>
        </w:tc>
        <w:tc>
          <w:tcPr>
            <w:tcW w:w="2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829,032</w:t>
            </w:r>
          </w:p>
        </w:tc>
        <w:tc>
          <w:tcPr>
            <w:tcW w:w="3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834,286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834,218</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280" w:type="dxa"/>
            <w:vAlign w:val="bottom"/>
            <w:gridSpan w:val="8"/>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580" w:type="dxa"/>
            <w:vAlign w:val="bottom"/>
            <w:gridSpan w:val="5"/>
          </w:tcPr>
          <w:p>
            <w:pPr>
              <w:spacing w:after="0"/>
              <w:rPr>
                <w:sz w:val="20"/>
                <w:szCs w:val="20"/>
                <w:color w:val="auto"/>
              </w:rPr>
            </w:pPr>
            <w:r>
              <w:rPr>
                <w:rFonts w:ascii="Courier New" w:cs="Courier New" w:eastAsia="Courier New" w:hAnsi="Courier New"/>
                <w:sz w:val="14"/>
                <w:szCs w:val="14"/>
                <w:color w:val="auto"/>
              </w:rPr>
              <w:t>Substantially all of the investments have contractual</w:t>
            </w:r>
          </w:p>
        </w:tc>
        <w:tc>
          <w:tcPr>
            <w:tcW w:w="1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maturities</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one year or</w:t>
            </w:r>
          </w:p>
        </w:tc>
        <w:tc>
          <w:tcPr>
            <w:tcW w:w="0" w:type="dxa"/>
            <w:vAlign w:val="bottom"/>
          </w:tcPr>
          <w:p>
            <w:pPr>
              <w:spacing w:after="0"/>
              <w:rPr>
                <w:sz w:val="1"/>
                <w:szCs w:val="1"/>
                <w:color w:val="auto"/>
              </w:rPr>
            </w:pPr>
          </w:p>
        </w:tc>
      </w:tr>
      <w:tr>
        <w:trPr>
          <w:trHeight w:val="242"/>
        </w:trPr>
        <w:tc>
          <w:tcPr>
            <w:tcW w:w="4180" w:type="dxa"/>
            <w:vAlign w:val="bottom"/>
            <w:gridSpan w:val="4"/>
          </w:tcPr>
          <w:p>
            <w:pPr>
              <w:spacing w:after="0"/>
              <w:rPr>
                <w:sz w:val="20"/>
                <w:szCs w:val="20"/>
                <w:color w:val="auto"/>
              </w:rPr>
            </w:pPr>
            <w:r>
              <w:rPr>
                <w:rFonts w:ascii="Courier New" w:cs="Courier New" w:eastAsia="Courier New" w:hAnsi="Courier New"/>
                <w:sz w:val="14"/>
                <w:szCs w:val="14"/>
                <w:color w:val="auto"/>
              </w:rPr>
              <w:t>less except for government agency obligations.</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PROPERTY AND EQUIPMENT</w:t>
            </w:r>
          </w:p>
        </w:tc>
        <w:tc>
          <w:tcPr>
            <w:tcW w:w="1300" w:type="dxa"/>
            <w:vAlign w:val="bottom"/>
            <w:gridSpan w:val="4"/>
            <w:vMerge w:val="restart"/>
          </w:tcPr>
          <w:p>
            <w:pPr>
              <w:jc w:val="right"/>
              <w:ind w:right="8"/>
              <w:spacing w:after="0"/>
              <w:rPr>
                <w:sz w:val="20"/>
                <w:szCs w:val="20"/>
                <w:color w:val="auto"/>
              </w:rPr>
            </w:pPr>
            <w:r>
              <w:rPr>
                <w:rFonts w:ascii="Courier New" w:cs="Courier New" w:eastAsia="Courier New" w:hAnsi="Courier New"/>
                <w:sz w:val="14"/>
                <w:szCs w:val="14"/>
                <w:color w:val="auto"/>
              </w:rPr>
              <w:t>Depreciation</w:t>
            </w: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and</w:t>
            </w:r>
          </w:p>
        </w:tc>
        <w:tc>
          <w:tcPr>
            <w:tcW w:w="1640" w:type="dxa"/>
            <w:vAlign w:val="bottom"/>
            <w:gridSpan w:val="3"/>
            <w:vMerge w:val="restart"/>
          </w:tcPr>
          <w:p>
            <w:pPr>
              <w:jc w:val="right"/>
              <w:spacing w:after="0"/>
              <w:rPr>
                <w:sz w:val="20"/>
                <w:szCs w:val="20"/>
                <w:color w:val="auto"/>
              </w:rPr>
            </w:pPr>
            <w:r>
              <w:rPr>
                <w:rFonts w:ascii="Courier New" w:cs="Courier New" w:eastAsia="Courier New" w:hAnsi="Courier New"/>
                <w:sz w:val="14"/>
                <w:szCs w:val="14"/>
                <w:color w:val="auto"/>
              </w:rPr>
              <w:t>amortization  are</w:t>
            </w:r>
          </w:p>
        </w:tc>
        <w:tc>
          <w:tcPr>
            <w:tcW w:w="0" w:type="dxa"/>
            <w:vAlign w:val="bottom"/>
          </w:tcPr>
          <w:p>
            <w:pPr>
              <w:spacing w:after="0"/>
              <w:rPr>
                <w:sz w:val="1"/>
                <w:szCs w:val="1"/>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Property and equipment are stated at cost.</w:t>
            </w:r>
          </w:p>
        </w:tc>
        <w:tc>
          <w:tcPr>
            <w:tcW w:w="130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rPr>
              <w:t>computed  using  primarily the  straight-line</w:t>
            </w:r>
          </w:p>
        </w:tc>
        <w:tc>
          <w:tcPr>
            <w:tcW w:w="30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method over the estimated  useful</w:t>
            </w:r>
          </w:p>
        </w:tc>
        <w:tc>
          <w:tcPr>
            <w:tcW w:w="0" w:type="dxa"/>
            <w:vAlign w:val="bottom"/>
          </w:tcPr>
          <w:p>
            <w:pPr>
              <w:spacing w:after="0"/>
              <w:rPr>
                <w:sz w:val="1"/>
                <w:szCs w:val="1"/>
                <w:color w:val="auto"/>
              </w:rPr>
            </w:pPr>
          </w:p>
        </w:tc>
      </w:tr>
      <w:tr>
        <w:trPr>
          <w:trHeight w:val="242"/>
        </w:trPr>
        <w:tc>
          <w:tcPr>
            <w:tcW w:w="4580" w:type="dxa"/>
            <w:vAlign w:val="bottom"/>
            <w:gridSpan w:val="5"/>
          </w:tcPr>
          <w:p>
            <w:pPr>
              <w:spacing w:after="0"/>
              <w:rPr>
                <w:sz w:val="20"/>
                <w:szCs w:val="20"/>
                <w:color w:val="auto"/>
              </w:rPr>
            </w:pPr>
            <w:r>
              <w:rPr>
                <w:rFonts w:ascii="Courier New" w:cs="Courier New" w:eastAsia="Courier New" w:hAnsi="Courier New"/>
                <w:sz w:val="14"/>
                <w:szCs w:val="14"/>
                <w:color w:val="auto"/>
              </w:rPr>
              <w:t>lives of the assets, ranging from three to 40 years:</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1996</w:t>
            </w:r>
          </w:p>
        </w:tc>
        <w:tc>
          <w:tcPr>
            <w:tcW w:w="340" w:type="dxa"/>
            <w:vAlign w:val="bottom"/>
          </w:tcPr>
          <w:p>
            <w:pPr>
              <w:spacing w:after="0"/>
              <w:rPr>
                <w:sz w:val="22"/>
                <w:szCs w:val="22"/>
                <w:color w:val="auto"/>
              </w:rPr>
            </w:pPr>
          </w:p>
        </w:tc>
        <w:tc>
          <w:tcPr>
            <w:tcW w:w="700" w:type="dxa"/>
            <w:vAlign w:val="bottom"/>
            <w:gridSpan w:val="2"/>
            <w:vMerge w:val="restart"/>
          </w:tcPr>
          <w:p>
            <w:pPr>
              <w:jc w:val="right"/>
              <w:ind w:right="2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Data processing equipment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gridSpan w:val="3"/>
            <w:vMerge w:val="continue"/>
          </w:tcPr>
          <w:p>
            <w:pPr>
              <w:ind w:left="2240"/>
              <w:spacing w:after="0" w:line="146" w:lineRule="exact"/>
              <w:rPr>
                <w:sz w:val="20"/>
                <w:szCs w:val="20"/>
                <w:color w:val="auto"/>
              </w:rPr>
            </w:pPr>
            <w:r>
              <w:rPr>
                <w:rFonts w:ascii="Courier New" w:cs="Courier New" w:eastAsia="Courier New" w:hAnsi="Courier New"/>
                <w:sz w:val="14"/>
                <w:szCs w:val="14"/>
                <w:color w:val="auto"/>
                <w:w w:val="96"/>
              </w:rPr>
              <w:t>....................</w:t>
            </w:r>
          </w:p>
        </w:tc>
        <w:tc>
          <w:tcPr>
            <w:tcW w:w="3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$155,147</w:t>
            </w:r>
          </w:p>
        </w:tc>
        <w:tc>
          <w:tcPr>
            <w:tcW w:w="10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$149,143</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w w:val="99"/>
              </w:rPr>
              <w:t>Purchased software ...........................</w:t>
            </w:r>
          </w:p>
        </w:tc>
        <w:tc>
          <w:tcPr>
            <w:tcW w:w="3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47,833</w:t>
            </w:r>
          </w:p>
        </w:tc>
        <w:tc>
          <w:tcPr>
            <w:tcW w:w="34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39,810</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w w:val="99"/>
              </w:rPr>
              <w:t>Buildings and leasehold improvements .........</w:t>
            </w:r>
          </w:p>
        </w:tc>
        <w:tc>
          <w:tcPr>
            <w:tcW w:w="3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52,329</w:t>
            </w:r>
          </w:p>
        </w:tc>
        <w:tc>
          <w:tcPr>
            <w:tcW w:w="34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51,195</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w w:val="99"/>
              </w:rPr>
              <w:t>Furniture and equipment ......................</w:t>
            </w:r>
          </w:p>
        </w:tc>
        <w:tc>
          <w:tcPr>
            <w:tcW w:w="3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49,526</w:t>
            </w:r>
          </w:p>
        </w:tc>
        <w:tc>
          <w:tcPr>
            <w:tcW w:w="34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38,940</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80" w:type="dxa"/>
            <w:vAlign w:val="bottom"/>
            <w:gridSpan w:val="4"/>
            <w:vMerge w:val="restart"/>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304,835</w:t>
            </w:r>
          </w:p>
        </w:tc>
        <w:tc>
          <w:tcPr>
            <w:tcW w:w="34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279,088</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80" w:type="dxa"/>
            <w:vAlign w:val="bottom"/>
            <w:gridSpan w:val="4"/>
            <w:vMerge w:val="continue"/>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161,174</w:t>
            </w:r>
          </w:p>
        </w:tc>
        <w:tc>
          <w:tcPr>
            <w:tcW w:w="34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130,745</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w w:val="93"/>
              </w:rPr>
              <w:t>TOTAL ........................................</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vMerge w:val="continue"/>
          </w:tcPr>
          <w:p>
            <w:pPr>
              <w:spacing w:after="0"/>
              <w:rPr>
                <w:sz w:val="14"/>
                <w:szCs w:val="14"/>
                <w:color w:val="auto"/>
              </w:rPr>
            </w:pP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$143,661</w:t>
            </w:r>
          </w:p>
        </w:tc>
        <w:tc>
          <w:tcPr>
            <w:tcW w:w="10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$148,343</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6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INTERNALLY GENERATED COMPUTER SOFTWARE</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36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Certain costs incurred to develop new software and enhance existing software are</w:t>
      </w:r>
    </w:p>
    <w:tbl>
      <w:tblPr>
        <w:tblLayout w:type="fixed"/>
        <w:tblInd w:w="0" w:type="dxa"/>
        <w:tblCellMar>
          <w:top w:w="0" w:type="dxa"/>
          <w:left w:w="0" w:type="dxa"/>
          <w:bottom w:w="0" w:type="dxa"/>
          <w:right w:w="0" w:type="dxa"/>
        </w:tblCellMar>
      </w:tblPr>
      <w:tr>
        <w:trPr>
          <w:trHeight w:val="147"/>
        </w:trPr>
        <w:tc>
          <w:tcPr>
            <w:tcW w:w="4280" w:type="dxa"/>
            <w:vAlign w:val="bottom"/>
            <w:gridSpan w:val="4"/>
          </w:tcPr>
          <w:p>
            <w:pPr>
              <w:spacing w:after="0" w:line="147" w:lineRule="exact"/>
              <w:rPr>
                <w:sz w:val="20"/>
                <w:szCs w:val="20"/>
                <w:color w:val="auto"/>
              </w:rPr>
            </w:pPr>
            <w:r>
              <w:rPr>
                <w:rFonts w:ascii="Courier New" w:cs="Courier New" w:eastAsia="Courier New" w:hAnsi="Courier New"/>
                <w:sz w:val="14"/>
                <w:szCs w:val="14"/>
                <w:color w:val="auto"/>
              </w:rPr>
              <w:t>capitalized  and  amortized  over  the  expected</w:t>
            </w:r>
          </w:p>
        </w:tc>
        <w:tc>
          <w:tcPr>
            <w:tcW w:w="640" w:type="dxa"/>
            <w:vAlign w:val="bottom"/>
          </w:tcPr>
          <w:p>
            <w:pPr>
              <w:jc w:val="right"/>
              <w:ind w:right="8"/>
              <w:spacing w:after="0" w:line="147" w:lineRule="exact"/>
              <w:rPr>
                <w:sz w:val="20"/>
                <w:szCs w:val="20"/>
                <w:color w:val="auto"/>
              </w:rPr>
            </w:pPr>
            <w:r>
              <w:rPr>
                <w:rFonts w:ascii="Courier New" w:cs="Courier New" w:eastAsia="Courier New" w:hAnsi="Courier New"/>
                <w:sz w:val="14"/>
                <w:szCs w:val="14"/>
                <w:color w:val="auto"/>
              </w:rPr>
              <w:t>useful</w:t>
            </w:r>
          </w:p>
        </w:tc>
        <w:tc>
          <w:tcPr>
            <w:tcW w:w="480" w:type="dxa"/>
            <w:vAlign w:val="bottom"/>
            <w:gridSpan w:val="2"/>
          </w:tcPr>
          <w:p>
            <w:pPr>
              <w:ind w:left="80"/>
              <w:spacing w:after="0" w:line="147" w:lineRule="exact"/>
              <w:rPr>
                <w:sz w:val="20"/>
                <w:szCs w:val="20"/>
                <w:color w:val="auto"/>
              </w:rPr>
            </w:pPr>
            <w:r>
              <w:rPr>
                <w:rFonts w:ascii="Courier New" w:cs="Courier New" w:eastAsia="Courier New" w:hAnsi="Courier New"/>
                <w:sz w:val="14"/>
                <w:szCs w:val="14"/>
                <w:color w:val="auto"/>
              </w:rPr>
              <w:t>life</w:t>
            </w:r>
          </w:p>
        </w:tc>
        <w:tc>
          <w:tcPr>
            <w:tcW w:w="64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of the</w:t>
            </w:r>
          </w:p>
        </w:tc>
        <w:tc>
          <w:tcPr>
            <w:tcW w:w="86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product,</w:t>
            </w:r>
          </w:p>
        </w:tc>
      </w:tr>
      <w:tr>
        <w:trPr>
          <w:trHeight w:val="166"/>
        </w:trPr>
        <w:tc>
          <w:tcPr>
            <w:tcW w:w="3720" w:type="dxa"/>
            <w:vAlign w:val="bottom"/>
            <w:gridSpan w:val="3"/>
          </w:tcPr>
          <w:p>
            <w:pPr>
              <w:spacing w:after="0"/>
              <w:rPr>
                <w:sz w:val="20"/>
                <w:szCs w:val="20"/>
                <w:color w:val="auto"/>
              </w:rPr>
            </w:pPr>
            <w:r>
              <w:rPr>
                <w:rFonts w:ascii="Courier New" w:cs="Courier New" w:eastAsia="Courier New" w:hAnsi="Courier New"/>
                <w:sz w:val="14"/>
                <w:szCs w:val="14"/>
                <w:color w:val="auto"/>
              </w:rPr>
              <w:t>generally five years. At December 31, 1996</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and 1995, the</w:t>
            </w:r>
          </w:p>
        </w:tc>
        <w:tc>
          <w:tcPr>
            <w:tcW w:w="1120" w:type="dxa"/>
            <w:vAlign w:val="bottom"/>
            <w:gridSpan w:val="3"/>
          </w:tcPr>
          <w:p>
            <w:pPr>
              <w:spacing w:after="0"/>
              <w:rPr>
                <w:sz w:val="20"/>
                <w:szCs w:val="20"/>
                <w:color w:val="auto"/>
              </w:rPr>
            </w:pPr>
            <w:r>
              <w:rPr>
                <w:rFonts w:ascii="Courier New" w:cs="Courier New" w:eastAsia="Courier New" w:hAnsi="Courier New"/>
                <w:sz w:val="14"/>
                <w:szCs w:val="14"/>
                <w:color w:val="auto"/>
              </w:rPr>
              <w:t>unamortized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portion of</w:t>
            </w:r>
          </w:p>
        </w:tc>
      </w:tr>
      <w:tr>
        <w:trPr>
          <w:trHeight w:val="166"/>
        </w:trPr>
        <w:tc>
          <w:tcPr>
            <w:tcW w:w="3720" w:type="dxa"/>
            <w:vAlign w:val="bottom"/>
            <w:gridSpan w:val="3"/>
          </w:tcPr>
          <w:p>
            <w:pPr>
              <w:spacing w:after="0"/>
              <w:rPr>
                <w:sz w:val="20"/>
                <w:szCs w:val="20"/>
                <w:color w:val="auto"/>
              </w:rPr>
            </w:pPr>
            <w:r>
              <w:rPr>
                <w:rFonts w:ascii="Courier New" w:cs="Courier New" w:eastAsia="Courier New" w:hAnsi="Courier New"/>
                <w:sz w:val="14"/>
                <w:szCs w:val="14"/>
                <w:color w:val="auto"/>
              </w:rPr>
              <w:t>internally  generated  computer  software</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costs</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amounted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$70,487,000  and</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$73,863,000,</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respectively;</w:t>
            </w:r>
          </w:p>
        </w:tc>
        <w:tc>
          <w:tcPr>
            <w:tcW w:w="1380" w:type="dxa"/>
            <w:vAlign w:val="bottom"/>
          </w:tcPr>
          <w:p>
            <w:pPr>
              <w:ind w:left="160"/>
              <w:spacing w:after="0"/>
              <w:rPr>
                <w:sz w:val="20"/>
                <w:szCs w:val="20"/>
                <w:color w:val="auto"/>
              </w:rPr>
            </w:pPr>
            <w:r>
              <w:rPr>
                <w:rFonts w:ascii="Courier New" w:cs="Courier New" w:eastAsia="Courier New" w:hAnsi="Courier New"/>
                <w:sz w:val="14"/>
                <w:szCs w:val="14"/>
                <w:color w:val="auto"/>
              </w:rPr>
              <w:t>amortization</w:t>
            </w:r>
          </w:p>
        </w:tc>
        <w:tc>
          <w:tcPr>
            <w:tcW w:w="1420" w:type="dxa"/>
            <w:vAlign w:val="bottom"/>
            <w:gridSpan w:val="3"/>
          </w:tcPr>
          <w:p>
            <w:pPr>
              <w:spacing w:after="0"/>
              <w:rPr>
                <w:sz w:val="20"/>
                <w:szCs w:val="20"/>
                <w:color w:val="auto"/>
              </w:rPr>
            </w:pPr>
            <w:r>
              <w:rPr>
                <w:rFonts w:ascii="Courier New" w:cs="Courier New" w:eastAsia="Courier New" w:hAnsi="Courier New"/>
                <w:sz w:val="14"/>
                <w:szCs w:val="14"/>
                <w:color w:val="auto"/>
              </w:rPr>
              <w:t>of  such  costs</w:t>
            </w:r>
          </w:p>
        </w:tc>
        <w:tc>
          <w:tcPr>
            <w:tcW w:w="1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charged  to  expense</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amounted to</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$30,098,000,</w:t>
            </w:r>
          </w:p>
        </w:tc>
        <w:tc>
          <w:tcPr>
            <w:tcW w:w="25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$19,998,000,  and $16,655,000</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1996, 1995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and 1994,</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respectively.</w:t>
            </w:r>
          </w:p>
        </w:tc>
        <w:tc>
          <w:tcPr>
            <w:tcW w:w="2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During the fourth quarter of</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1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Company</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recorded a charge</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of $5,443,000</w:t>
            </w:r>
          </w:p>
        </w:tc>
        <w:tc>
          <w:tcPr>
            <w:tcW w:w="2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relating to the accelerated</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amortization</w:t>
            </w:r>
          </w:p>
        </w:tc>
        <w:tc>
          <w:tcPr>
            <w:tcW w:w="11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of software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resulting</w:t>
            </w:r>
          </w:p>
        </w:tc>
      </w:tr>
      <w:tr>
        <w:trPr>
          <w:trHeight w:val="242"/>
        </w:trPr>
        <w:tc>
          <w:tcPr>
            <w:tcW w:w="3720" w:type="dxa"/>
            <w:vAlign w:val="bottom"/>
            <w:gridSpan w:val="3"/>
          </w:tcPr>
          <w:p>
            <w:pPr>
              <w:spacing w:after="0"/>
              <w:rPr>
                <w:sz w:val="20"/>
                <w:szCs w:val="20"/>
                <w:color w:val="auto"/>
              </w:rPr>
            </w:pPr>
            <w:r>
              <w:rPr>
                <w:rFonts w:ascii="Courier New" w:cs="Courier New" w:eastAsia="Courier New" w:hAnsi="Courier New"/>
                <w:sz w:val="14"/>
                <w:szCs w:val="14"/>
                <w:color w:val="auto"/>
              </w:rPr>
              <w:t>from the planned  consolidation of certain</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product lines.</w:t>
            </w:r>
          </w:p>
        </w:tc>
        <w:tc>
          <w:tcPr>
            <w:tcW w:w="19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Routine maintenance of</w:t>
            </w:r>
          </w:p>
        </w:tc>
      </w:tr>
    </w:tbl>
    <w:p>
      <w:pPr>
        <w:sectPr>
          <w:pgSz w:w="11900" w:h="16934" w:orient="portrait"/>
          <w:cols w:equalWidth="0" w:num="1">
            <w:col w:w="10239"/>
          </w:cols>
          <w:pgMar w:left="220" w:top="590" w:right="1440" w:bottom="0" w:gutter="0" w:footer="0" w:header="0"/>
        </w:sectPr>
      </w:pPr>
    </w:p>
    <w:bookmarkStart w:id="15" w:name="page16"/>
    <w:bookmarkEnd w:id="15"/>
    <w:p>
      <w:pPr>
        <w:spacing w:after="0" w:line="118" w:lineRule="exact"/>
        <w:rPr>
          <w:sz w:val="20"/>
          <w:szCs w:val="20"/>
          <w:color w:val="auto"/>
        </w:rPr>
      </w:pPr>
    </w:p>
    <w:p>
      <w:pPr>
        <w:jc w:val="both"/>
        <w:ind w:right="4640"/>
        <w:spacing w:after="0" w:line="375" w:lineRule="auto"/>
        <w:rPr>
          <w:sz w:val="20"/>
          <w:szCs w:val="20"/>
          <w:color w:val="auto"/>
        </w:rPr>
      </w:pPr>
      <w:r>
        <w:rPr>
          <w:rFonts w:ascii="Courier New" w:cs="Courier New" w:eastAsia="Courier New" w:hAnsi="Courier New"/>
          <w:sz w:val="14"/>
          <w:szCs w:val="14"/>
          <w:color w:val="auto"/>
        </w:rPr>
        <w:t>software products, design costs and development costs incurred prior to establishment of a product's technological feasibility are expensed as incurred.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of the  following  at</w:t>
            </w:r>
          </w:p>
        </w:tc>
        <w:tc>
          <w:tcPr>
            <w:tcW w:w="0" w:type="dxa"/>
            <w:vAlign w:val="bottom"/>
          </w:tcPr>
          <w:p>
            <w:pPr>
              <w:spacing w:after="0"/>
              <w:rPr>
                <w:sz w:val="1"/>
                <w:szCs w:val="1"/>
                <w:color w:val="auto"/>
              </w:rPr>
            </w:pPr>
          </w:p>
        </w:tc>
      </w:tr>
      <w:tr>
        <w:trPr>
          <w:trHeight w:val="166"/>
        </w:trPr>
        <w:tc>
          <w:tcPr>
            <w:tcW w:w="5000" w:type="dxa"/>
            <w:vAlign w:val="bottom"/>
            <w:gridSpan w:val="3"/>
          </w:tcPr>
          <w:p>
            <w:pPr>
              <w:spacing w:after="0"/>
              <w:rPr>
                <w:sz w:val="20"/>
                <w:szCs w:val="20"/>
                <w:color w:val="auto"/>
              </w:rPr>
            </w:pPr>
            <w:r>
              <w:rPr>
                <w:rFonts w:ascii="Courier New" w:cs="Courier New" w:eastAsia="Courier New" w:hAnsi="Courier New"/>
                <w:sz w:val="14"/>
                <w:szCs w:val="14"/>
                <w:color w:val="auto"/>
              </w:rPr>
              <w:t>Intangible  assets  relate to  acquisitions  and  consist</w:t>
            </w: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19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166"/>
        </w:trPr>
        <w:tc>
          <w:tcPr>
            <w:tcW w:w="4100" w:type="dxa"/>
            <w:vAlign w:val="bottom"/>
            <w:vMerge w:val="restart"/>
          </w:tcPr>
          <w:p>
            <w:pPr>
              <w:spacing w:after="0"/>
              <w:rPr>
                <w:sz w:val="20"/>
                <w:szCs w:val="20"/>
                <w:color w:val="auto"/>
              </w:rPr>
            </w:pPr>
            <w:r>
              <w:rPr>
                <w:rFonts w:ascii="Courier New" w:cs="Courier New" w:eastAsia="Courier New" w:hAnsi="Courier New"/>
                <w:sz w:val="14"/>
                <w:szCs w:val="14"/>
                <w:color w:val="auto"/>
              </w:rPr>
              <w:t>Computer software acquired ...................</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29,326</w:t>
            </w:r>
          </w:p>
        </w:tc>
        <w:tc>
          <w:tcPr>
            <w:tcW w:w="19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$30,949</w:t>
            </w:r>
          </w:p>
        </w:tc>
        <w:tc>
          <w:tcPr>
            <w:tcW w:w="0" w:type="dxa"/>
            <w:vAlign w:val="bottom"/>
          </w:tcPr>
          <w:p>
            <w:pPr>
              <w:spacing w:after="0"/>
              <w:rPr>
                <w:sz w:val="1"/>
                <w:szCs w:val="1"/>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Non-competition agreements ...................</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9,139</w:t>
            </w:r>
          </w:p>
        </w:tc>
        <w:tc>
          <w:tcPr>
            <w:tcW w:w="19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10,744</w:t>
            </w:r>
          </w:p>
        </w:tc>
        <w:tc>
          <w:tcPr>
            <w:tcW w:w="0" w:type="dxa"/>
            <w:vAlign w:val="bottom"/>
          </w:tcPr>
          <w:p>
            <w:pPr>
              <w:spacing w:after="0"/>
              <w:rPr>
                <w:sz w:val="1"/>
                <w:szCs w:val="1"/>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Contract rights and other ....................</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55,952</w:t>
            </w:r>
          </w:p>
        </w:tc>
        <w:tc>
          <w:tcPr>
            <w:tcW w:w="19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48,012</w:t>
            </w:r>
          </w:p>
        </w:tc>
        <w:tc>
          <w:tcPr>
            <w:tcW w:w="0" w:type="dxa"/>
            <w:vAlign w:val="bottom"/>
          </w:tcPr>
          <w:p>
            <w:pPr>
              <w:spacing w:after="0"/>
              <w:rPr>
                <w:sz w:val="1"/>
                <w:szCs w:val="1"/>
                <w:color w:val="auto"/>
              </w:rPr>
            </w:pPr>
          </w:p>
        </w:tc>
      </w:tr>
      <w:tr>
        <w:trPr>
          <w:trHeight w:val="166"/>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100" w:type="dxa"/>
            <w:vAlign w:val="bottom"/>
            <w:vMerge w:val="restart"/>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94,417</w:t>
            </w:r>
          </w:p>
        </w:tc>
        <w:tc>
          <w:tcPr>
            <w:tcW w:w="19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89,705</w:t>
            </w:r>
          </w:p>
        </w:tc>
        <w:tc>
          <w:tcPr>
            <w:tcW w:w="0" w:type="dxa"/>
            <w:vAlign w:val="bottom"/>
          </w:tcPr>
          <w:p>
            <w:pPr>
              <w:spacing w:after="0"/>
              <w:rPr>
                <w:sz w:val="1"/>
                <w:szCs w:val="1"/>
                <w:color w:val="auto"/>
              </w:rPr>
            </w:pPr>
          </w:p>
        </w:tc>
      </w:tr>
      <w:tr>
        <w:trPr>
          <w:trHeight w:val="166"/>
        </w:trPr>
        <w:tc>
          <w:tcPr>
            <w:tcW w:w="4100" w:type="dxa"/>
            <w:vAlign w:val="bottom"/>
            <w:vMerge w:val="continue"/>
          </w:tcPr>
          <w:p>
            <w:pPr>
              <w:ind w:left="2600"/>
              <w:spacing w:after="0" w:line="146" w:lineRule="exact"/>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44,261</w:t>
            </w:r>
          </w:p>
        </w:tc>
        <w:tc>
          <w:tcPr>
            <w:tcW w:w="19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32,435</w:t>
            </w:r>
          </w:p>
        </w:tc>
        <w:tc>
          <w:tcPr>
            <w:tcW w:w="0" w:type="dxa"/>
            <w:vAlign w:val="bottom"/>
          </w:tcPr>
          <w:p>
            <w:pPr>
              <w:spacing w:after="0"/>
              <w:rPr>
                <w:sz w:val="1"/>
                <w:szCs w:val="1"/>
                <w:color w:val="auto"/>
              </w:rPr>
            </w:pPr>
          </w:p>
        </w:tc>
      </w:tr>
      <w:tr>
        <w:trPr>
          <w:trHeight w:val="166"/>
        </w:trPr>
        <w:tc>
          <w:tcPr>
            <w:tcW w:w="410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50,156</w:t>
            </w:r>
          </w:p>
        </w:tc>
        <w:tc>
          <w:tcPr>
            <w:tcW w:w="19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$ 57,270</w:t>
            </w:r>
          </w:p>
        </w:tc>
        <w:tc>
          <w:tcPr>
            <w:tcW w:w="0" w:type="dxa"/>
            <w:vAlign w:val="bottom"/>
          </w:tcPr>
          <w:p>
            <w:pPr>
              <w:spacing w:after="0"/>
              <w:rPr>
                <w:sz w:val="1"/>
                <w:szCs w:val="1"/>
                <w:color w:val="auto"/>
              </w:rPr>
            </w:pPr>
          </w:p>
        </w:tc>
      </w:tr>
      <w:tr>
        <w:trPr>
          <w:trHeight w:val="166"/>
        </w:trPr>
        <w:tc>
          <w:tcPr>
            <w:tcW w:w="4100" w:type="dxa"/>
            <w:vAlign w:val="bottom"/>
            <w:vMerge w:val="restart"/>
          </w:tcPr>
          <w:p>
            <w:pPr>
              <w:spacing w:after="0"/>
              <w:rPr>
                <w:sz w:val="20"/>
                <w:szCs w:val="20"/>
                <w:color w:val="auto"/>
              </w:rPr>
            </w:pPr>
            <w:r>
              <w:rPr>
                <w:rFonts w:ascii="Courier New" w:cs="Courier New" w:eastAsia="Courier New" w:hAnsi="Courier New"/>
                <w:sz w:val="14"/>
                <w:szCs w:val="14"/>
                <w:color w:val="auto"/>
              </w:rPr>
              <w:t>Goodwill .....................................</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317,077</w:t>
            </w:r>
          </w:p>
        </w:tc>
        <w:tc>
          <w:tcPr>
            <w:tcW w:w="19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$318,410</w:t>
            </w:r>
          </w:p>
        </w:tc>
        <w:tc>
          <w:tcPr>
            <w:tcW w:w="0" w:type="dxa"/>
            <w:vAlign w:val="bottom"/>
          </w:tcPr>
          <w:p>
            <w:pPr>
              <w:spacing w:after="0"/>
              <w:rPr>
                <w:sz w:val="1"/>
                <w:szCs w:val="1"/>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 ................</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24,988</w:t>
            </w:r>
          </w:p>
        </w:tc>
        <w:tc>
          <w:tcPr>
            <w:tcW w:w="19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17,858</w:t>
            </w:r>
          </w:p>
        </w:tc>
        <w:tc>
          <w:tcPr>
            <w:tcW w:w="0" w:type="dxa"/>
            <w:vAlign w:val="bottom"/>
          </w:tcPr>
          <w:p>
            <w:pPr>
              <w:spacing w:after="0"/>
              <w:rPr>
                <w:sz w:val="1"/>
                <w:szCs w:val="1"/>
                <w:color w:val="auto"/>
              </w:rPr>
            </w:pPr>
          </w:p>
        </w:tc>
      </w:tr>
      <w:tr>
        <w:trPr>
          <w:trHeight w:val="166"/>
        </w:trPr>
        <w:tc>
          <w:tcPr>
            <w:tcW w:w="410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2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292,089</w:t>
            </w:r>
          </w:p>
        </w:tc>
        <w:tc>
          <w:tcPr>
            <w:tcW w:w="19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$300,552</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jc w:val="both"/>
        <w:ind w:right="4640"/>
        <w:spacing w:after="0" w:line="255" w:lineRule="auto"/>
        <w:rPr>
          <w:sz w:val="20"/>
          <w:szCs w:val="20"/>
          <w:color w:val="auto"/>
        </w:rPr>
      </w:pPr>
      <w:r>
        <w:rPr>
          <w:rFonts w:ascii="Courier New" w:cs="Courier New" w:eastAsia="Courier New" w:hAnsi="Courier New"/>
          <w:sz w:val="14"/>
          <w:szCs w:val="14"/>
          <w:color w:val="auto"/>
        </w:rPr>
        <w:t>Except as noted below, the cost allocated to computer software acquired in corporate acquisitions is being amortized on a straight-line basis over its expected useful life (generally five years or less). In connection with certain acquisitions, the Company has entered into non-compete agreements with the sellers. The values assigned are being amortized on the straight-line method over the periods covered by the agreements (generally five years or less). Costs allocated to various customer data processing contracts at the dates of acquisition are being amortized on a straight-line basis over the remaining terms of the contracts (generally six years or less). The excess of the purchase price over the estimated fair value of tangible and identifiable intangible assets acquired has been recorded as goodwill and is being amortized over 40 years. The Company periodically reviews goodwill and other long-lived assets to assess recoverability, and impairments would be recognized in operating results if a permanent diminution in value were to occur. In connection with the acquisition in 1995 of Information Technology, Inc. (ITI) referred to in Note 2 below, the allocation of the purchase price to the various classes of assets was determined on the basis of an opinion expressed by a nationally recognized independent appraisal firm. Values determined for incomplete software have been expensed and values for completed software are being amortized utilizing accelerated methods.</w:t>
      </w: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33" w:lineRule="exact"/>
        <w:rPr>
          <w:sz w:val="20"/>
          <w:szCs w:val="20"/>
          <w:color w:val="auto"/>
        </w:rPr>
      </w:pPr>
    </w:p>
    <w:p>
      <w:pPr>
        <w:jc w:val="both"/>
        <w:ind w:right="4640"/>
        <w:spacing w:after="0" w:line="293" w:lineRule="auto"/>
        <w:rPr>
          <w:sz w:val="20"/>
          <w:szCs w:val="20"/>
          <w:color w:val="auto"/>
        </w:rPr>
      </w:pPr>
      <w:r>
        <w:rPr>
          <w:rFonts w:ascii="Courier New" w:cs="Courier New" w:eastAsia="Courier New" w:hAnsi="Courier New"/>
          <w:sz w:val="14"/>
          <w:szCs w:val="14"/>
          <w:color w:val="auto"/>
        </w:rPr>
        <w:t>The consolidated financial statements are prepared on the accrual method of accounting. Deferred income taxes are provided for temporary differences between the Company's income for accounting and tax purposes.</w:t>
      </w:r>
    </w:p>
    <w:p>
      <w:pPr>
        <w:spacing w:after="0" w:line="5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REVENUE</w:t>
        <w:tab/>
        <w:t>RECOGNITION</w:t>
      </w:r>
    </w:p>
    <w:p>
      <w:pPr>
        <w:spacing w:after="0" w:line="33" w:lineRule="exact"/>
        <w:rPr>
          <w:sz w:val="20"/>
          <w:szCs w:val="20"/>
          <w:color w:val="auto"/>
        </w:rPr>
      </w:pPr>
    </w:p>
    <w:p>
      <w:pPr>
        <w:jc w:val="both"/>
        <w:ind w:right="4640"/>
        <w:spacing w:after="0" w:line="250" w:lineRule="auto"/>
        <w:rPr>
          <w:sz w:val="20"/>
          <w:szCs w:val="20"/>
          <w:color w:val="auto"/>
        </w:rPr>
      </w:pPr>
      <w:r>
        <w:rPr>
          <w:rFonts w:ascii="Courier New" w:cs="Courier New" w:eastAsia="Courier New" w:hAnsi="Courier New"/>
          <w:sz w:val="14"/>
          <w:szCs w:val="14"/>
          <w:color w:val="auto"/>
        </w:rPr>
        <w:t>Revenues result primarily from the sale of data processing services to financial institutions, software sales, and administration of self-directed retirement plans. Such revenues are recognized as the related services are provided. Revenues include investment income of $37,572,000, $35,695,000, and $29,695,000,</w:t>
      </w:r>
    </w:p>
    <w:tbl>
      <w:tblPr>
        <w:tblLayout w:type="fixed"/>
        <w:tblInd w:w="0" w:type="dxa"/>
        <w:tblCellMar>
          <w:top w:w="0" w:type="dxa"/>
          <w:left w:w="0" w:type="dxa"/>
          <w:bottom w:w="0" w:type="dxa"/>
          <w:right w:w="0" w:type="dxa"/>
        </w:tblCellMar>
      </w:tblPr>
      <w:tr>
        <w:trPr>
          <w:trHeight w:val="141"/>
        </w:trPr>
        <w:tc>
          <w:tcPr>
            <w:tcW w:w="3160" w:type="dxa"/>
            <w:vAlign w:val="bottom"/>
            <w:gridSpan w:val="3"/>
          </w:tcPr>
          <w:p>
            <w:pPr>
              <w:spacing w:after="0" w:line="141" w:lineRule="exact"/>
              <w:rPr>
                <w:sz w:val="20"/>
                <w:szCs w:val="20"/>
                <w:color w:val="auto"/>
              </w:rPr>
            </w:pPr>
            <w:r>
              <w:rPr>
                <w:rFonts w:ascii="Courier New" w:cs="Courier New" w:eastAsia="Courier New" w:hAnsi="Courier New"/>
                <w:sz w:val="14"/>
                <w:szCs w:val="14"/>
                <w:color w:val="auto"/>
              </w:rPr>
              <w:t>net of direct credits to depositors</w:t>
            </w:r>
          </w:p>
        </w:tc>
        <w:tc>
          <w:tcPr>
            <w:tcW w:w="2100" w:type="dxa"/>
            <w:vAlign w:val="bottom"/>
            <w:gridSpan w:val="3"/>
          </w:tcPr>
          <w:p>
            <w:pPr>
              <w:jc w:val="right"/>
              <w:spacing w:after="0" w:line="141" w:lineRule="exact"/>
              <w:rPr>
                <w:sz w:val="20"/>
                <w:szCs w:val="20"/>
                <w:color w:val="auto"/>
              </w:rPr>
            </w:pPr>
            <w:r>
              <w:rPr>
                <w:rFonts w:ascii="Courier New" w:cs="Courier New" w:eastAsia="Courier New" w:hAnsi="Courier New"/>
                <w:sz w:val="14"/>
                <w:szCs w:val="14"/>
                <w:color w:val="auto"/>
              </w:rPr>
              <w:t>accounts of $24,050,000,</w:t>
            </w:r>
          </w:p>
        </w:tc>
        <w:tc>
          <w:tcPr>
            <w:tcW w:w="1640" w:type="dxa"/>
            <w:vAlign w:val="bottom"/>
            <w:gridSpan w:val="2"/>
          </w:tcPr>
          <w:p>
            <w:pPr>
              <w:jc w:val="right"/>
              <w:spacing w:after="0" w:line="141" w:lineRule="exact"/>
              <w:rPr>
                <w:sz w:val="20"/>
                <w:szCs w:val="20"/>
                <w:color w:val="auto"/>
              </w:rPr>
            </w:pPr>
            <w:r>
              <w:rPr>
                <w:rFonts w:ascii="Courier New" w:cs="Courier New" w:eastAsia="Courier New" w:hAnsi="Courier New"/>
                <w:sz w:val="14"/>
                <w:szCs w:val="14"/>
                <w:color w:val="auto"/>
              </w:rPr>
              <w:t>$27,561,000,  and</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$23,217,000 in 1996,</w:t>
            </w:r>
          </w:p>
        </w:tc>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1995 and 1994,</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respectively.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Deferred</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revenues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consist</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primarily of advance</w:t>
            </w:r>
          </w:p>
        </w:tc>
        <w:tc>
          <w:tcPr>
            <w:tcW w:w="26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billings for services and are</w:t>
            </w:r>
          </w:p>
        </w:tc>
        <w:tc>
          <w:tcPr>
            <w:tcW w:w="2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recognized  as revenue when</w:t>
            </w:r>
          </w:p>
        </w:tc>
        <w:tc>
          <w:tcPr>
            <w:tcW w:w="0" w:type="dxa"/>
            <w:vAlign w:val="bottom"/>
          </w:tcPr>
          <w:p>
            <w:pPr>
              <w:spacing w:after="0"/>
              <w:rPr>
                <w:sz w:val="1"/>
                <w:szCs w:val="1"/>
                <w:color w:val="auto"/>
              </w:rPr>
            </w:pPr>
          </w:p>
        </w:tc>
      </w:tr>
      <w:tr>
        <w:trPr>
          <w:trHeight w:val="242"/>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the services are provided.</w:t>
            </w: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INCOME PER SHARE</w:t>
            </w:r>
          </w:p>
        </w:tc>
        <w:tc>
          <w:tcPr>
            <w:tcW w:w="640" w:type="dxa"/>
            <w:vAlign w:val="bottom"/>
          </w:tcPr>
          <w:p>
            <w:pPr>
              <w:spacing w:after="0"/>
              <w:rPr>
                <w:sz w:val="22"/>
                <w:szCs w:val="22"/>
                <w:color w:val="auto"/>
              </w:rPr>
            </w:pPr>
          </w:p>
        </w:tc>
        <w:tc>
          <w:tcPr>
            <w:tcW w:w="960" w:type="dxa"/>
            <w:vAlign w:val="bottom"/>
            <w:gridSpan w:val="2"/>
            <w:vMerge w:val="restart"/>
          </w:tcPr>
          <w:p>
            <w:pPr>
              <w:jc w:val="center"/>
              <w:spacing w:after="0"/>
              <w:rPr>
                <w:sz w:val="20"/>
                <w:szCs w:val="20"/>
                <w:color w:val="auto"/>
              </w:rPr>
            </w:pPr>
            <w:r>
              <w:rPr>
                <w:rFonts w:ascii="Courier New" w:cs="Courier New" w:eastAsia="Courier New" w:hAnsi="Courier New"/>
                <w:sz w:val="14"/>
                <w:szCs w:val="14"/>
                <w:color w:val="auto"/>
              </w:rPr>
              <w:t>equivalent</w:t>
            </w:r>
          </w:p>
        </w:tc>
        <w:tc>
          <w:tcPr>
            <w:tcW w:w="1760" w:type="dxa"/>
            <w:vAlign w:val="bottom"/>
            <w:gridSpan w:val="2"/>
            <w:vMerge w:val="restart"/>
          </w:tcPr>
          <w:p>
            <w:pPr>
              <w:jc w:val="right"/>
              <w:ind w:right="88"/>
              <w:spacing w:after="0"/>
              <w:rPr>
                <w:sz w:val="20"/>
                <w:szCs w:val="20"/>
                <w:color w:val="auto"/>
              </w:rPr>
            </w:pPr>
            <w:r>
              <w:rPr>
                <w:rFonts w:ascii="Courier New" w:cs="Courier New" w:eastAsia="Courier New" w:hAnsi="Courier New"/>
                <w:sz w:val="14"/>
                <w:szCs w:val="14"/>
                <w:color w:val="auto"/>
              </w:rPr>
              <w:t>share is computed</w:t>
            </w:r>
          </w:p>
        </w:tc>
        <w:tc>
          <w:tcPr>
            <w:tcW w:w="900" w:type="dxa"/>
            <w:vAlign w:val="bottom"/>
            <w:vMerge w:val="restart"/>
          </w:tcPr>
          <w:p>
            <w:pPr>
              <w:jc w:val="right"/>
              <w:ind w:right="48"/>
              <w:spacing w:after="0"/>
              <w:rPr>
                <w:sz w:val="20"/>
                <w:szCs w:val="20"/>
                <w:color w:val="auto"/>
              </w:rPr>
            </w:pPr>
            <w:r>
              <w:rPr>
                <w:rFonts w:ascii="Courier New" w:cs="Courier New" w:eastAsia="Courier New" w:hAnsi="Courier New"/>
                <w:sz w:val="14"/>
                <w:szCs w:val="14"/>
                <w:color w:val="auto"/>
              </w:rPr>
              <w:t>using the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weighted</w:t>
            </w:r>
          </w:p>
        </w:tc>
        <w:tc>
          <w:tcPr>
            <w:tcW w:w="0" w:type="dxa"/>
            <w:vAlign w:val="bottom"/>
          </w:tcPr>
          <w:p>
            <w:pPr>
              <w:spacing w:after="0"/>
              <w:rPr>
                <w:sz w:val="1"/>
                <w:szCs w:val="1"/>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Income per common and common</w:t>
            </w:r>
          </w:p>
        </w:tc>
        <w:tc>
          <w:tcPr>
            <w:tcW w:w="960" w:type="dxa"/>
            <w:vAlign w:val="bottom"/>
            <w:gridSpan w:val="2"/>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average  number of common and</w:t>
            </w:r>
          </w:p>
        </w:tc>
        <w:tc>
          <w:tcPr>
            <w:tcW w:w="9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dilutive</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common  equivalent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shares  outstanding</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0"/>
                <w:szCs w:val="20"/>
                <w:color w:val="auto"/>
              </w:rPr>
            </w:pPr>
            <w:r>
              <w:rPr>
                <w:rFonts w:ascii="Courier New" w:cs="Courier New" w:eastAsia="Courier New" w:hAnsi="Courier New"/>
                <w:sz w:val="14"/>
                <w:szCs w:val="14"/>
                <w:color w:val="auto"/>
              </w:rPr>
              <w:t>during the periods.</w:t>
            </w: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160" w:type="dxa"/>
            <w:vAlign w:val="bottom"/>
            <w:gridSpan w:val="3"/>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9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spacing w:after="0"/>
              <w:rPr>
                <w:sz w:val="22"/>
                <w:szCs w:val="22"/>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6"/>
        </w:trPr>
        <w:tc>
          <w:tcPr>
            <w:tcW w:w="2540" w:type="dxa"/>
            <w:vAlign w:val="bottom"/>
            <w:gridSpan w:val="2"/>
            <w:vMerge w:val="restart"/>
          </w:tcPr>
          <w:p>
            <w:pPr>
              <w:spacing w:after="0"/>
              <w:rPr>
                <w:sz w:val="20"/>
                <w:szCs w:val="20"/>
                <w:color w:val="auto"/>
              </w:rPr>
            </w:pPr>
            <w:r>
              <w:rPr>
                <w:rFonts w:ascii="Courier New" w:cs="Courier New" w:eastAsia="Courier New" w:hAnsi="Courier New"/>
                <w:sz w:val="13"/>
                <w:szCs w:val="13"/>
                <w:color w:val="auto"/>
                <w:w w:val="73"/>
              </w:rPr>
              <w:t>Interest paid...............................</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9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$22,942</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$21,184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$8,871</w:t>
            </w:r>
          </w:p>
        </w:tc>
        <w:tc>
          <w:tcPr>
            <w:tcW w:w="0" w:type="dxa"/>
            <w:vAlign w:val="bottom"/>
          </w:tcPr>
          <w:p>
            <w:pPr>
              <w:spacing w:after="0"/>
              <w:rPr>
                <w:sz w:val="1"/>
                <w:szCs w:val="1"/>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3"/>
                <w:szCs w:val="13"/>
                <w:color w:val="auto"/>
                <w:w w:val="73"/>
              </w:rPr>
              <w:t>Income taxes paid...........................</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34,865</w:t>
            </w:r>
          </w:p>
        </w:tc>
        <w:tc>
          <w:tcPr>
            <w:tcW w:w="158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11,488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11,417</w:t>
            </w:r>
          </w:p>
        </w:tc>
        <w:tc>
          <w:tcPr>
            <w:tcW w:w="0" w:type="dxa"/>
            <w:vAlign w:val="bottom"/>
          </w:tcPr>
          <w:p>
            <w:pPr>
              <w:spacing w:after="0"/>
              <w:rPr>
                <w:sz w:val="1"/>
                <w:szCs w:val="1"/>
                <w:color w:val="auto"/>
              </w:rPr>
            </w:pPr>
          </w:p>
        </w:tc>
      </w:tr>
      <w:tr>
        <w:trPr>
          <w:trHeight w:val="166"/>
        </w:trPr>
        <w:tc>
          <w:tcPr>
            <w:tcW w:w="3500" w:type="dxa"/>
            <w:vAlign w:val="bottom"/>
            <w:gridSpan w:val="4"/>
          </w:tcPr>
          <w:p>
            <w:pPr>
              <w:spacing w:after="0" w:line="166" w:lineRule="exact"/>
              <w:rPr>
                <w:sz w:val="20"/>
                <w:szCs w:val="20"/>
                <w:color w:val="auto"/>
              </w:rPr>
            </w:pPr>
            <w:r>
              <w:rPr>
                <w:rFonts w:ascii="Courier New" w:cs="Courier New" w:eastAsia="Courier New" w:hAnsi="Courier New"/>
                <w:sz w:val="11"/>
                <w:szCs w:val="11"/>
                <w:color w:val="auto"/>
                <w:w w:val="78"/>
              </w:rPr>
              <w:t>Liabilities assumed</w:t>
            </w:r>
            <w:r>
              <w:rPr>
                <w:rFonts w:ascii="Courier New" w:cs="Courier New" w:eastAsia="Courier New" w:hAnsi="Courier New"/>
                <w:sz w:val="19"/>
                <w:szCs w:val="19"/>
                <w:color w:val="auto"/>
                <w:w w:val="78"/>
                <w:vertAlign w:val="subscript"/>
              </w:rPr>
              <w:t>..............................</w:t>
            </w:r>
            <w:r>
              <w:rPr>
                <w:rFonts w:ascii="Courier New" w:cs="Courier New" w:eastAsia="Courier New" w:hAnsi="Courier New"/>
                <w:sz w:val="11"/>
                <w:szCs w:val="11"/>
                <w:color w:val="auto"/>
                <w:w w:val="78"/>
              </w:rPr>
              <w:t>inacquisitions</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1,596</w:t>
            </w:r>
          </w:p>
        </w:tc>
        <w:tc>
          <w:tcPr>
            <w:tcW w:w="1580" w:type="dxa"/>
            <w:vAlign w:val="bottom"/>
            <w:gridSpan w:val="2"/>
            <w:vMerge w:val="restart"/>
          </w:tcPr>
          <w:p>
            <w:pPr>
              <w:jc w:val="right"/>
              <w:ind w:right="388"/>
              <w:spacing w:after="0"/>
              <w:rPr>
                <w:sz w:val="20"/>
                <w:szCs w:val="20"/>
                <w:color w:val="auto"/>
              </w:rPr>
            </w:pPr>
            <w:r>
              <w:rPr>
                <w:rFonts w:ascii="Courier New" w:cs="Courier New" w:eastAsia="Courier New" w:hAnsi="Courier New"/>
                <w:sz w:val="14"/>
                <w:szCs w:val="14"/>
                <w:color w:val="auto"/>
              </w:rPr>
              <w:t>49,279</w:t>
            </w:r>
          </w:p>
        </w:tc>
        <w:tc>
          <w:tcPr>
            <w:tcW w:w="74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3,416</w:t>
            </w:r>
          </w:p>
        </w:tc>
        <w:tc>
          <w:tcPr>
            <w:tcW w:w="0" w:type="dxa"/>
            <w:vAlign w:val="bottom"/>
          </w:tcPr>
          <w:p>
            <w:pPr>
              <w:spacing w:after="0"/>
              <w:rPr>
                <w:sz w:val="1"/>
                <w:szCs w:val="1"/>
                <w:color w:val="auto"/>
              </w:rPr>
            </w:pPr>
          </w:p>
        </w:tc>
      </w:tr>
      <w:tr>
        <w:trPr>
          <w:trHeight w:val="242"/>
        </w:trPr>
        <w:tc>
          <w:tcPr>
            <w:tcW w:w="1900" w:type="dxa"/>
            <w:vAlign w:val="bottom"/>
          </w:tcPr>
          <w:p>
            <w:pPr>
              <w:ind w:left="100"/>
              <w:spacing w:after="0"/>
              <w:rPr>
                <w:sz w:val="20"/>
                <w:szCs w:val="20"/>
                <w:color w:val="auto"/>
              </w:rPr>
            </w:pPr>
            <w:r>
              <w:rPr>
                <w:rFonts w:ascii="Courier New" w:cs="Courier New" w:eastAsia="Courier New" w:hAnsi="Courier New"/>
                <w:sz w:val="14"/>
                <w:szCs w:val="14"/>
                <w:color w:val="auto"/>
              </w:rPr>
              <w:t>of businesses</w:t>
            </w: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ACQUISITIONS AND CAPITAL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1996, 1995 and 1994 the Company completed the following acquisitions: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80" w:type="dxa"/>
            <w:vAlign w:val="bottom"/>
            <w:vMerge w:val="restart"/>
          </w:tcPr>
          <w:p>
            <w:pPr>
              <w:spacing w:after="0"/>
              <w:rPr>
                <w:sz w:val="20"/>
                <w:szCs w:val="20"/>
                <w:color w:val="auto"/>
              </w:rPr>
            </w:pPr>
            <w:r>
              <w:rPr>
                <w:rFonts w:ascii="Courier New" w:cs="Courier New" w:eastAsia="Courier New" w:hAnsi="Courier New"/>
                <w:sz w:val="14"/>
                <w:szCs w:val="14"/>
                <w:color w:val="auto"/>
              </w:rPr>
              <w:t>COMPANY</w:t>
            </w:r>
          </w:p>
        </w:tc>
        <w:tc>
          <w:tcPr>
            <w:tcW w:w="2280" w:type="dxa"/>
            <w:vAlign w:val="bottom"/>
          </w:tcPr>
          <w:p>
            <w:pPr>
              <w:ind w:left="1540"/>
              <w:spacing w:after="0"/>
              <w:rPr>
                <w:sz w:val="20"/>
                <w:szCs w:val="20"/>
                <w:color w:val="auto"/>
              </w:rPr>
            </w:pPr>
            <w:r>
              <w:rPr>
                <w:rFonts w:ascii="Courier New" w:cs="Courier New" w:eastAsia="Courier New" w:hAnsi="Courier New"/>
                <w:sz w:val="14"/>
                <w:szCs w:val="14"/>
                <w:color w:val="auto"/>
              </w:rPr>
              <w:t>MONTH</w:t>
            </w:r>
          </w:p>
        </w:tc>
        <w:tc>
          <w:tcPr>
            <w:tcW w:w="232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TYPE OF BUSINESS</w:t>
            </w:r>
          </w:p>
        </w:tc>
        <w:tc>
          <w:tcPr>
            <w:tcW w:w="1940" w:type="dxa"/>
            <w:vAlign w:val="bottom"/>
            <w:vMerge w:val="restart"/>
          </w:tcPr>
          <w:p>
            <w:pPr>
              <w:ind w:left="820"/>
              <w:spacing w:after="0"/>
              <w:rPr>
                <w:sz w:val="20"/>
                <w:szCs w:val="20"/>
                <w:color w:val="auto"/>
              </w:rPr>
            </w:pPr>
            <w:r>
              <w:rPr>
                <w:rFonts w:ascii="Courier New" w:cs="Courier New" w:eastAsia="Courier New" w:hAnsi="Courier New"/>
                <w:sz w:val="14"/>
                <w:szCs w:val="14"/>
                <w:color w:val="auto"/>
              </w:rPr>
              <w:t>CONSIDERATION</w:t>
            </w:r>
          </w:p>
        </w:tc>
        <w:tc>
          <w:tcPr>
            <w:tcW w:w="0" w:type="dxa"/>
            <w:vAlign w:val="bottom"/>
          </w:tcPr>
          <w:p>
            <w:pPr>
              <w:spacing w:after="0"/>
              <w:rPr>
                <w:sz w:val="1"/>
                <w:szCs w:val="1"/>
                <w:color w:val="auto"/>
              </w:rPr>
            </w:pPr>
          </w:p>
        </w:tc>
      </w:tr>
      <w:tr>
        <w:trPr>
          <w:trHeight w:val="192"/>
        </w:trPr>
        <w:tc>
          <w:tcPr>
            <w:tcW w:w="2080" w:type="dxa"/>
            <w:vAlign w:val="bottom"/>
            <w:vMerge w:val="continue"/>
          </w:tcPr>
          <w:p>
            <w:pPr>
              <w:spacing w:after="0"/>
              <w:rPr>
                <w:sz w:val="16"/>
                <w:szCs w:val="16"/>
                <w:color w:val="auto"/>
              </w:rPr>
            </w:pPr>
          </w:p>
        </w:tc>
        <w:tc>
          <w:tcPr>
            <w:tcW w:w="2280" w:type="dxa"/>
            <w:vAlign w:val="bottom"/>
          </w:tcPr>
          <w:p>
            <w:pPr>
              <w:ind w:left="1460"/>
              <w:spacing w:after="0"/>
              <w:rPr>
                <w:sz w:val="20"/>
                <w:szCs w:val="20"/>
                <w:color w:val="auto"/>
              </w:rPr>
            </w:pPr>
            <w:r>
              <w:rPr>
                <w:rFonts w:ascii="Courier New" w:cs="Courier New" w:eastAsia="Courier New" w:hAnsi="Courier New"/>
                <w:sz w:val="14"/>
                <w:szCs w:val="14"/>
                <w:color w:val="auto"/>
              </w:rPr>
              <w:t>ACQUIRED</w:t>
            </w:r>
          </w:p>
        </w:tc>
        <w:tc>
          <w:tcPr>
            <w:tcW w:w="232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5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Jan</w:t>
            </w:r>
          </w:p>
        </w:tc>
        <w:tc>
          <w:tcPr>
            <w:tcW w:w="30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Software and services</w:t>
            </w:r>
          </w:p>
        </w:tc>
        <w:tc>
          <w:tcPr>
            <w:tcW w:w="15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Cash for stock</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UniFi, Inc.</w:t>
            </w:r>
          </w:p>
        </w:tc>
        <w:tc>
          <w:tcPr>
            <w:tcW w:w="560" w:type="dxa"/>
            <w:vAlign w:val="bottom"/>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Bankers Pension Services, Inc.</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Nov</w:t>
            </w:r>
          </w:p>
        </w:tc>
        <w:tc>
          <w:tcPr>
            <w:tcW w:w="3060" w:type="dxa"/>
            <w:vAlign w:val="bottom"/>
          </w:tcPr>
          <w:p>
            <w:pPr>
              <w:ind w:left="220"/>
              <w:spacing w:after="0"/>
              <w:rPr>
                <w:sz w:val="20"/>
                <w:szCs w:val="20"/>
                <w:color w:val="auto"/>
              </w:rPr>
            </w:pPr>
            <w:r>
              <w:rPr>
                <w:rFonts w:ascii="Courier New" w:cs="Courier New" w:eastAsia="Courier New" w:hAnsi="Courier New"/>
                <w:sz w:val="14"/>
                <w:szCs w:val="14"/>
                <w:color w:val="auto"/>
              </w:rPr>
              <w:t>Retirement plan administrators</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Stock for stock</w:t>
            </w:r>
          </w:p>
        </w:tc>
        <w:tc>
          <w:tcPr>
            <w:tcW w:w="0" w:type="dxa"/>
            <w:vAlign w:val="bottom"/>
          </w:tcPr>
          <w:p>
            <w:pPr>
              <w:spacing w:after="0"/>
              <w:rPr>
                <w:sz w:val="1"/>
                <w:szCs w:val="1"/>
                <w:color w:val="auto"/>
              </w:rPr>
            </w:pPr>
          </w:p>
        </w:tc>
      </w:tr>
      <w:tr>
        <w:trPr>
          <w:trHeight w:val="255"/>
        </w:trPr>
        <w:tc>
          <w:tcPr>
            <w:tcW w:w="3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5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Jan</w:t>
            </w:r>
          </w:p>
        </w:tc>
        <w:tc>
          <w:tcPr>
            <w:tcW w:w="30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Forms</w:t>
            </w:r>
          </w:p>
        </w:tc>
        <w:tc>
          <w:tcPr>
            <w:tcW w:w="15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Cash for stock</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Integrated Business Systems</w:t>
            </w:r>
          </w:p>
        </w:tc>
        <w:tc>
          <w:tcPr>
            <w:tcW w:w="560" w:type="dxa"/>
            <w:vAlign w:val="bottom"/>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BankLink, Inc.</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Feb</w:t>
            </w:r>
          </w:p>
        </w:tc>
        <w:tc>
          <w:tcPr>
            <w:tcW w:w="3060" w:type="dxa"/>
            <w:vAlign w:val="bottom"/>
          </w:tcPr>
          <w:p>
            <w:pPr>
              <w:ind w:left="220"/>
              <w:spacing w:after="0"/>
              <w:rPr>
                <w:sz w:val="20"/>
                <w:szCs w:val="20"/>
                <w:color w:val="auto"/>
              </w:rPr>
            </w:pPr>
            <w:r>
              <w:rPr>
                <w:rFonts w:ascii="Courier New" w:cs="Courier New" w:eastAsia="Courier New" w:hAnsi="Courier New"/>
                <w:sz w:val="14"/>
                <w:szCs w:val="14"/>
                <w:color w:val="auto"/>
              </w:rPr>
              <w:t>Cash management</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Cash for stock</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Information Technology, Inc.</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May</w:t>
            </w:r>
          </w:p>
        </w:tc>
        <w:tc>
          <w:tcPr>
            <w:tcW w:w="3060" w:type="dxa"/>
            <w:vAlign w:val="bottom"/>
          </w:tcPr>
          <w:p>
            <w:pPr>
              <w:ind w:left="220"/>
              <w:spacing w:after="0"/>
              <w:rPr>
                <w:sz w:val="20"/>
                <w:szCs w:val="20"/>
                <w:color w:val="auto"/>
              </w:rPr>
            </w:pPr>
            <w:r>
              <w:rPr>
                <w:rFonts w:ascii="Courier New" w:cs="Courier New" w:eastAsia="Courier New" w:hAnsi="Courier New"/>
                <w:sz w:val="14"/>
                <w:szCs w:val="14"/>
                <w:color w:val="auto"/>
              </w:rPr>
              <w:t>Financial processing systems</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Cash and stock</w:t>
            </w:r>
          </w:p>
        </w:tc>
        <w:tc>
          <w:tcPr>
            <w:tcW w:w="0" w:type="dxa"/>
            <w:vAlign w:val="bottom"/>
          </w:tcPr>
          <w:p>
            <w:pPr>
              <w:spacing w:after="0"/>
              <w:rPr>
                <w:sz w:val="1"/>
                <w:szCs w:val="1"/>
                <w:color w:val="auto"/>
              </w:rPr>
            </w:pPr>
          </w:p>
        </w:tc>
      </w:tr>
      <w:tr>
        <w:trPr>
          <w:trHeight w:val="166"/>
        </w:trPr>
        <w:tc>
          <w:tcPr>
            <w:tcW w:w="3620" w:type="dxa"/>
            <w:vAlign w:val="bottom"/>
            <w:vMerge w:val="restart"/>
          </w:tcPr>
          <w:p>
            <w:pPr>
              <w:spacing w:after="0"/>
              <w:rPr>
                <w:sz w:val="20"/>
                <w:szCs w:val="20"/>
                <w:color w:val="auto"/>
              </w:rPr>
            </w:pPr>
            <w:r>
              <w:rPr>
                <w:rFonts w:ascii="Courier New" w:cs="Courier New" w:eastAsia="Courier New" w:hAnsi="Courier New"/>
                <w:sz w:val="14"/>
                <w:szCs w:val="14"/>
                <w:color w:val="auto"/>
              </w:rPr>
              <w:t>Lincoln Holdings, Inc.</w:t>
            </w:r>
          </w:p>
        </w:tc>
        <w:tc>
          <w:tcPr>
            <w:tcW w:w="5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Aug</w:t>
            </w:r>
          </w:p>
        </w:tc>
        <w:tc>
          <w:tcPr>
            <w:tcW w:w="30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Retirement plan administrators</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for stock</w:t>
            </w:r>
          </w:p>
        </w:tc>
        <w:tc>
          <w:tcPr>
            <w:tcW w:w="0" w:type="dxa"/>
            <w:vAlign w:val="bottom"/>
          </w:tcPr>
          <w:p>
            <w:pPr>
              <w:spacing w:after="0"/>
              <w:rPr>
                <w:sz w:val="1"/>
                <w:szCs w:val="1"/>
                <w:color w:val="auto"/>
              </w:rPr>
            </w:pPr>
          </w:p>
        </w:tc>
      </w:tr>
      <w:tr>
        <w:trPr>
          <w:trHeight w:val="166"/>
        </w:trPr>
        <w:tc>
          <w:tcPr>
            <w:tcW w:w="36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Stock for stock</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SRS, Inc.</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Sep</w:t>
            </w:r>
          </w:p>
        </w:tc>
        <w:tc>
          <w:tcPr>
            <w:tcW w:w="3060" w:type="dxa"/>
            <w:vAlign w:val="bottom"/>
          </w:tcPr>
          <w:p>
            <w:pPr>
              <w:ind w:left="220"/>
              <w:spacing w:after="0"/>
              <w:rPr>
                <w:sz w:val="20"/>
                <w:szCs w:val="20"/>
                <w:color w:val="auto"/>
              </w:rPr>
            </w:pPr>
            <w:r>
              <w:rPr>
                <w:rFonts w:ascii="Courier New" w:cs="Courier New" w:eastAsia="Courier New" w:hAnsi="Courier New"/>
                <w:sz w:val="14"/>
                <w:szCs w:val="14"/>
                <w:color w:val="auto"/>
              </w:rPr>
              <w:t>Data processing</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Cash for stock</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Document Management Services</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Sep</w:t>
            </w:r>
          </w:p>
        </w:tc>
        <w:tc>
          <w:tcPr>
            <w:tcW w:w="3060" w:type="dxa"/>
            <w:vAlign w:val="bottom"/>
          </w:tcPr>
          <w:p>
            <w:pPr>
              <w:ind w:left="220"/>
              <w:spacing w:after="0"/>
              <w:rPr>
                <w:sz w:val="20"/>
                <w:szCs w:val="20"/>
                <w:color w:val="auto"/>
              </w:rPr>
            </w:pPr>
            <w:r>
              <w:rPr>
                <w:rFonts w:ascii="Courier New" w:cs="Courier New" w:eastAsia="Courier New" w:hAnsi="Courier New"/>
                <w:sz w:val="14"/>
                <w:szCs w:val="14"/>
                <w:color w:val="auto"/>
              </w:rPr>
              <w:t>Item processing</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Cash for assets</w:t>
            </w:r>
          </w:p>
        </w:tc>
        <w:tc>
          <w:tcPr>
            <w:tcW w:w="0" w:type="dxa"/>
            <w:vAlign w:val="bottom"/>
          </w:tcPr>
          <w:p>
            <w:pPr>
              <w:spacing w:after="0"/>
              <w:rPr>
                <w:sz w:val="1"/>
                <w:szCs w:val="1"/>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Division of ALLTEL Financial Information</w:t>
            </w:r>
          </w:p>
        </w:tc>
        <w:tc>
          <w:tcPr>
            <w:tcW w:w="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Services, Inc.</w:t>
            </w:r>
          </w:p>
        </w:tc>
        <w:tc>
          <w:tcPr>
            <w:tcW w:w="5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Nov</w:t>
            </w:r>
          </w:p>
        </w:tc>
        <w:tc>
          <w:tcPr>
            <w:tcW w:w="30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Data processing</w:t>
            </w:r>
          </w:p>
        </w:tc>
        <w:tc>
          <w:tcPr>
            <w:tcW w:w="1560" w:type="dxa"/>
            <w:vAlign w:val="bottom"/>
            <w:vMerge w:val="restart"/>
          </w:tcPr>
          <w:p>
            <w:pPr>
              <w:ind w:left="260"/>
              <w:spacing w:after="0"/>
              <w:rPr>
                <w:sz w:val="20"/>
                <w:szCs w:val="20"/>
                <w:color w:val="auto"/>
              </w:rPr>
            </w:pPr>
            <w:r>
              <w:rPr>
                <w:rFonts w:ascii="Courier New" w:cs="Courier New" w:eastAsia="Courier New" w:hAnsi="Courier New"/>
                <w:sz w:val="14"/>
                <w:szCs w:val="14"/>
                <w:color w:val="auto"/>
              </w:rPr>
              <w:t>Cash for stock</w:t>
            </w:r>
          </w:p>
        </w:tc>
        <w:tc>
          <w:tcPr>
            <w:tcW w:w="0" w:type="dxa"/>
            <w:vAlign w:val="bottom"/>
          </w:tcPr>
          <w:p>
            <w:pPr>
              <w:spacing w:after="0"/>
              <w:rPr>
                <w:sz w:val="1"/>
                <w:szCs w:val="1"/>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Financial Information Trust</w:t>
            </w:r>
          </w:p>
        </w:tc>
        <w:tc>
          <w:tcPr>
            <w:tcW w:w="560" w:type="dxa"/>
            <w:vAlign w:val="bottom"/>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Courier New" w:cs="Courier New" w:eastAsia="Courier New" w:hAnsi="Courier New"/>
                <w:sz w:val="14"/>
                <w:szCs w:val="14"/>
                <w:color w:val="auto"/>
              </w:rPr>
              <w:t>Outsource Technology L. C.</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Nov</w:t>
            </w:r>
          </w:p>
        </w:tc>
        <w:tc>
          <w:tcPr>
            <w:tcW w:w="3060" w:type="dxa"/>
            <w:vAlign w:val="bottom"/>
          </w:tcPr>
          <w:p>
            <w:pPr>
              <w:ind w:left="220"/>
              <w:spacing w:after="0"/>
              <w:rPr>
                <w:sz w:val="20"/>
                <w:szCs w:val="20"/>
                <w:color w:val="auto"/>
              </w:rPr>
            </w:pPr>
            <w:r>
              <w:rPr>
                <w:rFonts w:ascii="Courier New" w:cs="Courier New" w:eastAsia="Courier New" w:hAnsi="Courier New"/>
                <w:sz w:val="14"/>
                <w:szCs w:val="14"/>
                <w:color w:val="auto"/>
              </w:rPr>
              <w:t>Data processing</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Cash for stock</w:t>
            </w:r>
          </w:p>
        </w:tc>
        <w:tc>
          <w:tcPr>
            <w:tcW w:w="0" w:type="dxa"/>
            <w:vAlign w:val="bottom"/>
          </w:tcPr>
          <w:p>
            <w:pPr>
              <w:spacing w:after="0"/>
              <w:rPr>
                <w:sz w:val="1"/>
                <w:szCs w:val="1"/>
                <w:color w:val="auto"/>
              </w:rPr>
            </w:pPr>
          </w:p>
        </w:tc>
      </w:tr>
    </w:tbl>
    <w:p>
      <w:pPr>
        <w:sectPr>
          <w:pgSz w:w="11900" w:h="16956" w:orient="portrait"/>
          <w:cols w:equalWidth="0" w:num="1">
            <w:col w:w="11540"/>
          </w:cols>
          <w:pgMar w:left="220" w:top="115" w:right="139" w:bottom="0" w:gutter="0" w:footer="0" w:header="0"/>
        </w:sectPr>
      </w:pPr>
    </w:p>
    <w:bookmarkStart w:id="16" w:name="page17"/>
    <w:bookmarkEnd w:id="16"/>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82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Apr</w:t>
            </w:r>
          </w:p>
        </w:tc>
        <w:tc>
          <w:tcPr>
            <w:tcW w:w="264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Automated card services</w:t>
            </w:r>
          </w:p>
        </w:tc>
        <w:tc>
          <w:tcPr>
            <w:tcW w:w="0" w:type="dxa"/>
            <w:vAlign w:val="bottom"/>
          </w:tcPr>
          <w:p>
            <w:pPr>
              <w:spacing w:after="0"/>
              <w:rPr>
                <w:sz w:val="1"/>
                <w:szCs w:val="1"/>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National Embossing Company, Inc.</w:t>
            </w:r>
          </w:p>
        </w:tc>
        <w:tc>
          <w:tcPr>
            <w:tcW w:w="820" w:type="dxa"/>
            <w:vAlign w:val="bottom"/>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Boatmen's Information Systems</w:t>
            </w: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May</w:t>
            </w:r>
          </w:p>
        </w:tc>
        <w:tc>
          <w:tcPr>
            <w:tcW w:w="2640" w:type="dxa"/>
            <w:vAlign w:val="bottom"/>
          </w:tcPr>
          <w:p>
            <w:pPr>
              <w:ind w:left="220"/>
              <w:spacing w:after="0"/>
              <w:rPr>
                <w:sz w:val="20"/>
                <w:szCs w:val="20"/>
                <w:color w:val="auto"/>
              </w:rPr>
            </w:pPr>
            <w:r>
              <w:rPr>
                <w:rFonts w:ascii="Courier New" w:cs="Courier New" w:eastAsia="Courier New" w:hAnsi="Courier New"/>
                <w:sz w:val="14"/>
                <w:szCs w:val="14"/>
                <w:color w:val="auto"/>
              </w:rPr>
              <w:t>Data processing</w:t>
            </w:r>
          </w:p>
        </w:tc>
        <w:tc>
          <w:tcPr>
            <w:tcW w:w="0" w:type="dxa"/>
            <w:vAlign w:val="bottom"/>
          </w:tcPr>
          <w:p>
            <w:pPr>
              <w:spacing w:after="0"/>
              <w:rPr>
                <w:sz w:val="1"/>
                <w:szCs w:val="1"/>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data processing business</w:t>
            </w:r>
          </w:p>
        </w:tc>
        <w:tc>
          <w:tcPr>
            <w:tcW w:w="82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Aug</w:t>
            </w:r>
          </w:p>
        </w:tc>
        <w:tc>
          <w:tcPr>
            <w:tcW w:w="264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Item processing</w:t>
            </w:r>
          </w:p>
        </w:tc>
        <w:tc>
          <w:tcPr>
            <w:tcW w:w="0" w:type="dxa"/>
            <w:vAlign w:val="bottom"/>
          </w:tcPr>
          <w:p>
            <w:pPr>
              <w:spacing w:after="0"/>
              <w:rPr>
                <w:sz w:val="1"/>
                <w:szCs w:val="1"/>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Federal Home Loan Bank of Atlanta</w:t>
            </w:r>
          </w:p>
        </w:tc>
        <w:tc>
          <w:tcPr>
            <w:tcW w:w="820" w:type="dxa"/>
            <w:vAlign w:val="bottom"/>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item processing contracts</w:t>
            </w:r>
          </w:p>
        </w:tc>
        <w:tc>
          <w:tcPr>
            <w:tcW w:w="82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Nov</w:t>
            </w:r>
          </w:p>
        </w:tc>
        <w:tc>
          <w:tcPr>
            <w:tcW w:w="264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Image and document</w:t>
            </w:r>
          </w:p>
        </w:tc>
        <w:tc>
          <w:tcPr>
            <w:tcW w:w="0" w:type="dxa"/>
            <w:vAlign w:val="bottom"/>
          </w:tcPr>
          <w:p>
            <w:pPr>
              <w:spacing w:after="0"/>
              <w:rPr>
                <w:sz w:val="1"/>
                <w:szCs w:val="1"/>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Cincinnati Bell Information Systems</w:t>
            </w:r>
          </w:p>
        </w:tc>
        <w:tc>
          <w:tcPr>
            <w:tcW w:w="820" w:type="dxa"/>
            <w:vAlign w:val="bottom"/>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banking business</w:t>
            </w:r>
          </w:p>
        </w:tc>
        <w:tc>
          <w:tcPr>
            <w:tcW w:w="820" w:type="dxa"/>
            <w:vAlign w:val="bottom"/>
            <w:vMerge w:val="restart"/>
          </w:tcPr>
          <w:p>
            <w:pPr>
              <w:ind w:left="360"/>
              <w:spacing w:after="0"/>
              <w:rPr>
                <w:sz w:val="20"/>
                <w:szCs w:val="20"/>
                <w:color w:val="auto"/>
              </w:rPr>
            </w:pPr>
            <w:r>
              <w:rPr>
                <w:rFonts w:ascii="Courier New" w:cs="Courier New" w:eastAsia="Courier New" w:hAnsi="Courier New"/>
                <w:sz w:val="14"/>
                <w:szCs w:val="14"/>
                <w:color w:val="auto"/>
              </w:rPr>
              <w:t>Dec</w:t>
            </w:r>
          </w:p>
        </w:tc>
        <w:tc>
          <w:tcPr>
            <w:tcW w:w="2640" w:type="dxa"/>
            <w:vAlign w:val="bottom"/>
          </w:tcPr>
          <w:p>
            <w:pPr>
              <w:ind w:left="220"/>
              <w:spacing w:after="0"/>
              <w:rPr>
                <w:sz w:val="20"/>
                <w:szCs w:val="20"/>
                <w:color w:val="auto"/>
              </w:rPr>
            </w:pPr>
            <w:r>
              <w:rPr>
                <w:rFonts w:ascii="Courier New" w:cs="Courier New" w:eastAsia="Courier New" w:hAnsi="Courier New"/>
                <w:sz w:val="14"/>
                <w:szCs w:val="14"/>
                <w:color w:val="auto"/>
              </w:rPr>
              <w:t>management services</w:t>
            </w:r>
          </w:p>
        </w:tc>
        <w:tc>
          <w:tcPr>
            <w:tcW w:w="0" w:type="dxa"/>
            <w:vAlign w:val="bottom"/>
          </w:tcPr>
          <w:p>
            <w:pPr>
              <w:spacing w:after="0"/>
              <w:rPr>
                <w:sz w:val="1"/>
                <w:szCs w:val="1"/>
                <w:color w:val="auto"/>
              </w:rPr>
            </w:pPr>
          </w:p>
        </w:tc>
      </w:tr>
      <w:tr>
        <w:trPr>
          <w:trHeight w:val="242"/>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RECOM Associates, Inc.</w:t>
            </w:r>
          </w:p>
        </w:tc>
        <w:tc>
          <w:tcPr>
            <w:tcW w:w="820" w:type="dxa"/>
            <w:vAlign w:val="bottom"/>
            <w:vMerge w:val="continue"/>
          </w:tcPr>
          <w:p>
            <w:pPr>
              <w:spacing w:after="0"/>
              <w:rPr>
                <w:sz w:val="21"/>
                <w:szCs w:val="21"/>
                <w:color w:val="auto"/>
              </w:rPr>
            </w:pPr>
          </w:p>
        </w:tc>
        <w:tc>
          <w:tcPr>
            <w:tcW w:w="2640" w:type="dxa"/>
            <w:vAlign w:val="bottom"/>
          </w:tcPr>
          <w:p>
            <w:pPr>
              <w:ind w:left="220"/>
              <w:spacing w:after="0"/>
              <w:rPr>
                <w:sz w:val="20"/>
                <w:szCs w:val="20"/>
                <w:color w:val="auto"/>
              </w:rPr>
            </w:pPr>
            <w:r>
              <w:rPr>
                <w:rFonts w:ascii="Courier New" w:cs="Courier New" w:eastAsia="Courier New" w:hAnsi="Courier New"/>
                <w:sz w:val="14"/>
                <w:szCs w:val="14"/>
                <w:color w:val="auto"/>
              </w:rPr>
              <w:t>Network integration services</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66" w:lineRule="auto"/>
        <w:rPr>
          <w:sz w:val="20"/>
          <w:szCs w:val="20"/>
          <w:color w:val="auto"/>
        </w:rPr>
      </w:pPr>
      <w:r>
        <w:rPr>
          <w:rFonts w:ascii="Courier New" w:cs="Courier New" w:eastAsia="Courier New" w:hAnsi="Courier New"/>
          <w:sz w:val="14"/>
          <w:szCs w:val="14"/>
          <w:color w:val="auto"/>
        </w:rPr>
        <w:t>Generally, the acquisitions were accounted for as purchases and, accordingly, the operations of the acquired companies are included in the consolidated financial statements since their respective dates of acquisition as set forth above. Certain of the acquisitions were accounted for as poolings of interests. However, except for the acquisition of Lincoln Holdings, Inc. (LHI), prior year financial statements were not restated due to immateriality. Results of operations of LHI have been included with those of the Company for all periods presented. Certain of the acquisition agreements provide for additional cash payments contingent upon the attainment of specified revenue goals.</w:t>
      </w:r>
    </w:p>
    <w:p>
      <w:pPr>
        <w:spacing w:after="0" w:line="74" w:lineRule="exact"/>
        <w:rPr>
          <w:sz w:val="20"/>
          <w:szCs w:val="20"/>
          <w:color w:val="auto"/>
        </w:rPr>
      </w:pPr>
    </w:p>
    <w:p>
      <w:pPr>
        <w:jc w:val="both"/>
        <w:spacing w:after="0" w:line="275" w:lineRule="auto"/>
        <w:rPr>
          <w:sz w:val="20"/>
          <w:szCs w:val="20"/>
          <w:color w:val="auto"/>
        </w:rPr>
      </w:pPr>
      <w:r>
        <w:rPr>
          <w:rFonts w:ascii="Courier New" w:cs="Courier New" w:eastAsia="Courier New" w:hAnsi="Courier New"/>
          <w:sz w:val="14"/>
          <w:szCs w:val="14"/>
          <w:color w:val="auto"/>
        </w:rPr>
        <w:t>In connection with the acquisition of Bankers Pension Services, Inc. (BPS), the Company issued approximately 112,000 unregistered shares of its common stock. The Company relied upon the exemption provided in Section 4(2) of the Securities Act of 1933 and Rule 505 of Regulation D, based upon the number of shareholders of BPS and the aggregate value of the transaction. No underwriter was involved in the transaction and no commission was paid.</w:t>
      </w:r>
    </w:p>
    <w:p>
      <w:pPr>
        <w:spacing w:after="0" w:line="69" w:lineRule="exact"/>
        <w:rPr>
          <w:sz w:val="20"/>
          <w:szCs w:val="20"/>
          <w:color w:val="auto"/>
        </w:rPr>
      </w:pPr>
    </w:p>
    <w:p>
      <w:pPr>
        <w:jc w:val="both"/>
        <w:spacing w:after="0" w:line="266" w:lineRule="auto"/>
        <w:rPr>
          <w:sz w:val="20"/>
          <w:szCs w:val="20"/>
          <w:color w:val="auto"/>
        </w:rPr>
      </w:pPr>
      <w:r>
        <w:rPr>
          <w:rFonts w:ascii="Courier New" w:cs="Courier New" w:eastAsia="Courier New" w:hAnsi="Courier New"/>
          <w:sz w:val="14"/>
          <w:szCs w:val="14"/>
          <w:color w:val="auto"/>
        </w:rPr>
        <w:t>The acquisition of ITI was consummated for a consideration of approximately $377 million comprising approximately 4,574,000 shares of common stock of the Company and $249 million cash, including acquisition costs. Approximately 903,000 shares of common stock of the Company were issued in the acquisition of LHI. Net income of the Company for 1995 was determined after a pretax charge of $182.9 million relating to the writeoff of incomplete software technology and accelerated amortization of completed software relating to the acquisition of ITI. Accordingly, net income was reduced in 1995 by $109.6 million, or $2.49 a share, relating to such charges.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w:t>
      </w:r>
    </w:p>
    <w:p>
      <w:pPr>
        <w:spacing w:after="0" w:line="33" w:lineRule="exact"/>
        <w:rPr>
          <w:sz w:val="20"/>
          <w:szCs w:val="20"/>
          <w:color w:val="auto"/>
        </w:rPr>
      </w:pPr>
    </w:p>
    <w:p>
      <w:pPr>
        <w:jc w:val="both"/>
        <w:spacing w:after="0" w:line="265" w:lineRule="auto"/>
        <w:rPr>
          <w:sz w:val="20"/>
          <w:szCs w:val="20"/>
          <w:color w:val="auto"/>
        </w:rPr>
      </w:pPr>
      <w:r>
        <w:rPr>
          <w:rFonts w:ascii="Courier New" w:cs="Courier New" w:eastAsia="Courier New" w:hAnsi="Courier New"/>
          <w:sz w:val="14"/>
          <w:szCs w:val="14"/>
          <w:color w:val="auto"/>
        </w:rPr>
        <w:t>The Company's 1996 Stock Option Plan provides for the granting to its employees and directors of either incentive or non-qualified options to purchase shares of the Company's common stock for a price not less than 100% of the fair value of the shares at the date of grant. In general, 20% of the shares awarded under the Plan may be purchased annually and expire, generally, five to 10 years from the date of the award. Activity under the current and prior plans during 1994, 1995 and 1996 is summarized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0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2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6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INCENTIVE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NON-</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QUALIFIED</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RANGE</w:t>
            </w:r>
          </w:p>
        </w:tc>
        <w:tc>
          <w:tcPr>
            <w:tcW w:w="0" w:type="dxa"/>
            <w:vAlign w:val="bottom"/>
          </w:tcPr>
          <w:p>
            <w:pPr>
              <w:spacing w:after="0"/>
              <w:rPr>
                <w:sz w:val="1"/>
                <w:szCs w:val="1"/>
                <w:color w:val="auto"/>
              </w:rPr>
            </w:pPr>
          </w:p>
        </w:tc>
      </w:tr>
      <w:tr>
        <w:trPr>
          <w:trHeight w:val="166"/>
        </w:trPr>
        <w:tc>
          <w:tcPr>
            <w:tcW w:w="290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December 31, 1993</w:t>
            </w:r>
          </w:p>
        </w:tc>
        <w:tc>
          <w:tcPr>
            <w:tcW w:w="3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53,305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2,226,804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$1.63-20.17</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(3,380)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559,497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20.00-22.50</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680" w:type="dxa"/>
            <w:vAlign w:val="bottom"/>
            <w:vMerge w:val="continue"/>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(102,945)</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1.63-18.50</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(19,505)</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(211,529)</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December 31, 1994</w:t>
            </w:r>
          </w:p>
        </w:tc>
        <w:tc>
          <w:tcPr>
            <w:tcW w:w="2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1.63-22.50</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30,420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2,471,827</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440,434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21.50-27.50</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6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(10,140)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(115,493)</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1.63-21.81</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80" w:type="dxa"/>
            <w:vAlign w:val="bottom"/>
            <w:vMerge w:val="continue"/>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(413,588)</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December 31, 1995</w:t>
            </w:r>
          </w:p>
        </w:tc>
        <w:tc>
          <w:tcPr>
            <w:tcW w:w="2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1.63-27.50</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20,280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2,383,180</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6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617,354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26.50-36.75</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68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(18,590)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(89,147)</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1.63-30.50</w:t>
            </w:r>
          </w:p>
        </w:tc>
        <w:tc>
          <w:tcPr>
            <w:tcW w:w="0" w:type="dxa"/>
            <w:vAlign w:val="bottom"/>
          </w:tcPr>
          <w:p>
            <w:pPr>
              <w:spacing w:after="0"/>
              <w:rPr>
                <w:sz w:val="1"/>
                <w:szCs w:val="1"/>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680" w:type="dxa"/>
            <w:vAlign w:val="bottom"/>
            <w:vMerge w:val="continue"/>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(309,977)</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00" w:type="dxa"/>
            <w:vAlign w:val="bottom"/>
            <w:vMerge w:val="restart"/>
          </w:tcPr>
          <w:p>
            <w:pPr>
              <w:spacing w:after="0"/>
              <w:rPr>
                <w:sz w:val="20"/>
                <w:szCs w:val="20"/>
                <w:color w:val="auto"/>
              </w:rPr>
            </w:pPr>
            <w:r>
              <w:rPr>
                <w:rFonts w:ascii="Courier New" w:cs="Courier New" w:eastAsia="Courier New" w:hAnsi="Courier New"/>
                <w:sz w:val="14"/>
                <w:szCs w:val="14"/>
                <w:color w:val="auto"/>
              </w:rPr>
              <w:t>Outstanding, December 31, 1996</w:t>
            </w:r>
          </w:p>
        </w:tc>
        <w:tc>
          <w:tcPr>
            <w:tcW w:w="2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5.77-36.75</w:t>
            </w:r>
          </w:p>
        </w:tc>
        <w:tc>
          <w:tcPr>
            <w:tcW w:w="0" w:type="dxa"/>
            <w:vAlign w:val="bottom"/>
          </w:tcPr>
          <w:p>
            <w:pPr>
              <w:spacing w:after="0"/>
              <w:rPr>
                <w:sz w:val="1"/>
                <w:szCs w:val="1"/>
                <w:color w:val="auto"/>
              </w:rPr>
            </w:pPr>
          </w:p>
        </w:tc>
      </w:tr>
      <w:tr>
        <w:trPr>
          <w:trHeight w:val="166"/>
        </w:trPr>
        <w:tc>
          <w:tcPr>
            <w:tcW w:w="2900" w:type="dxa"/>
            <w:vAlign w:val="bottom"/>
            <w:vMerge w:val="continue"/>
          </w:tcPr>
          <w:p>
            <w:pPr>
              <w:spacing w:after="0"/>
              <w:rPr>
                <w:sz w:val="14"/>
                <w:szCs w:val="14"/>
                <w:color w:val="auto"/>
              </w:rPr>
            </w:pP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1,690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2,601,410</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2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Shares exercisable,</w:t>
      </w:r>
    </w:p>
    <w:p>
      <w:pPr>
        <w:spacing w:after="0" w:line="7" w:lineRule="exact"/>
        <w:rPr>
          <w:sz w:val="20"/>
          <w:szCs w:val="20"/>
          <w:color w:val="auto"/>
        </w:rPr>
      </w:pPr>
    </w:p>
    <w:p>
      <w:pPr>
        <w:spacing w:after="0"/>
        <w:tabs>
          <w:tab w:leader="none" w:pos="3520" w:val="left"/>
          <w:tab w:leader="none" w:pos="4720" w:val="left"/>
        </w:tabs>
        <w:rPr>
          <w:sz w:val="20"/>
          <w:szCs w:val="20"/>
          <w:color w:val="auto"/>
        </w:rPr>
      </w:pPr>
      <w:r>
        <w:rPr>
          <w:rFonts w:ascii="Courier New" w:cs="Courier New" w:eastAsia="Courier New" w:hAnsi="Courier New"/>
          <w:sz w:val="14"/>
          <w:szCs w:val="14"/>
          <w:color w:val="auto"/>
        </w:rPr>
        <w:t>December 31, 1996</w:t>
      </w:r>
      <w:r>
        <w:rPr>
          <w:sz w:val="20"/>
          <w:szCs w:val="20"/>
          <w:color w:val="auto"/>
        </w:rPr>
        <w:tab/>
      </w:r>
      <w:r>
        <w:rPr>
          <w:rFonts w:ascii="Courier New" w:cs="Courier New" w:eastAsia="Courier New" w:hAnsi="Courier New"/>
          <w:sz w:val="14"/>
          <w:szCs w:val="14"/>
          <w:color w:val="auto"/>
        </w:rPr>
        <w:t>1,690</w:t>
      </w:r>
      <w:r>
        <w:rPr>
          <w:sz w:val="20"/>
          <w:szCs w:val="20"/>
          <w:color w:val="auto"/>
        </w:rPr>
        <w:tab/>
      </w:r>
      <w:r>
        <w:rPr>
          <w:rFonts w:ascii="Courier New" w:cs="Courier New" w:eastAsia="Courier New" w:hAnsi="Courier New"/>
          <w:sz w:val="14"/>
          <w:szCs w:val="14"/>
          <w:color w:val="auto"/>
        </w:rPr>
        <w:t>1,757,795</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jc w:val="both"/>
        <w:spacing w:after="0" w:line="299" w:lineRule="auto"/>
        <w:rPr>
          <w:sz w:val="20"/>
          <w:szCs w:val="20"/>
          <w:color w:val="auto"/>
        </w:rPr>
      </w:pPr>
      <w:r>
        <w:rPr>
          <w:rFonts w:ascii="Courier New" w:cs="Courier New" w:eastAsia="Courier New" w:hAnsi="Courier New"/>
          <w:sz w:val="14"/>
          <w:szCs w:val="14"/>
          <w:color w:val="auto"/>
        </w:rPr>
        <w:t>Options outstanding include 51,525 and 132,529 shares granted in 1995 and 1996 at $22.00 and $29.88 a share, respectively, under a stock purchase plan requiring exercise within 30 days after a two-year period beginning on the date of grant.</w:t>
      </w:r>
    </w:p>
    <w:p>
      <w:pPr>
        <w:spacing w:after="0" w:line="235" w:lineRule="exact"/>
        <w:rPr>
          <w:sz w:val="20"/>
          <w:szCs w:val="20"/>
          <w:color w:val="auto"/>
        </w:rPr>
      </w:pPr>
    </w:p>
    <w:p>
      <w:pPr>
        <w:jc w:val="both"/>
        <w:spacing w:after="0" w:line="263" w:lineRule="auto"/>
        <w:rPr>
          <w:sz w:val="20"/>
          <w:szCs w:val="20"/>
          <w:color w:val="auto"/>
        </w:rPr>
      </w:pPr>
      <w:r>
        <w:rPr>
          <w:rFonts w:ascii="Courier New" w:cs="Courier New" w:eastAsia="Courier New" w:hAnsi="Courier New"/>
          <w:sz w:val="14"/>
          <w:szCs w:val="14"/>
          <w:color w:val="auto"/>
        </w:rPr>
        <w:t>At December 31, 1996, options to purchase 4,035,000 shares were available for grant under the Plan. The Company has accounted for its stock-based compensation plans in accordance with the provisions of APB Opinion 25. Accordingly, the Company did not record any compensation expense in the accompanying financial statements for its stock-based compensation plans. Had compensation expense been recognized consistent with FASB Statement 123 ("Accounting for Stock-Based Compensation"), the Company's net income would have been reduced by approximately $981,000 and $301,000 in 1996 and 1995, respectively. The related impact on earnings per share was immaterial. The assumptions used to estimate compensation expense were: expected volatility of 17.8%, risk-free interest rate of 6.5% and expected option lives of five years.</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LONG-TERM DEBT AND OTHER OBLIGATIONS</w:t>
      </w:r>
    </w:p>
    <w:p>
      <w:pPr>
        <w:spacing w:after="0" w:line="173" w:lineRule="exact"/>
        <w:rPr>
          <w:sz w:val="20"/>
          <w:szCs w:val="20"/>
          <w:color w:val="auto"/>
        </w:rPr>
      </w:pPr>
    </w:p>
    <w:p>
      <w:pPr>
        <w:jc w:val="both"/>
        <w:spacing w:after="0" w:line="271" w:lineRule="auto"/>
        <w:rPr>
          <w:sz w:val="20"/>
          <w:szCs w:val="20"/>
          <w:color w:val="auto"/>
        </w:rPr>
      </w:pPr>
      <w:r>
        <w:rPr>
          <w:rFonts w:ascii="Courier New" w:cs="Courier New" w:eastAsia="Courier New" w:hAnsi="Courier New"/>
          <w:sz w:val="14"/>
          <w:szCs w:val="14"/>
          <w:color w:val="auto"/>
        </w:rPr>
        <w:t>The Company has available a $225,000,000 unsecured line of credit and commercial paper facility with a group of banks, maturing in 2000, of which $141,669,000 was in use at December 31, 1996 at an average rate of 5.86%. The loan agreements covering the Company's long-term borrowings contain certain restrictive covenants including, among other things, the maintenance of minimum net worth and various operating ratios with which the Company was in compliance at December 31, 1996. A facility fee ranging from .1% to .2% per annum is required</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for stock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for assets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for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for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for stock</w:t>
      </w:r>
    </w:p>
    <w:p>
      <w:pPr>
        <w:sectPr>
          <w:pgSz w:w="11900" w:h="16974" w:orient="portrait"/>
          <w:cols w:equalWidth="0" w:num="2">
            <w:col w:w="6900" w:space="600"/>
            <w:col w:w="2739"/>
          </w:cols>
          <w:pgMar w:left="220" w:top="115" w:right="1440"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on the</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entire  bank line</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regardless</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usage.</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facility</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is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reduced  to</w:t>
            </w:r>
          </w:p>
        </w:tc>
        <w:tc>
          <w:tcPr>
            <w:tcW w:w="0" w:type="dxa"/>
            <w:vAlign w:val="bottom"/>
          </w:tcPr>
          <w:p>
            <w:pPr>
              <w:spacing w:after="0"/>
              <w:rPr>
                <w:sz w:val="1"/>
                <w:szCs w:val="1"/>
                <w:color w:val="auto"/>
              </w:rPr>
            </w:pPr>
          </w:p>
        </w:tc>
      </w:tr>
      <w:tr>
        <w:trPr>
          <w:trHeight w:val="166"/>
        </w:trPr>
        <w:tc>
          <w:tcPr>
            <w:tcW w:w="4140" w:type="dxa"/>
            <w:vAlign w:val="bottom"/>
            <w:gridSpan w:val="5"/>
          </w:tcPr>
          <w:p>
            <w:pPr>
              <w:spacing w:after="0"/>
              <w:rPr>
                <w:sz w:val="20"/>
                <w:szCs w:val="20"/>
                <w:color w:val="auto"/>
              </w:rPr>
            </w:pPr>
            <w:r>
              <w:rPr>
                <w:rFonts w:ascii="Courier New" w:cs="Courier New" w:eastAsia="Courier New" w:hAnsi="Courier New"/>
                <w:sz w:val="14"/>
                <w:szCs w:val="14"/>
                <w:color w:val="auto"/>
              </w:rPr>
              <w:t>$210,000,000  and  $150,000,000,  respectively,</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on May 17,  1998</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1999 and</w:t>
            </w:r>
          </w:p>
        </w:tc>
        <w:tc>
          <w:tcPr>
            <w:tcW w:w="0" w:type="dxa"/>
            <w:vAlign w:val="bottom"/>
          </w:tcPr>
          <w:p>
            <w:pPr>
              <w:spacing w:after="0"/>
              <w:rPr>
                <w:sz w:val="1"/>
                <w:szCs w:val="1"/>
                <w:color w:val="auto"/>
              </w:rPr>
            </w:pPr>
          </w:p>
        </w:tc>
      </w:tr>
      <w:tr>
        <w:trPr>
          <w:trHeight w:val="242"/>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expires on May 17, 2000.</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 and other</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obligations</w:t>
            </w:r>
          </w:p>
        </w:tc>
        <w:tc>
          <w:tcPr>
            <w:tcW w:w="268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outstanding  at the respective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year-ends</w:t>
            </w:r>
          </w:p>
        </w:tc>
        <w:tc>
          <w:tcPr>
            <w:tcW w:w="0" w:type="dxa"/>
            <w:vAlign w:val="bottom"/>
          </w:tcPr>
          <w:p>
            <w:pPr>
              <w:spacing w:after="0"/>
              <w:rPr>
                <w:sz w:val="1"/>
                <w:szCs w:val="1"/>
                <w:color w:val="auto"/>
              </w:rPr>
            </w:pPr>
          </w:p>
        </w:tc>
      </w:tr>
      <w:tr>
        <w:trPr>
          <w:trHeight w:val="242"/>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comprised the following:</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1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vMerge w:val="restart"/>
          </w:tcPr>
          <w:p>
            <w:pPr>
              <w:jc w:val="right"/>
              <w:ind w:right="868"/>
              <w:spacing w:after="0"/>
              <w:rPr>
                <w:sz w:val="20"/>
                <w:szCs w:val="20"/>
                <w:color w:val="auto"/>
              </w:rPr>
            </w:pPr>
            <w:r>
              <w:rPr>
                <w:rFonts w:ascii="Courier New" w:cs="Courier New" w:eastAsia="Courier New" w:hAnsi="Courier New"/>
                <w:sz w:val="14"/>
                <w:szCs w:val="14"/>
                <w:color w:val="auto"/>
              </w:rPr>
              <w:t>1996</w:t>
            </w:r>
          </w:p>
        </w:tc>
        <w:tc>
          <w:tcPr>
            <w:tcW w:w="360" w:type="dxa"/>
            <w:vAlign w:val="bottom"/>
          </w:tcPr>
          <w:p>
            <w:pPr>
              <w:spacing w:after="0"/>
              <w:rPr>
                <w:sz w:val="22"/>
                <w:szCs w:val="22"/>
                <w:color w:val="auto"/>
              </w:rPr>
            </w:pPr>
          </w:p>
        </w:tc>
        <w:tc>
          <w:tcPr>
            <w:tcW w:w="9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December 31,</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9.45%</w:t>
            </w:r>
          </w:p>
        </w:tc>
        <w:tc>
          <w:tcPr>
            <w:tcW w:w="320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senior notes payable, due 1997-2000</w:t>
            </w:r>
          </w:p>
        </w:tc>
        <w:tc>
          <w:tcPr>
            <w:tcW w:w="3180" w:type="dxa"/>
            <w:vAlign w:val="bottom"/>
            <w:gridSpan w:val="4"/>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3200" w:type="dxa"/>
            <w:vAlign w:val="bottom"/>
            <w:gridSpan w:val="3"/>
            <w:vMerge w:val="continue"/>
          </w:tcPr>
          <w:p>
            <w:pPr>
              <w:spacing w:after="0"/>
              <w:rPr>
                <w:sz w:val="14"/>
                <w:szCs w:val="14"/>
                <w:color w:val="auto"/>
              </w:rPr>
            </w:pPr>
          </w:p>
        </w:tc>
        <w:tc>
          <w:tcPr>
            <w:tcW w:w="188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$17,143</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$21,429</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9.75%</w:t>
            </w:r>
          </w:p>
        </w:tc>
        <w:tc>
          <w:tcPr>
            <w:tcW w:w="3200" w:type="dxa"/>
            <w:vAlign w:val="bottom"/>
            <w:gridSpan w:val="3"/>
          </w:tcPr>
          <w:p>
            <w:pPr>
              <w:spacing w:after="0"/>
              <w:rPr>
                <w:sz w:val="20"/>
                <w:szCs w:val="20"/>
                <w:color w:val="auto"/>
              </w:rPr>
            </w:pPr>
            <w:r>
              <w:rPr>
                <w:rFonts w:ascii="Courier New" w:cs="Courier New" w:eastAsia="Courier New" w:hAnsi="Courier New"/>
                <w:sz w:val="14"/>
                <w:szCs w:val="14"/>
                <w:color w:val="auto"/>
              </w:rPr>
              <w:t>senior notes payable, due 1997-2001</w:t>
            </w:r>
          </w:p>
        </w:tc>
        <w:tc>
          <w:tcPr>
            <w:tcW w:w="420" w:type="dxa"/>
            <w:vAlign w:val="bottom"/>
          </w:tcPr>
          <w:p>
            <w:pPr>
              <w:spacing w:after="0"/>
              <w:rPr>
                <w:sz w:val="14"/>
                <w:szCs w:val="14"/>
                <w:color w:val="auto"/>
              </w:rPr>
            </w:pP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9"/>
              </w:rPr>
              <w:t>12,500</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15,000</w:t>
            </w:r>
          </w:p>
        </w:tc>
        <w:tc>
          <w:tcPr>
            <w:tcW w:w="0" w:type="dxa"/>
            <w:vAlign w:val="bottom"/>
          </w:tcPr>
          <w:p>
            <w:pPr>
              <w:spacing w:after="0"/>
              <w:rPr>
                <w:sz w:val="1"/>
                <w:szCs w:val="1"/>
                <w:color w:val="auto"/>
              </w:rPr>
            </w:pP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8.00%</w:t>
            </w:r>
          </w:p>
        </w:tc>
        <w:tc>
          <w:tcPr>
            <w:tcW w:w="3200" w:type="dxa"/>
            <w:vAlign w:val="bottom"/>
            <w:gridSpan w:val="3"/>
          </w:tcPr>
          <w:p>
            <w:pPr>
              <w:spacing w:after="0"/>
              <w:rPr>
                <w:sz w:val="20"/>
                <w:szCs w:val="20"/>
                <w:color w:val="auto"/>
              </w:rPr>
            </w:pPr>
            <w:r>
              <w:rPr>
                <w:rFonts w:ascii="Courier New" w:cs="Courier New" w:eastAsia="Courier New" w:hAnsi="Courier New"/>
                <w:sz w:val="14"/>
                <w:szCs w:val="14"/>
                <w:color w:val="auto"/>
              </w:rPr>
              <w:t>senior notes payable, due 1999-2005</w:t>
            </w:r>
          </w:p>
        </w:tc>
        <w:tc>
          <w:tcPr>
            <w:tcW w:w="420" w:type="dxa"/>
            <w:vAlign w:val="bottom"/>
          </w:tcPr>
          <w:p>
            <w:pPr>
              <w:spacing w:after="0"/>
              <w:rPr>
                <w:sz w:val="14"/>
                <w:szCs w:val="14"/>
                <w:color w:val="auto"/>
              </w:rPr>
            </w:pP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9"/>
              </w:rPr>
              <w:t>90,000</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90,000</w:t>
            </w:r>
          </w:p>
        </w:tc>
        <w:tc>
          <w:tcPr>
            <w:tcW w:w="0" w:type="dxa"/>
            <w:vAlign w:val="bottom"/>
          </w:tcPr>
          <w:p>
            <w:pPr>
              <w:spacing w:after="0"/>
              <w:rPr>
                <w:sz w:val="1"/>
                <w:szCs w:val="1"/>
                <w:color w:val="auto"/>
              </w:rPr>
            </w:pPr>
          </w:p>
        </w:tc>
      </w:tr>
      <w:tr>
        <w:trPr>
          <w:trHeight w:val="166"/>
        </w:trPr>
        <w:tc>
          <w:tcPr>
            <w:tcW w:w="3280" w:type="dxa"/>
            <w:vAlign w:val="bottom"/>
            <w:gridSpan w:val="3"/>
          </w:tcPr>
          <w:p>
            <w:pPr>
              <w:spacing w:after="0"/>
              <w:rPr>
                <w:sz w:val="20"/>
                <w:szCs w:val="20"/>
                <w:color w:val="auto"/>
              </w:rPr>
            </w:pPr>
            <w:r>
              <w:rPr>
                <w:rFonts w:ascii="Courier New" w:cs="Courier New" w:eastAsia="Courier New" w:hAnsi="Courier New"/>
                <w:sz w:val="14"/>
                <w:szCs w:val="14"/>
                <w:color w:val="auto"/>
              </w:rPr>
              <w:t>Bank notes and commercial paper</w:t>
            </w:r>
          </w:p>
        </w:tc>
        <w:tc>
          <w:tcPr>
            <w:tcW w:w="440" w:type="dxa"/>
            <w:vAlign w:val="bottom"/>
          </w:tcPr>
          <w:p>
            <w:pPr>
              <w:spacing w:after="0"/>
              <w:rPr>
                <w:sz w:val="14"/>
                <w:szCs w:val="14"/>
                <w:color w:val="auto"/>
              </w:rPr>
            </w:pPr>
          </w:p>
        </w:tc>
        <w:tc>
          <w:tcPr>
            <w:tcW w:w="188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151,859</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254,932</w:t>
            </w:r>
          </w:p>
        </w:tc>
        <w:tc>
          <w:tcPr>
            <w:tcW w:w="0" w:type="dxa"/>
            <w:vAlign w:val="bottom"/>
          </w:tcPr>
          <w:p>
            <w:pPr>
              <w:spacing w:after="0"/>
              <w:rPr>
                <w:sz w:val="1"/>
                <w:szCs w:val="1"/>
                <w:color w:val="auto"/>
              </w:rPr>
            </w:pPr>
          </w:p>
        </w:tc>
      </w:tr>
      <w:tr>
        <w:trPr>
          <w:trHeight w:val="166"/>
        </w:trPr>
        <w:tc>
          <w:tcPr>
            <w:tcW w:w="2200" w:type="dxa"/>
            <w:vAlign w:val="bottom"/>
            <w:gridSpan w:val="2"/>
          </w:tcPr>
          <w:p>
            <w:pPr>
              <w:spacing w:after="0"/>
              <w:rPr>
                <w:sz w:val="20"/>
                <w:szCs w:val="20"/>
                <w:color w:val="auto"/>
              </w:rPr>
            </w:pPr>
            <w:r>
              <w:rPr>
                <w:rFonts w:ascii="Courier New" w:cs="Courier New" w:eastAsia="Courier New" w:hAnsi="Courier New"/>
                <w:sz w:val="14"/>
                <w:szCs w:val="14"/>
                <w:color w:val="auto"/>
              </w:rPr>
              <w:t>Other obligations</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1,362</w:t>
            </w:r>
          </w:p>
        </w:tc>
        <w:tc>
          <w:tcPr>
            <w:tcW w:w="36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2,055</w:t>
            </w:r>
          </w:p>
        </w:tc>
        <w:tc>
          <w:tcPr>
            <w:tcW w:w="0" w:type="dxa"/>
            <w:vAlign w:val="bottom"/>
          </w:tcPr>
          <w:p>
            <w:pPr>
              <w:spacing w:after="0"/>
              <w:rPr>
                <w:sz w:val="1"/>
                <w:szCs w:val="1"/>
                <w:color w:val="auto"/>
              </w:rPr>
            </w:pPr>
          </w:p>
        </w:tc>
      </w:tr>
      <w:tr>
        <w:trPr>
          <w:trHeight w:val="166"/>
        </w:trPr>
        <w:tc>
          <w:tcPr>
            <w:tcW w:w="52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80" w:type="dxa"/>
            <w:vAlign w:val="bottom"/>
            <w:gridSpan w:val="4"/>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52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$272,864</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$383,416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80" w:type="dxa"/>
            <w:vAlign w:val="bottom"/>
            <w:gridSpan w:val="4"/>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3339"/>
        <w:spacing w:after="0" w:line="375" w:lineRule="auto"/>
        <w:rPr>
          <w:sz w:val="20"/>
          <w:szCs w:val="20"/>
          <w:color w:val="auto"/>
        </w:rPr>
      </w:pPr>
      <w:r>
        <w:rPr>
          <w:rFonts w:ascii="Courier New" w:cs="Courier New" w:eastAsia="Courier New" w:hAnsi="Courier New"/>
          <w:sz w:val="14"/>
          <w:szCs w:val="14"/>
          <w:color w:val="auto"/>
        </w:rPr>
        <w:t>Annual principal payments required under the terms of the long-term agreements were as follows at December 31,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3160" w:type="dxa"/>
            <w:vAlign w:val="bottom"/>
          </w:tcPr>
          <w:p>
            <w:pPr>
              <w:spacing w:after="0" w:line="147" w:lineRule="exact"/>
              <w:rPr>
                <w:sz w:val="20"/>
                <w:szCs w:val="20"/>
                <w:color w:val="auto"/>
              </w:rPr>
            </w:pPr>
            <w:r>
              <w:rPr>
                <w:rFonts w:ascii="Courier New" w:cs="Courier New" w:eastAsia="Courier New" w:hAnsi="Courier New"/>
                <w:sz w:val="14"/>
                <w:szCs w:val="14"/>
                <w:color w:val="auto"/>
              </w:rPr>
              <w:t>1997</w:t>
            </w:r>
          </w:p>
        </w:tc>
        <w:tc>
          <w:tcPr>
            <w:tcW w:w="28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$10,075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8,074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21,211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162,424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16,220</w:t>
            </w:r>
          </w:p>
        </w:tc>
      </w:tr>
      <w:tr>
        <w:trPr>
          <w:trHeight w:val="192"/>
        </w:trPr>
        <w:tc>
          <w:tcPr>
            <w:tcW w:w="31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54,860</w:t>
            </w:r>
          </w:p>
        </w:tc>
      </w:tr>
    </w:tbl>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TOTAL$272,864</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right="3339"/>
        <w:spacing w:after="0" w:line="3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with respect to long-term debt and other obligations amounted to $22,431,000, $22,006,000 and $9,228,000 in 1996, 1995 and 1994, respectively.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INCOME TAXES</w:t>
      </w:r>
    </w:p>
    <w:p>
      <w:pPr>
        <w:spacing w:after="0" w:line="173" w:lineRule="exact"/>
        <w:rPr>
          <w:sz w:val="20"/>
          <w:szCs w:val="20"/>
          <w:color w:val="auto"/>
        </w:rPr>
      </w:pPr>
    </w:p>
    <w:p>
      <w:pPr>
        <w:ind w:right="3419"/>
        <w:spacing w:after="0" w:line="375" w:lineRule="auto"/>
        <w:rPr>
          <w:sz w:val="20"/>
          <w:szCs w:val="20"/>
          <w:color w:val="auto"/>
        </w:rPr>
      </w:pPr>
      <w:r>
        <w:rPr>
          <w:rFonts w:ascii="Courier New" w:cs="Courier New" w:eastAsia="Courier New" w:hAnsi="Courier New"/>
          <w:sz w:val="14"/>
          <w:szCs w:val="14"/>
          <w:color w:val="auto"/>
        </w:rPr>
        <w:t>A reconciliation of recorded income tax expense with income tax computed at the statutory federal tax rates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16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6"/>
        </w:trPr>
        <w:tc>
          <w:tcPr>
            <w:tcW w:w="37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Statutory federal tax rate</w:t>
            </w:r>
          </w:p>
        </w:tc>
        <w:tc>
          <w:tcPr>
            <w:tcW w:w="31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720" w:type="dxa"/>
            <w:vAlign w:val="bottom"/>
            <w:gridSpan w:val="2"/>
            <w:vMerge w:val="continue"/>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Tax computed at statutory rate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$36,592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$(34,486)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$23,571</w:t>
            </w: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State income taxes net of federal effect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4,473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(5,113)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2,792</w:t>
            </w: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Non-deductible amortization</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1,157</w:t>
            </w:r>
          </w:p>
        </w:tc>
        <w:tc>
          <w:tcPr>
            <w:tcW w:w="0" w:type="dxa"/>
            <w:vAlign w:val="bottom"/>
          </w:tcPr>
          <w:p>
            <w:pPr>
              <w:spacing w:after="0"/>
              <w:rPr>
                <w:sz w:val="1"/>
                <w:szCs w:val="1"/>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6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(582)</w:t>
            </w:r>
          </w:p>
        </w:tc>
        <w:tc>
          <w:tcPr>
            <w:tcW w:w="0" w:type="dxa"/>
            <w:vAlign w:val="bottom"/>
          </w:tcPr>
          <w:p>
            <w:pPr>
              <w:spacing w:after="0"/>
              <w:rPr>
                <w:sz w:val="1"/>
                <w:szCs w:val="1"/>
                <w:color w:val="auto"/>
              </w:rPr>
            </w:pPr>
          </w:p>
        </w:tc>
      </w:tr>
      <w:tr>
        <w:trPr>
          <w:trHeight w:val="166"/>
        </w:trPr>
        <w:tc>
          <w:tcPr>
            <w:tcW w:w="156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216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$42,865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$(38,668)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$26,938</w:t>
            </w:r>
          </w:p>
        </w:tc>
        <w:tc>
          <w:tcPr>
            <w:tcW w:w="0" w:type="dxa"/>
            <w:vAlign w:val="bottom"/>
          </w:tcPr>
          <w:p>
            <w:pPr>
              <w:spacing w:after="0"/>
              <w:rPr>
                <w:sz w:val="1"/>
                <w:szCs w:val="1"/>
                <w:color w:val="auto"/>
              </w:rPr>
            </w:pPr>
          </w:p>
        </w:tc>
      </w:tr>
      <w:tr>
        <w:trPr>
          <w:trHeight w:val="242"/>
        </w:trPr>
        <w:tc>
          <w:tcPr>
            <w:tcW w:w="1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5700" w:type="dxa"/>
            <w:vAlign w:val="bottom"/>
            <w:gridSpan w:val="4"/>
          </w:tcPr>
          <w:p>
            <w:pPr>
              <w:spacing w:after="0"/>
              <w:rPr>
                <w:sz w:val="20"/>
                <w:szCs w:val="20"/>
                <w:color w:val="auto"/>
              </w:rPr>
            </w:pPr>
            <w:r>
              <w:rPr>
                <w:rFonts w:ascii="Courier New" w:cs="Courier New" w:eastAsia="Courier New" w:hAnsi="Courier New"/>
                <w:sz w:val="14"/>
                <w:szCs w:val="14"/>
                <w:color w:val="auto"/>
              </w:rPr>
              <w:t>The provision for income taxes consisted of the following:</w:t>
            </w:r>
          </w:p>
        </w:tc>
        <w:tc>
          <w:tcPr>
            <w:tcW w:w="1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16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60" w:type="dxa"/>
            <w:vAlign w:val="bottom"/>
            <w:vMerge w:val="restart"/>
          </w:tcPr>
          <w:p>
            <w:pPr>
              <w:spacing w:after="0"/>
              <w:rPr>
                <w:sz w:val="20"/>
                <w:szCs w:val="20"/>
                <w:color w:val="auto"/>
              </w:rPr>
            </w:pPr>
            <w:r>
              <w:rPr>
                <w:rFonts w:ascii="Courier New" w:cs="Courier New" w:eastAsia="Courier New" w:hAnsi="Courier New"/>
                <w:sz w:val="14"/>
                <w:szCs w:val="14"/>
                <w:color w:val="auto"/>
              </w:rPr>
              <w:t>Currently payable</w:t>
            </w:r>
          </w:p>
        </w:tc>
        <w:tc>
          <w:tcPr>
            <w:tcW w:w="2160" w:type="dxa"/>
            <w:vAlign w:val="bottom"/>
          </w:tcPr>
          <w:p>
            <w:pPr>
              <w:spacing w:after="0"/>
              <w:rPr>
                <w:sz w:val="14"/>
                <w:szCs w:val="14"/>
                <w:color w:val="auto"/>
              </w:rPr>
            </w:pPr>
          </w:p>
        </w:tc>
        <w:tc>
          <w:tcPr>
            <w:tcW w:w="31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$37,409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$17,884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$13,763</w:t>
            </w: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Tax reduction credited to capital</w:t>
            </w:r>
          </w:p>
        </w:tc>
        <w:tc>
          <w:tcPr>
            <w:tcW w:w="12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780" w:type="dxa"/>
            <w:vAlign w:val="bottom"/>
            <w:vMerge w:val="restart"/>
          </w:tcPr>
          <w:p>
            <w:pPr>
              <w:jc w:val="right"/>
              <w:ind w:right="28"/>
              <w:spacing w:after="0"/>
              <w:rPr>
                <w:sz w:val="20"/>
                <w:szCs w:val="20"/>
                <w:color w:val="auto"/>
              </w:rPr>
            </w:pPr>
            <w:r>
              <w:rPr>
                <w:rFonts w:ascii="Courier New" w:cs="Courier New" w:eastAsia="Courier New" w:hAnsi="Courier New"/>
                <w:sz w:val="14"/>
                <w:szCs w:val="14"/>
                <w:color w:val="auto"/>
              </w:rPr>
              <w:t>2,400</w:t>
            </w:r>
          </w:p>
        </w:tc>
        <w:tc>
          <w:tcPr>
            <w:tcW w:w="12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800</w:t>
            </w:r>
          </w:p>
        </w:tc>
        <w:tc>
          <w:tcPr>
            <w:tcW w:w="0" w:type="dxa"/>
            <w:vAlign w:val="bottom"/>
          </w:tcPr>
          <w:p>
            <w:pPr>
              <w:spacing w:after="0"/>
              <w:rPr>
                <w:sz w:val="1"/>
                <w:szCs w:val="1"/>
                <w:color w:val="auto"/>
              </w:rPr>
            </w:pPr>
          </w:p>
        </w:tc>
      </w:tr>
      <w:tr>
        <w:trPr>
          <w:trHeight w:val="166"/>
        </w:trPr>
        <w:tc>
          <w:tcPr>
            <w:tcW w:w="37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 excess of par value</w:t>
            </w:r>
          </w:p>
        </w:tc>
        <w:tc>
          <w:tcPr>
            <w:tcW w:w="12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1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(58,952)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12,375</w:t>
            </w:r>
          </w:p>
        </w:tc>
        <w:tc>
          <w:tcPr>
            <w:tcW w:w="0" w:type="dxa"/>
            <w:vAlign w:val="bottom"/>
          </w:tcPr>
          <w:p>
            <w:pPr>
              <w:spacing w:after="0"/>
              <w:rPr>
                <w:sz w:val="1"/>
                <w:szCs w:val="1"/>
                <w:color w:val="auto"/>
              </w:rPr>
            </w:pPr>
          </w:p>
        </w:tc>
      </w:tr>
      <w:tr>
        <w:trPr>
          <w:trHeight w:val="166"/>
        </w:trPr>
        <w:tc>
          <w:tcPr>
            <w:tcW w:w="156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2160" w:type="dxa"/>
            <w:vAlign w:val="bottom"/>
          </w:tcPr>
          <w:p>
            <w:pPr>
              <w:spacing w:after="0"/>
              <w:rPr>
                <w:sz w:val="14"/>
                <w:szCs w:val="14"/>
                <w:color w:val="auto"/>
              </w:rPr>
            </w:pPr>
          </w:p>
        </w:tc>
        <w:tc>
          <w:tcPr>
            <w:tcW w:w="31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$42,865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$(38,668)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$26,938</w:t>
            </w:r>
          </w:p>
        </w:tc>
        <w:tc>
          <w:tcPr>
            <w:tcW w:w="0" w:type="dxa"/>
            <w:vAlign w:val="bottom"/>
          </w:tcPr>
          <w:p>
            <w:pPr>
              <w:spacing w:after="0"/>
              <w:rPr>
                <w:sz w:val="1"/>
                <w:szCs w:val="1"/>
                <w:color w:val="auto"/>
              </w:rPr>
            </w:pPr>
          </w:p>
        </w:tc>
      </w:tr>
      <w:tr>
        <w:trPr>
          <w:trHeight w:val="242"/>
        </w:trPr>
        <w:tc>
          <w:tcPr>
            <w:tcW w:w="1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1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21"/>
        </w:trPr>
        <w:tc>
          <w:tcPr>
            <w:tcW w:w="1560" w:type="dxa"/>
            <w:vAlign w:val="bottom"/>
          </w:tcPr>
          <w:p>
            <w:pPr>
              <w:spacing w:after="0"/>
              <w:rPr>
                <w:sz w:val="20"/>
                <w:szCs w:val="20"/>
                <w:color w:val="auto"/>
              </w:rPr>
            </w:pPr>
            <w:r>
              <w:rPr>
                <w:rFonts w:ascii="Courier New" w:cs="Courier New" w:eastAsia="Courier New" w:hAnsi="Courier New"/>
                <w:sz w:val="14"/>
                <w:szCs w:val="14"/>
                <w:color w:val="auto"/>
              </w:rPr>
              <w:t>The  approximate</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tax effects of temporary</w:t>
            </w:r>
          </w:p>
        </w:tc>
        <w:tc>
          <w:tcPr>
            <w:tcW w:w="3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differences at December 31, 1996 and</w:t>
            </w:r>
          </w:p>
        </w:tc>
        <w:tc>
          <w:tcPr>
            <w:tcW w:w="0" w:type="dxa"/>
            <w:vAlign w:val="bottom"/>
          </w:tcPr>
          <w:p>
            <w:pPr>
              <w:spacing w:after="0"/>
              <w:rPr>
                <w:sz w:val="1"/>
                <w:szCs w:val="1"/>
                <w:color w:val="auto"/>
              </w:rPr>
            </w:pPr>
          </w:p>
        </w:tc>
      </w:tr>
      <w:tr>
        <w:trPr>
          <w:trHeight w:val="242"/>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1995 were as follows:</w:t>
            </w: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5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16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spacing w:after="0"/>
              <w:rPr>
                <w:sz w:val="22"/>
                <w:szCs w:val="22"/>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1995</w:t>
            </w:r>
          </w:p>
        </w:tc>
        <w:tc>
          <w:tcPr>
            <w:tcW w:w="0" w:type="dxa"/>
            <w:vAlign w:val="bottom"/>
          </w:tcPr>
          <w:p>
            <w:pPr>
              <w:spacing w:after="0"/>
              <w:rPr>
                <w:sz w:val="1"/>
                <w:szCs w:val="1"/>
                <w:color w:val="auto"/>
              </w:rPr>
            </w:pPr>
          </w:p>
        </w:tc>
      </w:tr>
      <w:tr>
        <w:trPr>
          <w:trHeight w:val="166"/>
        </w:trPr>
        <w:tc>
          <w:tcPr>
            <w:tcW w:w="372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Allowance for doubtful acounts</w:t>
            </w:r>
          </w:p>
        </w:tc>
        <w:tc>
          <w:tcPr>
            <w:tcW w:w="31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720" w:type="dxa"/>
            <w:vAlign w:val="bottom"/>
            <w:gridSpan w:val="2"/>
            <w:vMerge w:val="continue"/>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$1,529</w:t>
            </w:r>
          </w:p>
        </w:tc>
        <w:tc>
          <w:tcPr>
            <w:tcW w:w="78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$2,319</w:t>
            </w: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Accrued expenses not currently deductible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5,588</w:t>
            </w:r>
          </w:p>
        </w:tc>
        <w:tc>
          <w:tcPr>
            <w:tcW w:w="78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7,769</w:t>
            </w:r>
          </w:p>
        </w:tc>
        <w:tc>
          <w:tcPr>
            <w:tcW w:w="0" w:type="dxa"/>
            <w:vAlign w:val="bottom"/>
          </w:tcPr>
          <w:p>
            <w:pPr>
              <w:spacing w:after="0"/>
              <w:rPr>
                <w:sz w:val="1"/>
                <w:szCs w:val="1"/>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Deferred revenues</w:t>
            </w:r>
          </w:p>
        </w:tc>
        <w:tc>
          <w:tcPr>
            <w:tcW w:w="21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9,815</w:t>
            </w:r>
          </w:p>
        </w:tc>
        <w:tc>
          <w:tcPr>
            <w:tcW w:w="78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9,122</w:t>
            </w:r>
          </w:p>
        </w:tc>
        <w:tc>
          <w:tcPr>
            <w:tcW w:w="0" w:type="dxa"/>
            <w:vAlign w:val="bottom"/>
          </w:tcPr>
          <w:p>
            <w:pPr>
              <w:spacing w:after="0"/>
              <w:rPr>
                <w:sz w:val="1"/>
                <w:szCs w:val="1"/>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78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1,728</w:t>
            </w: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Net operating loss and credit carryforwards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3,871</w:t>
            </w:r>
          </w:p>
        </w:tc>
        <w:tc>
          <w:tcPr>
            <w:tcW w:w="78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6,739</w:t>
            </w:r>
          </w:p>
        </w:tc>
        <w:tc>
          <w:tcPr>
            <w:tcW w:w="0" w:type="dxa"/>
            <w:vAlign w:val="bottom"/>
          </w:tcPr>
          <w:p>
            <w:pPr>
              <w:spacing w:after="0"/>
              <w:rPr>
                <w:sz w:val="1"/>
                <w:szCs w:val="1"/>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Deferred costs</w:t>
            </w:r>
          </w:p>
        </w:tc>
        <w:tc>
          <w:tcPr>
            <w:tcW w:w="2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(4,963)</w:t>
            </w:r>
          </w:p>
        </w:tc>
        <w:tc>
          <w:tcPr>
            <w:tcW w:w="7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(9,143)</w:t>
            </w: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Internally generated capitalized software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(28,900)</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(30,283)</w:t>
            </w: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Excess of tax over book depreciation</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(3,185)</w:t>
            </w:r>
          </w:p>
        </w:tc>
        <w:tc>
          <w:tcPr>
            <w:tcW w:w="780" w:type="dxa"/>
            <w:vAlign w:val="bottom"/>
          </w:tcPr>
          <w:p>
            <w:pPr>
              <w:spacing w:after="0"/>
              <w:rPr>
                <w:sz w:val="14"/>
                <w:szCs w:val="14"/>
                <w:color w:val="auto"/>
              </w:rPr>
            </w:pPr>
          </w:p>
        </w:tc>
        <w:tc>
          <w:tcPr>
            <w:tcW w:w="120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w w:val="98"/>
              </w:rPr>
              <w:t>(4,419)</w:t>
            </w:r>
          </w:p>
        </w:tc>
        <w:tc>
          <w:tcPr>
            <w:tcW w:w="0" w:type="dxa"/>
            <w:vAlign w:val="bottom"/>
          </w:tcPr>
          <w:p>
            <w:pPr>
              <w:spacing w:after="0"/>
              <w:rPr>
                <w:sz w:val="1"/>
                <w:szCs w:val="1"/>
                <w:color w:val="auto"/>
              </w:rPr>
            </w:pPr>
          </w:p>
        </w:tc>
      </w:tr>
      <w:tr>
        <w:trPr>
          <w:trHeight w:val="166"/>
        </w:trPr>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and amortization</w:t>
            </w:r>
          </w:p>
        </w:tc>
        <w:tc>
          <w:tcPr>
            <w:tcW w:w="2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Purchased incomplete software technology</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61,500</w:t>
            </w:r>
          </w:p>
        </w:tc>
        <w:tc>
          <w:tcPr>
            <w:tcW w:w="78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66,305</w:t>
            </w:r>
          </w:p>
        </w:tc>
        <w:tc>
          <w:tcPr>
            <w:tcW w:w="0" w:type="dxa"/>
            <w:vAlign w:val="bottom"/>
          </w:tcPr>
          <w:p>
            <w:pPr>
              <w:spacing w:after="0"/>
              <w:rPr>
                <w:sz w:val="1"/>
                <w:szCs w:val="1"/>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Unrealized gain on investments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(12,940)</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(10,610)</w:t>
            </w:r>
          </w:p>
        </w:tc>
        <w:tc>
          <w:tcPr>
            <w:tcW w:w="0" w:type="dxa"/>
            <w:vAlign w:val="bottom"/>
          </w:tcPr>
          <w:p>
            <w:pPr>
              <w:spacing w:after="0"/>
              <w:rPr>
                <w:sz w:val="1"/>
                <w:szCs w:val="1"/>
                <w:color w:val="auto"/>
              </w:rPr>
            </w:pPr>
          </w:p>
        </w:tc>
      </w:tr>
      <w:tr>
        <w:trPr>
          <w:trHeight w:val="166"/>
        </w:trPr>
        <w:tc>
          <w:tcPr>
            <w:tcW w:w="156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2160" w:type="dxa"/>
            <w:vAlign w:val="bottom"/>
          </w:tcPr>
          <w:p>
            <w:pPr>
              <w:spacing w:after="0"/>
              <w:rPr>
                <w:sz w:val="14"/>
                <w:szCs w:val="14"/>
                <w:color w:val="auto"/>
              </w:rPr>
            </w:pPr>
          </w:p>
        </w:tc>
        <w:tc>
          <w:tcPr>
            <w:tcW w:w="31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$32,083</w:t>
            </w:r>
          </w:p>
        </w:tc>
        <w:tc>
          <w:tcPr>
            <w:tcW w:w="19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$39,527</w:t>
            </w:r>
          </w:p>
        </w:tc>
        <w:tc>
          <w:tcPr>
            <w:tcW w:w="0" w:type="dxa"/>
            <w:vAlign w:val="bottom"/>
          </w:tcPr>
          <w:p>
            <w:pPr>
              <w:spacing w:after="0"/>
              <w:rPr>
                <w:sz w:val="1"/>
                <w:szCs w:val="1"/>
                <w:color w:val="auto"/>
              </w:rPr>
            </w:pPr>
          </w:p>
        </w:tc>
      </w:tr>
      <w:tr>
        <w:trPr>
          <w:trHeight w:val="166"/>
        </w:trPr>
        <w:tc>
          <w:tcPr>
            <w:tcW w:w="1560" w:type="dxa"/>
            <w:vAlign w:val="bottom"/>
            <w:vMerge w:val="restart"/>
          </w:tcPr>
          <w:p>
            <w:pPr>
              <w:spacing w:after="0"/>
              <w:rPr>
                <w:sz w:val="20"/>
                <w:szCs w:val="20"/>
                <w:color w:val="auto"/>
              </w:rPr>
            </w:pPr>
            <w:r>
              <w:rPr>
                <w:rFonts w:ascii="Courier New" w:cs="Courier New" w:eastAsia="Courier New" w:hAnsi="Courier New"/>
                <w:sz w:val="14"/>
                <w:szCs w:val="14"/>
                <w:color w:val="auto"/>
              </w:rPr>
              <w:t>The net  operating</w:t>
            </w:r>
          </w:p>
        </w:tc>
        <w:tc>
          <w:tcPr>
            <w:tcW w:w="2160" w:type="dxa"/>
            <w:vAlign w:val="bottom"/>
          </w:tcPr>
          <w:p>
            <w:pPr>
              <w:spacing w:after="0"/>
              <w:rPr>
                <w:sz w:val="14"/>
                <w:szCs w:val="14"/>
                <w:color w:val="auto"/>
              </w:rPr>
            </w:pPr>
          </w:p>
        </w:tc>
        <w:tc>
          <w:tcPr>
            <w:tcW w:w="31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1560" w:type="dxa"/>
            <w:vAlign w:val="bottom"/>
            <w:vMerge w:val="continue"/>
          </w:tcPr>
          <w:p>
            <w:pPr>
              <w:spacing w:after="0"/>
              <w:rPr>
                <w:sz w:val="14"/>
                <w:szCs w:val="14"/>
                <w:color w:val="auto"/>
              </w:rPr>
            </w:pPr>
          </w:p>
        </w:tc>
        <w:tc>
          <w:tcPr>
            <w:tcW w:w="3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loss and tax  credit  carryforwards</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have  expiration  dates</w:t>
            </w:r>
          </w:p>
        </w:tc>
        <w:tc>
          <w:tcPr>
            <w:tcW w:w="0" w:type="dxa"/>
            <w:vAlign w:val="bottom"/>
          </w:tcPr>
          <w:p>
            <w:pPr>
              <w:spacing w:after="0"/>
              <w:rPr>
                <w:sz w:val="1"/>
                <w:szCs w:val="1"/>
                <w:color w:val="auto"/>
              </w:rPr>
            </w:pPr>
          </w:p>
        </w:tc>
      </w:tr>
      <w:tr>
        <w:trPr>
          <w:trHeight w:val="242"/>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ranging from 1997 through 2010.</w:t>
            </w: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NOTE 5 EMPLOYEE BENEFIT PROGRAMS</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3339"/>
        <w:spacing w:after="0" w:line="266" w:lineRule="auto"/>
        <w:rPr>
          <w:sz w:val="20"/>
          <w:szCs w:val="20"/>
          <w:color w:val="auto"/>
        </w:rPr>
      </w:pPr>
      <w:r>
        <w:rPr>
          <w:rFonts w:ascii="Courier New" w:cs="Courier New" w:eastAsia="Courier New" w:hAnsi="Courier New"/>
          <w:sz w:val="14"/>
          <w:szCs w:val="14"/>
          <w:color w:val="auto"/>
        </w:rPr>
        <w:t>The Company and its subsidiaries have contributory savings plans covering substantially all employees, under which eligible participants may elect to contribute a specified percentage of their salaries, subject to certain limitations. The Company makes matching contributions, subject to certain limitations, and also makes discretionary contributions based upon the attainment of certain profit goals. Company contributions vest at the rate of 20% for each year of service. Contributions charged to operations under these plans approximated $10,074,000, $8,144,000 and $8,900,000 in 1996, 1995 and 1994, respectively.</w:t>
      </w:r>
    </w:p>
    <w:p>
      <w:pPr>
        <w:sectPr>
          <w:pgSz w:w="11900" w:h="16838" w:orient="portrait"/>
          <w:cols w:equalWidth="0" w:num="1">
            <w:col w:w="10239"/>
          </w:cols>
          <w:pgMar w:left="220" w:top="115"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NOTE 6 LEASES, OTHER COMMITMENTS AND CONTINGENCIES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jc w:val="both"/>
        <w:ind w:right="3339"/>
        <w:spacing w:after="0" w:line="336" w:lineRule="auto"/>
        <w:rPr>
          <w:sz w:val="20"/>
          <w:szCs w:val="20"/>
          <w:color w:val="auto"/>
        </w:rPr>
      </w:pPr>
      <w:r>
        <w:rPr>
          <w:rFonts w:ascii="Courier New" w:cs="Courier New" w:eastAsia="Courier New" w:hAnsi="Courier New"/>
          <w:sz w:val="14"/>
          <w:szCs w:val="14"/>
          <w:color w:val="auto"/>
        </w:rPr>
        <w:t>Future minimum rental payments, as of December 31, 1996, on various operating leases for office facilities and equipment were due as follows: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tbl>
      <w:tblPr>
        <w:tblLayout w:type="fixed"/>
        <w:tblInd w:w="0" w:type="dxa"/>
        <w:tblCellMar>
          <w:top w:w="0" w:type="dxa"/>
          <w:left w:w="0" w:type="dxa"/>
          <w:bottom w:w="0" w:type="dxa"/>
          <w:right w:w="0" w:type="dxa"/>
        </w:tblCellMar>
      </w:tblPr>
      <w:tr>
        <w:trPr>
          <w:trHeight w:val="147"/>
        </w:trPr>
        <w:tc>
          <w:tcPr>
            <w:tcW w:w="3160" w:type="dxa"/>
            <w:vAlign w:val="bottom"/>
          </w:tcPr>
          <w:p>
            <w:pPr>
              <w:spacing w:after="0" w:line="147" w:lineRule="exact"/>
              <w:rPr>
                <w:sz w:val="20"/>
                <w:szCs w:val="20"/>
                <w:color w:val="auto"/>
              </w:rPr>
            </w:pPr>
            <w:r>
              <w:rPr>
                <w:rFonts w:ascii="Courier New" w:cs="Courier New" w:eastAsia="Courier New" w:hAnsi="Courier New"/>
                <w:sz w:val="14"/>
                <w:szCs w:val="14"/>
                <w:color w:val="auto"/>
              </w:rPr>
              <w:t>1997</w:t>
            </w:r>
          </w:p>
        </w:tc>
        <w:tc>
          <w:tcPr>
            <w:tcW w:w="2880" w:type="dxa"/>
            <w:vAlign w:val="bottom"/>
          </w:tcPr>
          <w:p>
            <w:pPr>
              <w:jc w:val="right"/>
              <w:spacing w:after="0" w:line="147" w:lineRule="exact"/>
              <w:rPr>
                <w:sz w:val="20"/>
                <w:szCs w:val="20"/>
                <w:color w:val="auto"/>
              </w:rPr>
            </w:pPr>
            <w:r>
              <w:rPr>
                <w:rFonts w:ascii="Courier New" w:cs="Courier New" w:eastAsia="Courier New" w:hAnsi="Courier New"/>
                <w:sz w:val="14"/>
                <w:szCs w:val="14"/>
                <w:color w:val="auto"/>
              </w:rPr>
              <w:t>$35,030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29,115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19,794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15,581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9,472</w:t>
            </w:r>
          </w:p>
        </w:tc>
      </w:tr>
      <w:tr>
        <w:trPr>
          <w:trHeight w:val="192"/>
        </w:trPr>
        <w:tc>
          <w:tcPr>
            <w:tcW w:w="31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18,538</w:t>
            </w:r>
          </w:p>
        </w:tc>
      </w:tr>
    </w:tbl>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$127,530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7" w:lineRule="exact"/>
        <w:rPr>
          <w:sz w:val="20"/>
          <w:szCs w:val="20"/>
          <w:color w:val="auto"/>
        </w:rPr>
      </w:pPr>
    </w:p>
    <w:p>
      <w:pPr>
        <w:jc w:val="both"/>
        <w:ind w:right="3339"/>
        <w:spacing w:after="0" w:line="375" w:lineRule="auto"/>
        <w:rPr>
          <w:sz w:val="20"/>
          <w:szCs w:val="20"/>
          <w:color w:val="auto"/>
        </w:rPr>
      </w:pPr>
      <w:r>
        <w:rPr>
          <w:rFonts w:ascii="Courier New" w:cs="Courier New" w:eastAsia="Courier New" w:hAnsi="Courier New"/>
          <w:sz w:val="14"/>
          <w:szCs w:val="14"/>
          <w:color w:val="auto"/>
        </w:rPr>
        <w:t>Rent expense applicable to all operating leases was approximately $48,752,000, $48,038,000 and $43,065,000 in 1996, 1995 and 1994, respectively.</w:t>
      </w:r>
    </w:p>
    <w:p>
      <w:pPr>
        <w:spacing w:after="0" w:line="1"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OTHER COMMITMENTS AND</w:t>
        <w:tab/>
        <w:t>CONTINGENCIES</w:t>
      </w:r>
    </w:p>
    <w:p>
      <w:pPr>
        <w:spacing w:after="0" w:line="33" w:lineRule="exact"/>
        <w:rPr>
          <w:sz w:val="20"/>
          <w:szCs w:val="20"/>
          <w:color w:val="auto"/>
        </w:rPr>
      </w:pPr>
    </w:p>
    <w:p>
      <w:pPr>
        <w:jc w:val="both"/>
        <w:ind w:right="3339"/>
        <w:spacing w:after="0" w:line="279" w:lineRule="auto"/>
        <w:rPr>
          <w:sz w:val="20"/>
          <w:szCs w:val="20"/>
          <w:color w:val="auto"/>
        </w:rPr>
      </w:pPr>
      <w:r>
        <w:rPr>
          <w:rFonts w:ascii="Courier New" w:cs="Courier New" w:eastAsia="Courier New" w:hAnsi="Courier New"/>
          <w:sz w:val="14"/>
          <w:szCs w:val="14"/>
          <w:color w:val="auto"/>
        </w:rPr>
        <w:t>The Company's trust administration subsidiaries had fiduciary responsibility for the administration of approximately $18 billion in trust funds as of December 31, 1996. With the exception of the trust account investments discussed in Note 1, such amounts are not included in the accompanying balance sheets.</w:t>
      </w:r>
    </w:p>
    <w:p>
      <w:pPr>
        <w:spacing w:after="0" w:line="65" w:lineRule="exact"/>
        <w:rPr>
          <w:sz w:val="20"/>
          <w:szCs w:val="20"/>
          <w:color w:val="auto"/>
        </w:rPr>
      </w:pPr>
    </w:p>
    <w:p>
      <w:pPr>
        <w:jc w:val="both"/>
        <w:ind w:right="3339"/>
        <w:spacing w:after="0" w:line="282" w:lineRule="auto"/>
        <w:rPr>
          <w:sz w:val="20"/>
          <w:szCs w:val="20"/>
          <w:color w:val="auto"/>
        </w:rPr>
      </w:pPr>
      <w:r>
        <w:rPr>
          <w:rFonts w:ascii="Courier New" w:cs="Courier New" w:eastAsia="Courier New" w:hAnsi="Courier New"/>
          <w:sz w:val="14"/>
          <w:szCs w:val="14"/>
          <w:color w:val="auto"/>
        </w:rPr>
        <w:t>In the normal course of business, the Company and its subsidiaries are named as defendants in various lawsuits in which claims are asserted against the Company. In the opinion of management, the liabilities, if any, which may ultimately result from such lawsuits are not expected to have a material adverse effect on the financial statements of the Company.</w:t>
      </w:r>
    </w:p>
    <w:p>
      <w:pPr>
        <w:sectPr>
          <w:pgSz w:w="11900" w:h="16838" w:orient="portrait"/>
          <w:cols w:equalWidth="0" w:num="1">
            <w:col w:w="10239"/>
          </w:cols>
          <w:pgMar w:left="220" w:top="115" w:right="1440" w:bottom="1440" w:gutter="0" w:footer="0" w:header="0"/>
        </w:sectPr>
      </w:pPr>
    </w:p>
    <w:bookmarkStart w:id="19" w:name="page20"/>
    <w:bookmarkEnd w:id="19"/>
    <w:p>
      <w:pPr>
        <w:spacing w:after="0" w:line="12" w:lineRule="exact"/>
        <w:rPr>
          <w:sz w:val="20"/>
          <w:szCs w:val="20"/>
          <w:color w:val="auto"/>
        </w:rPr>
      </w:pPr>
    </w:p>
    <w:p>
      <w:pPr>
        <w:ind w:right="3339"/>
        <w:spacing w:after="0" w:line="375" w:lineRule="auto"/>
        <w:rPr>
          <w:sz w:val="20"/>
          <w:szCs w:val="20"/>
          <w:color w:val="auto"/>
        </w:rPr>
      </w:pPr>
      <w:r>
        <w:rPr>
          <w:rFonts w:ascii="Courier New" w:cs="Courier New" w:eastAsia="Courier New" w:hAnsi="Courier New"/>
          <w:sz w:val="14"/>
          <w:szCs w:val="14"/>
          <w:color w:val="auto"/>
        </w:rPr>
        <w:t>MANAGEMENT'S DISCUSSION &amp;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jc w:val="both"/>
        <w:ind w:right="3339"/>
        <w:spacing w:after="0" w:line="275" w:lineRule="auto"/>
        <w:rPr>
          <w:sz w:val="20"/>
          <w:szCs w:val="20"/>
          <w:color w:val="auto"/>
        </w:rPr>
      </w:pPr>
      <w:r>
        <w:rPr>
          <w:rFonts w:ascii="Courier New" w:cs="Courier New" w:eastAsia="Courier New" w:hAnsi="Courier New"/>
          <w:sz w:val="14"/>
          <w:szCs w:val="14"/>
          <w:color w:val="auto"/>
        </w:rPr>
        <w:t>The following table sets forth, for the periods indicated, the relative percentage which certain items in the Company's consolidated statements of income bear to revenues and the percentage change in those items from period to period. The table is based upon the accompanying supplemental schedule which excludes certain charges to 1995 operations associated with the acquisition of Information Technology,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20" w:type="dxa"/>
            <w:vAlign w:val="bottom"/>
          </w:tcPr>
          <w:p>
            <w:pPr>
              <w:spacing w:after="0"/>
              <w:rPr>
                <w:sz w:val="14"/>
                <w:szCs w:val="14"/>
                <w:color w:val="auto"/>
              </w:rPr>
            </w:pPr>
          </w:p>
        </w:tc>
        <w:tc>
          <w:tcPr>
            <w:tcW w:w="26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PERCENTAGE OF REVENUES</w:t>
            </w:r>
          </w:p>
        </w:tc>
        <w:tc>
          <w:tcPr>
            <w:tcW w:w="900" w:type="dxa"/>
            <w:vAlign w:val="bottom"/>
          </w:tcPr>
          <w:p>
            <w:pPr>
              <w:spacing w:after="0"/>
              <w:rPr>
                <w:sz w:val="14"/>
                <w:szCs w:val="14"/>
                <w:color w:val="auto"/>
              </w:rPr>
            </w:pPr>
          </w:p>
        </w:tc>
        <w:tc>
          <w:tcPr>
            <w:tcW w:w="27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PERIOD TO PERIOD PERCENTAGE</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14"/>
                <w:szCs w:val="14"/>
                <w:color w:val="auto"/>
              </w:rPr>
            </w:pPr>
          </w:p>
        </w:tc>
        <w:tc>
          <w:tcPr>
            <w:tcW w:w="26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YEAR ENDED DECEMBER 31,</w:t>
            </w:r>
          </w:p>
        </w:tc>
        <w:tc>
          <w:tcPr>
            <w:tcW w:w="900" w:type="dxa"/>
            <w:vAlign w:val="bottom"/>
          </w:tcPr>
          <w:p>
            <w:pPr>
              <w:spacing w:after="0"/>
              <w:rPr>
                <w:sz w:val="14"/>
                <w:szCs w:val="14"/>
                <w:color w:val="auto"/>
              </w:rPr>
            </w:pPr>
          </w:p>
        </w:tc>
        <w:tc>
          <w:tcPr>
            <w:tcW w:w="27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INCREASE (DECREASE)</w:t>
            </w: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1"/>
                <w:szCs w:val="21"/>
                <w:color w:val="auto"/>
              </w:rPr>
            </w:pPr>
          </w:p>
        </w:tc>
        <w:tc>
          <w:tcPr>
            <w:tcW w:w="626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920" w:type="dxa"/>
            <w:vAlign w:val="bottom"/>
          </w:tcPr>
          <w:p>
            <w:pPr>
              <w:spacing w:after="0"/>
              <w:rPr>
                <w:sz w:val="22"/>
                <w:szCs w:val="22"/>
                <w:color w:val="auto"/>
              </w:rPr>
            </w:pPr>
          </w:p>
        </w:tc>
        <w:tc>
          <w:tcPr>
            <w:tcW w:w="1600" w:type="dxa"/>
            <w:vAlign w:val="bottom"/>
            <w:vMerge w:val="restart"/>
          </w:tcPr>
          <w:p>
            <w:pPr>
              <w:jc w:val="right"/>
              <w:ind w:right="610"/>
              <w:spacing w:after="0"/>
              <w:rPr>
                <w:sz w:val="20"/>
                <w:szCs w:val="20"/>
                <w:color w:val="auto"/>
              </w:rPr>
            </w:pPr>
            <w:r>
              <w:rPr>
                <w:rFonts w:ascii="Courier New" w:cs="Courier New" w:eastAsia="Courier New" w:hAnsi="Courier New"/>
                <w:sz w:val="14"/>
                <w:szCs w:val="14"/>
                <w:color w:val="auto"/>
              </w:rPr>
              <w:t>1996</w:t>
            </w:r>
          </w:p>
        </w:tc>
        <w:tc>
          <w:tcPr>
            <w:tcW w:w="10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1996 vs.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 vs.</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1"/>
                <w:szCs w:val="21"/>
                <w:color w:val="auto"/>
              </w:rPr>
            </w:pPr>
          </w:p>
        </w:tc>
        <w:tc>
          <w:tcPr>
            <w:tcW w:w="264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81"/>
              </w:rPr>
              <w:t>-----------------------------------</w:t>
            </w:r>
          </w:p>
        </w:tc>
        <w:tc>
          <w:tcPr>
            <w:tcW w:w="900" w:type="dxa"/>
            <w:vAlign w:val="bottom"/>
          </w:tcPr>
          <w:p>
            <w:pPr>
              <w:spacing w:after="0"/>
              <w:rPr>
                <w:sz w:val="21"/>
                <w:szCs w:val="21"/>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600" w:type="dxa"/>
            <w:vAlign w:val="bottom"/>
          </w:tcPr>
          <w:p>
            <w:pPr>
              <w:jc w:val="right"/>
              <w:ind w:right="530"/>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100.0%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w:t>
            </w:r>
          </w:p>
        </w:tc>
        <w:tc>
          <w:tcPr>
            <w:tcW w:w="0" w:type="dxa"/>
            <w:vAlign w:val="bottom"/>
          </w:tcPr>
          <w:p>
            <w:pPr>
              <w:spacing w:after="0"/>
              <w:rPr>
                <w:sz w:val="1"/>
                <w:szCs w:val="1"/>
                <w:color w:val="auto"/>
              </w:rPr>
            </w:pPr>
          </w:p>
        </w:tc>
      </w:tr>
      <w:tr>
        <w:trPr>
          <w:trHeight w:val="242"/>
        </w:trPr>
        <w:tc>
          <w:tcPr>
            <w:tcW w:w="3920" w:type="dxa"/>
            <w:vAlign w:val="bottom"/>
            <w:vMerge w:val="restart"/>
          </w:tcPr>
          <w:p>
            <w:pPr>
              <w:spacing w:after="0"/>
              <w:rPr>
                <w:sz w:val="20"/>
                <w:szCs w:val="20"/>
                <w:color w:val="auto"/>
              </w:rPr>
            </w:pPr>
            <w:r>
              <w:rPr>
                <w:rFonts w:ascii="Courier New" w:cs="Courier New" w:eastAsia="Courier New" w:hAnsi="Courier New"/>
                <w:sz w:val="14"/>
                <w:szCs w:val="14"/>
                <w:color w:val="auto"/>
              </w:rPr>
              <w:t>Cost of revenues:</w:t>
            </w:r>
          </w:p>
        </w:tc>
        <w:tc>
          <w:tcPr>
            <w:tcW w:w="35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92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Salaries, commissions and payroll</w:t>
            </w:r>
          </w:p>
        </w:tc>
        <w:tc>
          <w:tcPr>
            <w:tcW w:w="1600" w:type="dxa"/>
            <w:vAlign w:val="bottom"/>
            <w:vMerge w:val="restart"/>
          </w:tcPr>
          <w:p>
            <w:pPr>
              <w:jc w:val="right"/>
              <w:ind w:right="610"/>
              <w:spacing w:after="0"/>
              <w:rPr>
                <w:sz w:val="20"/>
                <w:szCs w:val="20"/>
                <w:color w:val="auto"/>
              </w:rPr>
            </w:pPr>
            <w:r>
              <w:rPr>
                <w:rFonts w:ascii="Courier New" w:cs="Courier New" w:eastAsia="Courier New" w:hAnsi="Courier New"/>
                <w:sz w:val="14"/>
                <w:szCs w:val="14"/>
                <w:color w:val="auto"/>
              </w:rPr>
              <w:t>46.5</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47.0</w:t>
            </w: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48.6</w:t>
            </w: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12.3</w:t>
            </w:r>
          </w:p>
        </w:tc>
        <w:tc>
          <w:tcPr>
            <w:tcW w:w="13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17.5</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related costs</w:t>
            </w:r>
          </w:p>
        </w:tc>
        <w:tc>
          <w:tcPr>
            <w:tcW w:w="16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Data processing expenses, rentals</w:t>
            </w:r>
          </w:p>
        </w:tc>
        <w:tc>
          <w:tcPr>
            <w:tcW w:w="1600" w:type="dxa"/>
            <w:vAlign w:val="bottom"/>
            <w:vMerge w:val="restart"/>
          </w:tcPr>
          <w:p>
            <w:pPr>
              <w:jc w:val="right"/>
              <w:ind w:right="610"/>
              <w:spacing w:after="0"/>
              <w:rPr>
                <w:sz w:val="20"/>
                <w:szCs w:val="20"/>
                <w:color w:val="auto"/>
              </w:rPr>
            </w:pPr>
            <w:r>
              <w:rPr>
                <w:rFonts w:ascii="Courier New" w:cs="Courier New" w:eastAsia="Courier New" w:hAnsi="Courier New"/>
                <w:sz w:val="14"/>
                <w:szCs w:val="14"/>
                <w:color w:val="auto"/>
              </w:rPr>
              <w:t>11.4</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13.6</w:t>
            </w: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14.0</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(5.1)</w:t>
            </w:r>
          </w:p>
        </w:tc>
        <w:tc>
          <w:tcPr>
            <w:tcW w:w="13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17.8</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and telecommunication costs</w:t>
            </w:r>
          </w:p>
        </w:tc>
        <w:tc>
          <w:tcPr>
            <w:tcW w:w="16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operating costs</w:t>
            </w:r>
          </w:p>
        </w:tc>
        <w:tc>
          <w:tcPr>
            <w:tcW w:w="1600" w:type="dxa"/>
            <w:vAlign w:val="bottom"/>
          </w:tcPr>
          <w:p>
            <w:pPr>
              <w:jc w:val="right"/>
              <w:ind w:right="610"/>
              <w:spacing w:after="0"/>
              <w:rPr>
                <w:sz w:val="20"/>
                <w:szCs w:val="20"/>
                <w:color w:val="auto"/>
              </w:rPr>
            </w:pPr>
            <w:r>
              <w:rPr>
                <w:rFonts w:ascii="Courier New" w:cs="Courier New" w:eastAsia="Courier New" w:hAnsi="Courier New"/>
                <w:sz w:val="14"/>
                <w:szCs w:val="14"/>
                <w:color w:val="auto"/>
              </w:rPr>
              <w:t>18.2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17.8</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of</w:t>
            </w:r>
          </w:p>
        </w:tc>
        <w:tc>
          <w:tcPr>
            <w:tcW w:w="1600" w:type="dxa"/>
            <w:vAlign w:val="bottom"/>
            <w:vMerge w:val="restart"/>
          </w:tcPr>
          <w:p>
            <w:pPr>
              <w:jc w:val="right"/>
              <w:ind w:right="610"/>
              <w:spacing w:after="0"/>
              <w:rPr>
                <w:sz w:val="20"/>
                <w:szCs w:val="20"/>
                <w:color w:val="auto"/>
              </w:rPr>
            </w:pPr>
            <w:r>
              <w:rPr>
                <w:rFonts w:ascii="Courier New" w:cs="Courier New" w:eastAsia="Courier New" w:hAnsi="Courier New"/>
                <w:sz w:val="14"/>
                <w:szCs w:val="14"/>
                <w:color w:val="auto"/>
              </w:rPr>
              <w:t>5.3</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5.5</w:t>
            </w: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5.4</w:t>
            </w: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9.8</w:t>
            </w:r>
          </w:p>
        </w:tc>
        <w:tc>
          <w:tcPr>
            <w:tcW w:w="13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22.7</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equipment and improvements</w:t>
            </w:r>
          </w:p>
        </w:tc>
        <w:tc>
          <w:tcPr>
            <w:tcW w:w="16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1600" w:type="dxa"/>
            <w:vAlign w:val="bottom"/>
          </w:tcPr>
          <w:p>
            <w:pPr>
              <w:jc w:val="right"/>
              <w:ind w:right="610"/>
              <w:spacing w:after="0"/>
              <w:rPr>
                <w:sz w:val="20"/>
                <w:szCs w:val="20"/>
                <w:color w:val="auto"/>
              </w:rPr>
            </w:pPr>
            <w:r>
              <w:rPr>
                <w:rFonts w:ascii="Courier New" w:cs="Courier New" w:eastAsia="Courier New" w:hAnsi="Courier New"/>
                <w:sz w:val="14"/>
                <w:szCs w:val="14"/>
                <w:color w:val="auto"/>
              </w:rPr>
              <w:t>2.6</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Amortization (capitalization) of internally</w:t>
            </w:r>
          </w:p>
        </w:tc>
        <w:tc>
          <w:tcPr>
            <w:tcW w:w="1600" w:type="dxa"/>
            <w:vAlign w:val="bottom"/>
            <w:vMerge w:val="restart"/>
          </w:tcPr>
          <w:p>
            <w:pPr>
              <w:jc w:val="right"/>
              <w:ind w:right="610"/>
              <w:spacing w:after="0"/>
              <w:rPr>
                <w:sz w:val="20"/>
                <w:szCs w:val="20"/>
                <w:color w:val="auto"/>
              </w:rPr>
            </w:pPr>
            <w:r>
              <w:rPr>
                <w:rFonts w:ascii="Courier New" w:cs="Courier New" w:eastAsia="Courier New" w:hAnsi="Courier New"/>
                <w:sz w:val="14"/>
                <w:szCs w:val="14"/>
                <w:color w:val="auto"/>
              </w:rPr>
              <w:t>0.5</w:t>
            </w:r>
          </w:p>
        </w:tc>
        <w:tc>
          <w:tcPr>
            <w:tcW w:w="10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(0.9)</w:t>
            </w:r>
          </w:p>
        </w:tc>
        <w:tc>
          <w:tcPr>
            <w:tcW w:w="9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134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(158.5)</w:t>
            </w:r>
          </w:p>
        </w:tc>
        <w:tc>
          <w:tcPr>
            <w:tcW w:w="138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(33.5)</w:t>
            </w:r>
          </w:p>
        </w:tc>
        <w:tc>
          <w:tcPr>
            <w:tcW w:w="0" w:type="dxa"/>
            <w:vAlign w:val="bottom"/>
          </w:tcPr>
          <w:p>
            <w:pPr>
              <w:spacing w:after="0"/>
              <w:rPr>
                <w:sz w:val="1"/>
                <w:szCs w:val="1"/>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generated software - net</w:t>
            </w:r>
          </w:p>
        </w:tc>
        <w:tc>
          <w:tcPr>
            <w:tcW w:w="16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vMerge w:val="restart"/>
          </w:tcPr>
          <w:p>
            <w:pPr>
              <w:spacing w:after="0"/>
              <w:rPr>
                <w:sz w:val="20"/>
                <w:szCs w:val="20"/>
                <w:color w:val="auto"/>
              </w:rPr>
            </w:pPr>
            <w:r>
              <w:rPr>
                <w:rFonts w:ascii="Courier New" w:cs="Courier New" w:eastAsia="Courier New" w:hAnsi="Courier New"/>
                <w:sz w:val="14"/>
                <w:szCs w:val="14"/>
                <w:color w:val="auto"/>
              </w:rPr>
              <w:t>Total cost of revenues</w:t>
            </w:r>
          </w:p>
        </w:tc>
        <w:tc>
          <w:tcPr>
            <w:tcW w:w="1600" w:type="dxa"/>
            <w:vAlign w:val="bottom"/>
            <w:vMerge w:val="restart"/>
          </w:tcPr>
          <w:p>
            <w:pPr>
              <w:ind w:left="220"/>
              <w:spacing w:after="0"/>
              <w:rPr>
                <w:sz w:val="20"/>
                <w:szCs w:val="20"/>
                <w:color w:val="auto"/>
              </w:rPr>
            </w:pPr>
            <w:r>
              <w:rPr>
                <w:rFonts w:ascii="Courier New" w:cs="Courier New" w:eastAsia="Courier New" w:hAnsi="Courier New"/>
                <w:sz w:val="8"/>
                <w:szCs w:val="8"/>
                <w:color w:val="auto"/>
                <w:w w:val="73"/>
              </w:rPr>
              <w:t>-----------------------------------</w:t>
            </w:r>
            <w:r>
              <w:rPr>
                <w:rFonts w:ascii="Courier New" w:cs="Courier New" w:eastAsia="Courier New" w:hAnsi="Courier New"/>
                <w:sz w:val="11"/>
                <w:szCs w:val="11"/>
                <w:color w:val="auto"/>
                <w:w w:val="73"/>
                <w:vertAlign w:val="subscript"/>
              </w:rPr>
              <w:t>84.5</w:t>
            </w:r>
          </w:p>
        </w:tc>
        <w:tc>
          <w:tcPr>
            <w:tcW w:w="1040" w:type="dxa"/>
            <w:vAlign w:val="bottom"/>
            <w:vMerge w:val="restart"/>
          </w:tcPr>
          <w:p>
            <w:pPr>
              <w:jc w:val="right"/>
              <w:ind w:right="528"/>
              <w:spacing w:after="0"/>
              <w:rPr>
                <w:sz w:val="20"/>
                <w:szCs w:val="20"/>
                <w:color w:val="auto"/>
              </w:rPr>
            </w:pPr>
            <w:r>
              <w:rPr>
                <w:rFonts w:ascii="Courier New" w:cs="Courier New" w:eastAsia="Courier New" w:hAnsi="Courier New"/>
                <w:sz w:val="14"/>
                <w:szCs w:val="14"/>
                <w:color w:val="auto"/>
              </w:rPr>
              <w:t>85.3</w:t>
            </w:r>
          </w:p>
        </w:tc>
        <w:tc>
          <w:tcPr>
            <w:tcW w:w="90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87.2</w:t>
            </w: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9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w:t>
            </w:r>
          </w:p>
        </w:tc>
        <w:tc>
          <w:tcPr>
            <w:tcW w:w="0" w:type="dxa"/>
            <w:vAlign w:val="bottom"/>
          </w:tcPr>
          <w:p>
            <w:pPr>
              <w:spacing w:after="0"/>
              <w:rPr>
                <w:sz w:val="1"/>
                <w:szCs w:val="1"/>
                <w:color w:val="auto"/>
              </w:rPr>
            </w:pPr>
          </w:p>
        </w:tc>
      </w:tr>
      <w:tr>
        <w:trPr>
          <w:trHeight w:val="166"/>
        </w:trPr>
        <w:tc>
          <w:tcPr>
            <w:tcW w:w="392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35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19.8</w:t>
            </w:r>
          </w:p>
        </w:tc>
        <w:tc>
          <w:tcPr>
            <w:tcW w:w="13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38.9</w:t>
            </w:r>
          </w:p>
        </w:tc>
        <w:tc>
          <w:tcPr>
            <w:tcW w:w="0" w:type="dxa"/>
            <w:vAlign w:val="bottom"/>
          </w:tcPr>
          <w:p>
            <w:pPr>
              <w:spacing w:after="0"/>
              <w:rPr>
                <w:sz w:val="1"/>
                <w:szCs w:val="1"/>
                <w:color w:val="auto"/>
              </w:rPr>
            </w:pPr>
          </w:p>
        </w:tc>
      </w:tr>
      <w:tr>
        <w:trPr>
          <w:trHeight w:val="166"/>
        </w:trPr>
        <w:tc>
          <w:tcPr>
            <w:tcW w:w="3920" w:type="dxa"/>
            <w:vAlign w:val="bottom"/>
            <w:vMerge w:val="continue"/>
          </w:tcPr>
          <w:p>
            <w:pPr>
              <w:spacing w:after="0"/>
              <w:rPr>
                <w:sz w:val="14"/>
                <w:szCs w:val="14"/>
                <w:color w:val="auto"/>
              </w:rPr>
            </w:pPr>
          </w:p>
        </w:tc>
        <w:tc>
          <w:tcPr>
            <w:tcW w:w="1600" w:type="dxa"/>
            <w:vAlign w:val="bottom"/>
          </w:tcPr>
          <w:p>
            <w:pPr>
              <w:jc w:val="right"/>
              <w:ind w:right="530"/>
              <w:spacing w:after="0"/>
              <w:rPr>
                <w:sz w:val="20"/>
                <w:szCs w:val="20"/>
                <w:color w:val="auto"/>
              </w:rPr>
            </w:pPr>
            <w:r>
              <w:rPr>
                <w:rFonts w:ascii="Courier New" w:cs="Courier New" w:eastAsia="Courier New" w:hAnsi="Courier New"/>
                <w:sz w:val="14"/>
                <w:szCs w:val="14"/>
                <w:color w:val="auto"/>
              </w:rPr>
              <w:t>15.5%</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w:t>
            </w: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vMerge w:val="restart"/>
          </w:tcPr>
          <w:p>
            <w:pPr>
              <w:spacing w:after="0"/>
              <w:rPr>
                <w:sz w:val="20"/>
                <w:szCs w:val="20"/>
                <w:color w:val="auto"/>
              </w:rPr>
            </w:pPr>
            <w:r>
              <w:rPr>
                <w:rFonts w:ascii="Courier New" w:cs="Courier New" w:eastAsia="Courier New" w:hAnsi="Courier New"/>
                <w:sz w:val="14"/>
                <w:szCs w:val="14"/>
                <w:color w:val="auto"/>
              </w:rPr>
              <w:t>Income before income taxes</w:t>
            </w:r>
          </w:p>
        </w:tc>
        <w:tc>
          <w:tcPr>
            <w:tcW w:w="35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23.9</w:t>
            </w:r>
          </w:p>
        </w:tc>
        <w:tc>
          <w:tcPr>
            <w:tcW w:w="13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25.2</w:t>
            </w:r>
          </w:p>
        </w:tc>
        <w:tc>
          <w:tcPr>
            <w:tcW w:w="0" w:type="dxa"/>
            <w:vAlign w:val="bottom"/>
          </w:tcPr>
          <w:p>
            <w:pPr>
              <w:spacing w:after="0"/>
              <w:rPr>
                <w:sz w:val="1"/>
                <w:szCs w:val="1"/>
                <w:color w:val="auto"/>
              </w:rPr>
            </w:pPr>
          </w:p>
        </w:tc>
      </w:tr>
      <w:tr>
        <w:trPr>
          <w:trHeight w:val="166"/>
        </w:trPr>
        <w:tc>
          <w:tcPr>
            <w:tcW w:w="3920" w:type="dxa"/>
            <w:vAlign w:val="bottom"/>
            <w:vMerge w:val="continue"/>
          </w:tcPr>
          <w:p>
            <w:pPr>
              <w:spacing w:after="0"/>
              <w:rPr>
                <w:sz w:val="14"/>
                <w:szCs w:val="14"/>
                <w:color w:val="auto"/>
              </w:rPr>
            </w:pPr>
          </w:p>
        </w:tc>
        <w:tc>
          <w:tcPr>
            <w:tcW w:w="1600" w:type="dxa"/>
            <w:vAlign w:val="bottom"/>
          </w:tcPr>
          <w:p>
            <w:pPr>
              <w:jc w:val="right"/>
              <w:ind w:right="530"/>
              <w:spacing w:after="0"/>
              <w:rPr>
                <w:sz w:val="20"/>
                <w:szCs w:val="20"/>
                <w:color w:val="auto"/>
              </w:rPr>
            </w:pPr>
            <w:r>
              <w:rPr>
                <w:rFonts w:ascii="Courier New" w:cs="Courier New" w:eastAsia="Courier New" w:hAnsi="Courier New"/>
                <w:sz w:val="14"/>
                <w:szCs w:val="14"/>
                <w:color w:val="auto"/>
              </w:rPr>
              <w:t>13.1%</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w:t>
            </w: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2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w:t>
            </w:r>
          </w:p>
        </w:tc>
        <w:tc>
          <w:tcPr>
            <w:tcW w:w="35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134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23.9</w:t>
            </w:r>
          </w:p>
        </w:tc>
        <w:tc>
          <w:tcPr>
            <w:tcW w:w="13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23.2</w:t>
            </w:r>
          </w:p>
        </w:tc>
        <w:tc>
          <w:tcPr>
            <w:tcW w:w="0" w:type="dxa"/>
            <w:vAlign w:val="bottom"/>
          </w:tcPr>
          <w:p>
            <w:pPr>
              <w:spacing w:after="0"/>
              <w:rPr>
                <w:sz w:val="1"/>
                <w:szCs w:val="1"/>
                <w:color w:val="auto"/>
              </w:rPr>
            </w:pPr>
          </w:p>
        </w:tc>
      </w:tr>
      <w:tr>
        <w:trPr>
          <w:trHeight w:val="166"/>
        </w:trPr>
        <w:tc>
          <w:tcPr>
            <w:tcW w:w="3920" w:type="dxa"/>
            <w:vAlign w:val="bottom"/>
            <w:vMerge w:val="continue"/>
          </w:tcPr>
          <w:p>
            <w:pPr>
              <w:spacing w:after="0"/>
              <w:rPr>
                <w:sz w:val="14"/>
                <w:szCs w:val="14"/>
                <w:color w:val="auto"/>
              </w:rPr>
            </w:pPr>
          </w:p>
        </w:tc>
        <w:tc>
          <w:tcPr>
            <w:tcW w:w="1600" w:type="dxa"/>
            <w:vAlign w:val="bottom"/>
          </w:tcPr>
          <w:p>
            <w:pPr>
              <w:jc w:val="right"/>
              <w:ind w:right="530"/>
              <w:spacing w:after="0"/>
              <w:rPr>
                <w:sz w:val="20"/>
                <w:szCs w:val="20"/>
                <w:color w:val="auto"/>
              </w:rPr>
            </w:pPr>
            <w:r>
              <w:rPr>
                <w:rFonts w:ascii="Courier New" w:cs="Courier New" w:eastAsia="Courier New" w:hAnsi="Courier New"/>
                <w:sz w:val="14"/>
                <w:szCs w:val="14"/>
                <w:color w:val="auto"/>
              </w:rPr>
              <w:t>7.7%</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w:t>
            </w: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1"/>
                <w:szCs w:val="21"/>
                <w:color w:val="auto"/>
              </w:rPr>
            </w:pPr>
          </w:p>
        </w:tc>
        <w:tc>
          <w:tcPr>
            <w:tcW w:w="35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right="3339"/>
        <w:spacing w:after="0" w:line="313" w:lineRule="auto"/>
        <w:rPr>
          <w:sz w:val="20"/>
          <w:szCs w:val="20"/>
          <w:color w:val="auto"/>
        </w:rPr>
      </w:pPr>
      <w:r>
        <w:rPr>
          <w:rFonts w:ascii="Courier New" w:cs="Courier New" w:eastAsia="Courier New" w:hAnsi="Courier New"/>
          <w:sz w:val="14"/>
          <w:szCs w:val="14"/>
          <w:color w:val="auto"/>
        </w:rPr>
        <w:t>The following discussion is based upon the accompanying supplemental schedule which excludes certain charges to 1995 operations associated with the acquisition of Information Technology, Inc. aggregating $182.9 million.</w:t>
      </w:r>
    </w:p>
    <w:p>
      <w:pPr>
        <w:spacing w:after="0" w:line="42" w:lineRule="exact"/>
        <w:rPr>
          <w:sz w:val="20"/>
          <w:szCs w:val="20"/>
          <w:color w:val="auto"/>
        </w:rPr>
      </w:pPr>
    </w:p>
    <w:p>
      <w:pPr>
        <w:jc w:val="both"/>
        <w:ind w:right="3339"/>
        <w:spacing w:after="0" w:line="275" w:lineRule="auto"/>
        <w:rPr>
          <w:sz w:val="20"/>
          <w:szCs w:val="20"/>
          <w:color w:val="auto"/>
        </w:rPr>
      </w:pPr>
      <w:r>
        <w:rPr>
          <w:rFonts w:ascii="Courier New" w:cs="Courier New" w:eastAsia="Courier New" w:hAnsi="Courier New"/>
          <w:sz w:val="14"/>
          <w:szCs w:val="14"/>
          <w:color w:val="auto"/>
        </w:rPr>
        <w:t>Revenues increased $94,888,000 in 1996 and $123,541,000 in 1995. In both years, approximately 55% of the growth resulted from the inclusion of revenues from the date of purchase of acquired businesses as set forth in Note 2 to the financial statements and the balance in each year from the net addition of new clients, growth in the transaction volume experienced by existing clients and price increases.</w:t>
      </w:r>
    </w:p>
    <w:p>
      <w:pPr>
        <w:spacing w:after="0" w:line="69" w:lineRule="exact"/>
        <w:rPr>
          <w:sz w:val="20"/>
          <w:szCs w:val="20"/>
          <w:color w:val="auto"/>
        </w:rPr>
      </w:pPr>
    </w:p>
    <w:p>
      <w:pPr>
        <w:jc w:val="both"/>
        <w:ind w:right="3339"/>
        <w:spacing w:after="0" w:line="271" w:lineRule="auto"/>
        <w:rPr>
          <w:sz w:val="20"/>
          <w:szCs w:val="20"/>
          <w:color w:val="auto"/>
        </w:rPr>
      </w:pPr>
      <w:r>
        <w:rPr>
          <w:rFonts w:ascii="Courier New" w:cs="Courier New" w:eastAsia="Courier New" w:hAnsi="Courier New"/>
          <w:sz w:val="14"/>
          <w:szCs w:val="14"/>
          <w:color w:val="auto"/>
        </w:rPr>
        <w:t>Cost of revenues increased $74,430,000 in 1996 and $94,658,000 in 1995. As a percentage of revenues, cost of revenues decreased .8% from 1995 to 1996 and 1.9% from 1994 to 1995. The make up of cost of revenues has been significantly affected in both years by business acquisitions and by changes in the mix of the Company's business as sales of software and related support activities and item processing and electronic funds transfer operations have enjoyed an increasing percentage of total revenues.</w:t>
      </w:r>
    </w:p>
    <w:p>
      <w:pPr>
        <w:spacing w:after="0" w:line="72" w:lineRule="exact"/>
        <w:rPr>
          <w:sz w:val="20"/>
          <w:szCs w:val="20"/>
          <w:color w:val="auto"/>
        </w:rPr>
      </w:pPr>
    </w:p>
    <w:p>
      <w:pPr>
        <w:jc w:val="both"/>
        <w:ind w:right="3339"/>
        <w:spacing w:after="0" w:line="275" w:lineRule="auto"/>
        <w:rPr>
          <w:sz w:val="20"/>
          <w:szCs w:val="20"/>
          <w:color w:val="auto"/>
        </w:rPr>
      </w:pPr>
      <w:r>
        <w:rPr>
          <w:rFonts w:ascii="Courier New" w:cs="Courier New" w:eastAsia="Courier New" w:hAnsi="Courier New"/>
          <w:sz w:val="14"/>
          <w:szCs w:val="14"/>
          <w:color w:val="auto"/>
        </w:rPr>
        <w:t>A significant portion of the purchase price of the Company's acquisitions has been allocated to intangible assets, such as client contracts, computer software, non-competition agreements and goodwill, which are being amortized over time, generally three to 40 years. Amortization of these costs increased $5,021,000 from 1995 to 1996 and $5,116,000 from 1994 to 1995. As a percentage of revenues, these costs also increased in both years.</w:t>
      </w:r>
    </w:p>
    <w:p>
      <w:pPr>
        <w:spacing w:after="0" w:line="69" w:lineRule="exact"/>
        <w:rPr>
          <w:sz w:val="20"/>
          <w:szCs w:val="20"/>
          <w:color w:val="auto"/>
        </w:rPr>
      </w:pPr>
    </w:p>
    <w:p>
      <w:pPr>
        <w:jc w:val="both"/>
        <w:ind w:right="3339"/>
        <w:spacing w:after="0" w:line="282" w:lineRule="auto"/>
        <w:rPr>
          <w:sz w:val="20"/>
          <w:szCs w:val="20"/>
          <w:color w:val="auto"/>
        </w:rPr>
      </w:pPr>
      <w:r>
        <w:rPr>
          <w:rFonts w:ascii="Courier New" w:cs="Courier New" w:eastAsia="Courier New" w:hAnsi="Courier New"/>
          <w:sz w:val="14"/>
          <w:szCs w:val="14"/>
          <w:color w:val="auto"/>
        </w:rPr>
        <w:t>Capitalization of internally generated computer software is stated net of amortization and decreased $3,217,000 in 1995 and $10,114,000 in 1996. Net software capitalized was more than offset by amortization in 1996 due to the accelerated amortization of software resulting from the planned consolidation of certain product lines.</w:t>
      </w:r>
    </w:p>
    <w:p>
      <w:pPr>
        <w:spacing w:after="0" w:line="62" w:lineRule="exact"/>
        <w:rPr>
          <w:sz w:val="20"/>
          <w:szCs w:val="20"/>
          <w:color w:val="auto"/>
        </w:rPr>
      </w:pPr>
    </w:p>
    <w:p>
      <w:pPr>
        <w:jc w:val="both"/>
        <w:ind w:right="3339"/>
        <w:spacing w:after="0" w:line="375" w:lineRule="auto"/>
        <w:rPr>
          <w:sz w:val="20"/>
          <w:szCs w:val="20"/>
          <w:color w:val="auto"/>
        </w:rPr>
      </w:pPr>
      <w:r>
        <w:rPr>
          <w:rFonts w:ascii="Courier New" w:cs="Courier New" w:eastAsia="Courier New" w:hAnsi="Courier New"/>
          <w:sz w:val="14"/>
          <w:szCs w:val="14"/>
          <w:color w:val="auto"/>
        </w:rPr>
        <w:t>Operating income increased $20,458,000 in 1996 and $28,883,000 in 1995. As a percentage of revenues, operating income increased .8% in 1996 and 1.9% in 1995.</w:t>
      </w:r>
    </w:p>
    <w:p>
      <w:pPr>
        <w:spacing w:after="0" w:line="1" w:lineRule="exact"/>
        <w:rPr>
          <w:sz w:val="20"/>
          <w:szCs w:val="20"/>
          <w:color w:val="auto"/>
        </w:rPr>
      </w:pPr>
    </w:p>
    <w:p>
      <w:pPr>
        <w:jc w:val="both"/>
        <w:ind w:right="3339"/>
        <w:spacing w:after="0" w:line="299" w:lineRule="auto"/>
        <w:rPr>
          <w:sz w:val="20"/>
          <w:szCs w:val="20"/>
          <w:color w:val="auto"/>
        </w:rPr>
      </w:pPr>
      <w:r>
        <w:rPr>
          <w:rFonts w:ascii="Courier New" w:cs="Courier New" w:eastAsia="Courier New" w:hAnsi="Courier New"/>
          <w:sz w:val="14"/>
          <w:szCs w:val="14"/>
          <w:color w:val="auto"/>
        </w:rPr>
        <w:t>The effective income tax rate was 41% in 1996 and 1995 and 40% in 1994. The trend to higher income tax rates results from net increases in non-deductible permanent differences. The effective income tax rate for 1997 is expected to remain at 41%.</w:t>
      </w:r>
    </w:p>
    <w:p>
      <w:pPr>
        <w:spacing w:after="0" w:line="235" w:lineRule="exact"/>
        <w:rPr>
          <w:sz w:val="20"/>
          <w:szCs w:val="20"/>
          <w:color w:val="auto"/>
        </w:rPr>
      </w:pPr>
    </w:p>
    <w:p>
      <w:pPr>
        <w:jc w:val="both"/>
        <w:ind w:right="3339"/>
        <w:spacing w:after="0" w:line="266" w:lineRule="auto"/>
        <w:rPr>
          <w:sz w:val="20"/>
          <w:szCs w:val="20"/>
          <w:color w:val="auto"/>
        </w:rPr>
      </w:pPr>
      <w:r>
        <w:rPr>
          <w:rFonts w:ascii="Courier New" w:cs="Courier New" w:eastAsia="Courier New" w:hAnsi="Courier New"/>
          <w:sz w:val="14"/>
          <w:szCs w:val="14"/>
          <w:color w:val="auto"/>
        </w:rPr>
        <w:t>The Company's growth has been largely accomplished through the acquisition of entities engaged in businesses which are complementary to its operations. Management believes that a number of acquisition candidates are available which would further enhance its competitive position and plans to pursue them vigorously. Management is engaged in an ongoing program to reduce expenses related to acquisitions by eliminating operating redundancies. The Company's approach has been to move slowly in achieving this goal in order to minimize the amount of disruption experienced by its clients and the potential loss of clients due to this program.</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 SUPPLEMENTAL SCHEDULE</w:t>
      </w:r>
    </w:p>
    <w:p>
      <w:pPr>
        <w:sectPr>
          <w:pgSz w:w="11900" w:h="16851" w:orient="portrait"/>
          <w:cols w:equalWidth="0" w:num="1">
            <w:col w:w="10239"/>
          </w:cols>
          <w:pgMar w:left="220" w:top="756" w:right="1440" w:bottom="0" w:gutter="0" w:footer="0" w:header="0"/>
        </w:sectPr>
      </w:pPr>
    </w:p>
    <w:bookmarkStart w:id="20" w:name="page21"/>
    <w:bookmarkEnd w:id="20"/>
    <w:p>
      <w:pPr>
        <w:spacing w:after="0" w:line="180" w:lineRule="auto"/>
        <w:framePr w:w="760" w:h="120" w:wrap="auto" w:vAnchor="page" w:hAnchor="page" w:x="3900" w:y="12399"/>
        <w:rPr>
          <w:rFonts w:ascii="Courier New" w:cs="Courier New" w:eastAsia="Courier New" w:hAnsi="Courier New"/>
          <w:sz w:val="14"/>
          <w:szCs w:val="14"/>
          <w:color w:val="auto"/>
        </w:rPr>
      </w:pPr>
      <w:r>
        <w:rPr>
          <w:rFonts w:ascii="Courier New" w:cs="Courier New" w:eastAsia="Courier New" w:hAnsi="Courier New"/>
          <w:sz w:val="14"/>
          <w:szCs w:val="14"/>
          <w:color w:val="auto"/>
        </w:rPr>
        <w:t>$148,900</w:t>
      </w:r>
    </w:p>
    <w:p>
      <w:pPr>
        <w:spacing w:after="0" w:line="180" w:lineRule="auto"/>
        <w:framePr w:w="680" w:h="120" w:wrap="auto" w:vAnchor="page" w:hAnchor="page" w:x="5180" w:y="12399"/>
        <w:rPr>
          <w:rFonts w:ascii="Courier New" w:cs="Courier New" w:eastAsia="Courier New" w:hAnsi="Courier New"/>
          <w:sz w:val="14"/>
          <w:szCs w:val="14"/>
          <w:color w:val="auto"/>
        </w:rPr>
      </w:pPr>
      <w:r>
        <w:rPr>
          <w:rFonts w:ascii="Courier New" w:cs="Courier New" w:eastAsia="Courier New" w:hAnsi="Courier New"/>
          <w:sz w:val="14"/>
          <w:szCs w:val="14"/>
          <w:color w:val="auto"/>
        </w:rPr>
        <w:t>$88,606</w:t>
      </w:r>
    </w:p>
    <w:p>
      <w:pPr>
        <w:spacing w:after="0" w:line="180" w:lineRule="auto"/>
        <w:framePr w:w="680" w:h="120" w:wrap="auto" w:vAnchor="page" w:hAnchor="page" w:x="6300" w:y="12399"/>
        <w:rPr>
          <w:rFonts w:ascii="Courier New" w:cs="Courier New" w:eastAsia="Courier New" w:hAnsi="Courier New"/>
          <w:sz w:val="14"/>
          <w:szCs w:val="14"/>
          <w:color w:val="auto"/>
        </w:rPr>
      </w:pPr>
      <w:r>
        <w:rPr>
          <w:rFonts w:ascii="Courier New" w:cs="Courier New" w:eastAsia="Courier New" w:hAnsi="Courier New"/>
          <w:sz w:val="14"/>
          <w:szCs w:val="14"/>
          <w:color w:val="auto"/>
        </w:rPr>
        <w:t>$67,283</w:t>
      </w:r>
    </w:p>
    <w:p>
      <w:pPr>
        <w:spacing w:after="0" w:line="180" w:lineRule="auto"/>
        <w:framePr w:w="500" w:h="120" w:wrap="auto" w:vAnchor="page" w:hAnchor="page" w:x="4160" w:y="12565"/>
        <w:rPr>
          <w:rFonts w:ascii="Courier New" w:cs="Courier New" w:eastAsia="Courier New" w:hAnsi="Courier New"/>
          <w:sz w:val="14"/>
          <w:szCs w:val="14"/>
          <w:color w:val="auto"/>
        </w:rPr>
      </w:pPr>
      <w:r>
        <w:rPr>
          <w:rFonts w:ascii="Courier New" w:cs="Courier New" w:eastAsia="Courier New" w:hAnsi="Courier New"/>
          <w:sz w:val="14"/>
          <w:szCs w:val="14"/>
          <w:color w:val="auto"/>
        </w:rPr>
        <w:t>4,896</w:t>
      </w:r>
    </w:p>
    <w:p>
      <w:pPr>
        <w:spacing w:after="0" w:line="180" w:lineRule="auto"/>
        <w:framePr w:w="340" w:h="120" w:wrap="auto" w:vAnchor="page" w:hAnchor="page" w:x="5520" w:y="12565"/>
        <w:rPr>
          <w:rFonts w:ascii="Courier New" w:cs="Courier New" w:eastAsia="Courier New" w:hAnsi="Courier New"/>
          <w:sz w:val="14"/>
          <w:szCs w:val="14"/>
          <w:color w:val="auto"/>
        </w:rPr>
      </w:pPr>
      <w:r>
        <w:rPr>
          <w:rFonts w:ascii="Courier New" w:cs="Courier New" w:eastAsia="Courier New" w:hAnsi="Courier New"/>
          <w:sz w:val="14"/>
          <w:szCs w:val="14"/>
          <w:color w:val="auto"/>
        </w:rPr>
        <w:t>638</w:t>
      </w:r>
    </w:p>
    <w:p>
      <w:pPr>
        <w:spacing w:after="0" w:line="180" w:lineRule="auto"/>
        <w:framePr w:w="500" w:h="120" w:wrap="auto" w:vAnchor="page" w:hAnchor="page" w:x="6480" w:y="12565"/>
        <w:rPr>
          <w:rFonts w:ascii="Courier New" w:cs="Courier New" w:eastAsia="Courier New" w:hAnsi="Courier New"/>
          <w:sz w:val="14"/>
          <w:szCs w:val="14"/>
          <w:color w:val="auto"/>
        </w:rPr>
      </w:pPr>
      <w:r>
        <w:rPr>
          <w:rFonts w:ascii="Courier New" w:cs="Courier New" w:eastAsia="Courier New" w:hAnsi="Courier New"/>
          <w:sz w:val="14"/>
          <w:szCs w:val="14"/>
          <w:color w:val="auto"/>
        </w:rPr>
        <w:t>1,918</w:t>
      </w:r>
    </w:p>
    <w:p>
      <w:pPr>
        <w:spacing w:after="0" w:line="180" w:lineRule="auto"/>
        <w:framePr w:w="600" w:h="120" w:wrap="auto" w:vAnchor="page" w:hAnchor="page" w:x="4060" w:y="12731"/>
        <w:rPr>
          <w:rFonts w:ascii="Courier New" w:cs="Courier New" w:eastAsia="Courier New" w:hAnsi="Courier New"/>
          <w:sz w:val="14"/>
          <w:szCs w:val="14"/>
          <w:color w:val="auto"/>
        </w:rPr>
      </w:pPr>
      <w:r>
        <w:rPr>
          <w:rFonts w:ascii="Courier New" w:cs="Courier New" w:eastAsia="Courier New" w:hAnsi="Courier New"/>
          <w:sz w:val="14"/>
          <w:szCs w:val="14"/>
          <w:color w:val="auto"/>
        </w:rPr>
        <w:t>22,416</w:t>
      </w:r>
    </w:p>
    <w:p>
      <w:pPr>
        <w:spacing w:after="0" w:line="180" w:lineRule="auto"/>
        <w:framePr w:w="580" w:h="120" w:wrap="auto" w:vAnchor="page" w:hAnchor="page" w:x="5280" w:y="12731"/>
        <w:rPr>
          <w:rFonts w:ascii="Courier New" w:cs="Courier New" w:eastAsia="Courier New" w:hAnsi="Courier New"/>
          <w:sz w:val="14"/>
          <w:szCs w:val="14"/>
          <w:color w:val="auto"/>
        </w:rPr>
      </w:pPr>
      <w:r>
        <w:rPr>
          <w:rFonts w:ascii="Courier New" w:cs="Courier New" w:eastAsia="Courier New" w:hAnsi="Courier New"/>
          <w:sz w:val="14"/>
          <w:szCs w:val="14"/>
          <w:color w:val="auto"/>
        </w:rPr>
        <w:t>12,265</w:t>
      </w:r>
    </w:p>
    <w:p>
      <w:pPr>
        <w:spacing w:after="0" w:line="180" w:lineRule="auto"/>
        <w:framePr w:w="780" w:h="120" w:wrap="auto" w:vAnchor="page" w:hAnchor="page" w:x="6300" w:y="12731"/>
        <w:rPr>
          <w:rFonts w:ascii="Courier New" w:cs="Courier New" w:eastAsia="Courier New" w:hAnsi="Courier New"/>
          <w:sz w:val="14"/>
          <w:szCs w:val="14"/>
          <w:color w:val="auto"/>
        </w:rPr>
      </w:pPr>
      <w:r>
        <w:rPr>
          <w:rFonts w:ascii="Courier New" w:cs="Courier New" w:eastAsia="Courier New" w:hAnsi="Courier New"/>
          <w:sz w:val="14"/>
          <w:szCs w:val="14"/>
          <w:color w:val="auto"/>
        </w:rPr>
        <w:t>(28,575)</w:t>
      </w:r>
    </w:p>
    <w:p>
      <w:pPr>
        <w:spacing w:after="0" w:line="194" w:lineRule="auto"/>
        <w:framePr w:w="840" w:h="120" w:wrap="auto" w:vAnchor="page" w:hAnchor="page" w:x="3900" w:y="12896"/>
        <w:rPr>
          <w:rFonts w:ascii="Courier New" w:cs="Courier New" w:eastAsia="Courier New" w:hAnsi="Courier New"/>
          <w:sz w:val="14"/>
          <w:szCs w:val="14"/>
          <w:color w:val="auto"/>
        </w:rPr>
      </w:pPr>
      <w:r>
        <w:rPr>
          <w:rFonts w:ascii="Courier New" w:cs="Courier New" w:eastAsia="Courier New" w:hAnsi="Courier New"/>
          <w:sz w:val="14"/>
          <w:szCs w:val="14"/>
          <w:color w:val="auto"/>
        </w:rPr>
        <w:t>(110,940)</w:t>
      </w:r>
    </w:p>
    <w:p>
      <w:pPr>
        <w:spacing w:after="0" w:line="194" w:lineRule="auto"/>
        <w:framePr w:w="680" w:h="120" w:wrap="auto" w:vAnchor="page" w:hAnchor="page" w:x="5180" w:y="12896"/>
        <w:rPr>
          <w:rFonts w:ascii="Courier New" w:cs="Courier New" w:eastAsia="Courier New" w:hAnsi="Courier New"/>
          <w:sz w:val="14"/>
          <w:szCs w:val="14"/>
          <w:color w:val="auto"/>
        </w:rPr>
      </w:pPr>
      <w:r>
        <w:rPr>
          <w:rFonts w:ascii="Courier New" w:cs="Courier New" w:eastAsia="Courier New" w:hAnsi="Courier New"/>
          <w:sz w:val="14"/>
          <w:szCs w:val="14"/>
          <w:color w:val="auto"/>
        </w:rPr>
        <w:t>231,827</w:t>
      </w:r>
    </w:p>
    <w:p>
      <w:pPr>
        <w:spacing w:after="0" w:line="194" w:lineRule="auto"/>
        <w:framePr w:w="580" w:h="120" w:wrap="auto" w:vAnchor="page" w:hAnchor="page" w:x="6400" w:y="12896"/>
        <w:rPr>
          <w:rFonts w:ascii="Courier New" w:cs="Courier New" w:eastAsia="Courier New" w:hAnsi="Courier New"/>
          <w:sz w:val="13"/>
          <w:szCs w:val="13"/>
          <w:color w:val="auto"/>
        </w:rPr>
      </w:pPr>
      <w:r>
        <w:rPr>
          <w:rFonts w:ascii="Courier New" w:cs="Courier New" w:eastAsia="Courier New" w:hAnsi="Courier New"/>
          <w:sz w:val="13"/>
          <w:szCs w:val="13"/>
          <w:color w:val="auto"/>
        </w:rPr>
        <w:t>26,445</w:t>
      </w:r>
    </w:p>
    <w:p>
      <w:pPr>
        <w:spacing w:after="0" w:line="180" w:lineRule="auto"/>
        <w:framePr w:w="3360" w:h="120" w:wrap="auto" w:vAnchor="page" w:hAnchor="page" w:x="3800" w:y="13062"/>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auto"/>
        <w:framePr w:w="680" w:h="120" w:wrap="auto" w:vAnchor="page" w:hAnchor="page" w:x="3980" w:y="13227"/>
        <w:rPr>
          <w:rFonts w:ascii="Courier New" w:cs="Courier New" w:eastAsia="Courier New" w:hAnsi="Courier New"/>
          <w:sz w:val="14"/>
          <w:szCs w:val="14"/>
          <w:color w:val="auto"/>
        </w:rPr>
      </w:pPr>
      <w:r>
        <w:rPr>
          <w:rFonts w:ascii="Courier New" w:cs="Courier New" w:eastAsia="Courier New" w:hAnsi="Courier New"/>
          <w:sz w:val="14"/>
          <w:szCs w:val="14"/>
          <w:color w:val="auto"/>
        </w:rPr>
        <w:t>$65,272</w:t>
      </w:r>
    </w:p>
    <w:p>
      <w:pPr>
        <w:spacing w:after="0" w:line="180" w:lineRule="auto"/>
        <w:framePr w:w="760" w:h="120" w:wrap="auto" w:vAnchor="page" w:hAnchor="page" w:x="5100" w:y="13227"/>
        <w:rPr>
          <w:rFonts w:ascii="Courier New" w:cs="Courier New" w:eastAsia="Courier New" w:hAnsi="Courier New"/>
          <w:sz w:val="14"/>
          <w:szCs w:val="14"/>
          <w:color w:val="auto"/>
        </w:rPr>
      </w:pPr>
      <w:r>
        <w:rPr>
          <w:rFonts w:ascii="Courier New" w:cs="Courier New" w:eastAsia="Courier New" w:hAnsi="Courier New"/>
          <w:sz w:val="14"/>
          <w:szCs w:val="14"/>
          <w:color w:val="auto"/>
        </w:rPr>
        <w:t>$333,336</w:t>
      </w:r>
    </w:p>
    <w:p>
      <w:pPr>
        <w:spacing w:after="0" w:line="180" w:lineRule="auto"/>
        <w:framePr w:w="680" w:h="120" w:wrap="auto" w:vAnchor="page" w:hAnchor="page" w:x="6300" w:y="13227"/>
        <w:rPr>
          <w:rFonts w:ascii="Courier New" w:cs="Courier New" w:eastAsia="Courier New" w:hAnsi="Courier New"/>
          <w:sz w:val="14"/>
          <w:szCs w:val="14"/>
          <w:color w:val="auto"/>
        </w:rPr>
      </w:pPr>
      <w:r>
        <w:rPr>
          <w:rFonts w:ascii="Courier New" w:cs="Courier New" w:eastAsia="Courier New" w:hAnsi="Courier New"/>
          <w:sz w:val="14"/>
          <w:szCs w:val="14"/>
          <w:color w:val="auto"/>
        </w:rPr>
        <w:t>$67,071</w:t>
      </w:r>
    </w:p>
    <w:p>
      <w:pPr>
        <w:spacing w:after="0" w:line="180" w:lineRule="auto"/>
        <w:framePr w:w="3360" w:h="120" w:wrap="auto" w:vAnchor="page" w:hAnchor="page" w:x="3800" w:y="13393"/>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auto"/>
        <w:framePr w:w="420" w:h="120" w:wrap="auto" w:vAnchor="page" w:hAnchor="page" w:x="4240" w:y="11902"/>
        <w:rPr>
          <w:rFonts w:ascii="Courier New" w:cs="Courier New" w:eastAsia="Courier New" w:hAnsi="Courier New"/>
          <w:sz w:val="14"/>
          <w:szCs w:val="14"/>
          <w:color w:val="auto"/>
        </w:rPr>
      </w:pPr>
      <w:r>
        <w:rPr>
          <w:rFonts w:ascii="Courier New" w:cs="Courier New" w:eastAsia="Courier New" w:hAnsi="Courier New"/>
          <w:sz w:val="14"/>
          <w:szCs w:val="14"/>
          <w:color w:val="auto"/>
        </w:rPr>
        <w:t>1996</w:t>
      </w:r>
    </w:p>
    <w:p>
      <w:pPr>
        <w:spacing w:after="0" w:line="180" w:lineRule="auto"/>
        <w:framePr w:w="420" w:h="120" w:wrap="auto" w:vAnchor="page" w:hAnchor="page" w:x="5440" w:y="11902"/>
        <w:rPr>
          <w:rFonts w:ascii="Courier New" w:cs="Courier New" w:eastAsia="Courier New" w:hAnsi="Courier New"/>
          <w:sz w:val="14"/>
          <w:szCs w:val="14"/>
          <w:color w:val="auto"/>
        </w:rPr>
      </w:pPr>
      <w:r>
        <w:rPr>
          <w:rFonts w:ascii="Courier New" w:cs="Courier New" w:eastAsia="Courier New" w:hAnsi="Courier New"/>
          <w:sz w:val="14"/>
          <w:szCs w:val="14"/>
          <w:color w:val="auto"/>
        </w:rPr>
        <w:t>1995</w:t>
      </w:r>
    </w:p>
    <w:p>
      <w:pPr>
        <w:spacing w:after="0" w:line="180" w:lineRule="auto"/>
        <w:framePr w:w="420" w:h="120" w:wrap="auto" w:vAnchor="page" w:hAnchor="page" w:x="6560" w:y="11902"/>
        <w:rPr>
          <w:rFonts w:ascii="Courier New" w:cs="Courier New" w:eastAsia="Courier New" w:hAnsi="Courier New"/>
          <w:sz w:val="14"/>
          <w:szCs w:val="14"/>
          <w:color w:val="auto"/>
        </w:rPr>
      </w:pPr>
      <w:r>
        <w:rPr>
          <w:rFonts w:ascii="Courier New" w:cs="Courier New" w:eastAsia="Courier New" w:hAnsi="Courier New"/>
          <w:sz w:val="14"/>
          <w:szCs w:val="14"/>
          <w:color w:val="auto"/>
        </w:rPr>
        <w:t>1994</w:t>
      </w:r>
    </w:p>
    <w:p>
      <w:pPr>
        <w:spacing w:after="0" w:line="180" w:lineRule="auto"/>
        <w:framePr w:w="3360" w:h="120" w:wrap="auto" w:vAnchor="page" w:hAnchor="page" w:x="3800" w:y="12068"/>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tbl>
      <w:tblPr>
        <w:tblLayout w:type="fixed"/>
        <w:tblInd w:w="0" w:type="dxa"/>
        <w:tblCellMar>
          <w:top w:w="0" w:type="dxa"/>
          <w:left w:w="0" w:type="dxa"/>
          <w:bottom w:w="0" w:type="dxa"/>
          <w:right w:w="0" w:type="dxa"/>
        </w:tblCellMar>
      </w:tblPr>
      <w:tr>
        <w:trPr>
          <w:trHeight w:val="242"/>
        </w:trPr>
        <w:tc>
          <w:tcPr>
            <w:tcW w:w="3760" w:type="dxa"/>
            <w:vAlign w:val="bottom"/>
          </w:tcPr>
          <w:p>
            <w:pPr>
              <w:spacing w:after="0"/>
              <w:rPr>
                <w:sz w:val="20"/>
                <w:szCs w:val="20"/>
                <w:color w:val="auto"/>
              </w:rPr>
            </w:pPr>
            <w:r>
              <w:rPr>
                <w:rFonts w:ascii="Courier New" w:cs="Courier New" w:eastAsia="Courier New" w:hAnsi="Courier New"/>
                <w:sz w:val="14"/>
                <w:szCs w:val="14"/>
                <w:color w:val="auto"/>
              </w:rPr>
              <w:t>(Unaudited)</w:t>
            </w:r>
          </w:p>
        </w:tc>
        <w:tc>
          <w:tcPr>
            <w:tcW w:w="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9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94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$798,268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$703,380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$579,839</w:t>
            </w: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376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9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Salaries, commissions and payroll</w:t>
            </w:r>
          </w:p>
        </w:tc>
        <w:tc>
          <w:tcPr>
            <w:tcW w:w="9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371,526</w:t>
            </w:r>
          </w:p>
        </w:tc>
        <w:tc>
          <w:tcPr>
            <w:tcW w:w="12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330,845</w:t>
            </w: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281,651</w:t>
            </w: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related costs</w:t>
            </w:r>
          </w:p>
        </w:tc>
        <w:tc>
          <w:tcPr>
            <w:tcW w:w="9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Data processing expenses, rentals and</w:t>
            </w:r>
          </w:p>
        </w:tc>
        <w:tc>
          <w:tcPr>
            <w:tcW w:w="9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90,919</w:t>
            </w:r>
          </w:p>
        </w:tc>
        <w:tc>
          <w:tcPr>
            <w:tcW w:w="12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95,798</w:t>
            </w: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81,320</w:t>
            </w: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telecommunication costs</w:t>
            </w:r>
          </w:p>
        </w:tc>
        <w:tc>
          <w:tcPr>
            <w:tcW w:w="9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operating expenses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145,230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125,498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109,975</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of</w:t>
            </w:r>
          </w:p>
        </w:tc>
        <w:tc>
          <w:tcPr>
            <w:tcW w:w="9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42,241</w:t>
            </w:r>
          </w:p>
        </w:tc>
        <w:tc>
          <w:tcPr>
            <w:tcW w:w="12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38,480</w:t>
            </w: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31,350</w:t>
            </w: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property and equipment</w:t>
            </w:r>
          </w:p>
        </w:tc>
        <w:tc>
          <w:tcPr>
            <w:tcW w:w="9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20,983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15,962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10,846</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Amortization (capitalization) of internally</w:t>
            </w:r>
          </w:p>
        </w:tc>
        <w:tc>
          <w:tcPr>
            <w:tcW w:w="9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3,732</w:t>
            </w:r>
          </w:p>
        </w:tc>
        <w:tc>
          <w:tcPr>
            <w:tcW w:w="120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rPr>
              <w:t>(6,382)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(9,599)</w:t>
            </w: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generated computer software - net</w:t>
            </w:r>
          </w:p>
        </w:tc>
        <w:tc>
          <w:tcPr>
            <w:tcW w:w="9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60" w:type="dxa"/>
            <w:vAlign w:val="bottom"/>
            <w:vMerge w:val="restart"/>
          </w:tcPr>
          <w:p>
            <w:pPr>
              <w:spacing w:after="0"/>
              <w:rPr>
                <w:sz w:val="20"/>
                <w:szCs w:val="20"/>
                <w:color w:val="auto"/>
              </w:rPr>
            </w:pPr>
            <w:r>
              <w:rPr>
                <w:rFonts w:ascii="Courier New" w:cs="Courier New" w:eastAsia="Courier New" w:hAnsi="Courier New"/>
                <w:sz w:val="14"/>
                <w:szCs w:val="14"/>
                <w:color w:val="auto"/>
              </w:rPr>
              <w:t>TOTAL</w:t>
            </w: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760" w:type="dxa"/>
            <w:vAlign w:val="bottom"/>
            <w:vMerge w:val="continue"/>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674,631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600,201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505,543</w:t>
            </w:r>
          </w:p>
        </w:tc>
        <w:tc>
          <w:tcPr>
            <w:tcW w:w="0" w:type="dxa"/>
            <w:vAlign w:val="bottom"/>
          </w:tcPr>
          <w:p>
            <w:pPr>
              <w:spacing w:after="0"/>
              <w:rPr>
                <w:sz w:val="1"/>
                <w:szCs w:val="1"/>
                <w:color w:val="auto"/>
              </w:rPr>
            </w:pPr>
          </w:p>
        </w:tc>
      </w:tr>
      <w:tr>
        <w:trPr>
          <w:trHeight w:val="166"/>
        </w:trPr>
        <w:tc>
          <w:tcPr>
            <w:tcW w:w="3760" w:type="dxa"/>
            <w:vAlign w:val="bottom"/>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760" w:type="dxa"/>
            <w:vAlign w:val="bottom"/>
            <w:vMerge w:val="continue"/>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123,637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103,179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74,296</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expense - net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19,088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18,822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6,951</w:t>
            </w:r>
          </w:p>
        </w:tc>
        <w:tc>
          <w:tcPr>
            <w:tcW w:w="0" w:type="dxa"/>
            <w:vAlign w:val="bottom"/>
          </w:tcPr>
          <w:p>
            <w:pPr>
              <w:spacing w:after="0"/>
              <w:rPr>
                <w:sz w:val="1"/>
                <w:szCs w:val="1"/>
                <w:color w:val="auto"/>
              </w:rPr>
            </w:pPr>
          </w:p>
        </w:tc>
      </w:tr>
      <w:tr>
        <w:trPr>
          <w:trHeight w:val="166"/>
        </w:trPr>
        <w:tc>
          <w:tcPr>
            <w:tcW w:w="3760" w:type="dxa"/>
            <w:vAlign w:val="bottom"/>
            <w:vMerge w:val="restart"/>
          </w:tcPr>
          <w:p>
            <w:pPr>
              <w:spacing w:after="0"/>
              <w:rPr>
                <w:sz w:val="20"/>
                <w:szCs w:val="20"/>
                <w:color w:val="auto"/>
              </w:rPr>
            </w:pPr>
            <w:r>
              <w:rPr>
                <w:rFonts w:ascii="Courier New" w:cs="Courier New" w:eastAsia="Courier New" w:hAnsi="Courier New"/>
                <w:sz w:val="14"/>
                <w:szCs w:val="14"/>
                <w:color w:val="auto"/>
              </w:rPr>
              <w:t>INCOME BEFORE INCOME TAXES</w:t>
            </w: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760" w:type="dxa"/>
            <w:vAlign w:val="bottom"/>
            <w:vMerge w:val="continue"/>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104,549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84,357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67,345</w:t>
            </w:r>
          </w:p>
        </w:tc>
        <w:tc>
          <w:tcPr>
            <w:tcW w:w="0" w:type="dxa"/>
            <w:vAlign w:val="bottom"/>
          </w:tcPr>
          <w:p>
            <w:pPr>
              <w:spacing w:after="0"/>
              <w:rPr>
                <w:sz w:val="1"/>
                <w:szCs w:val="1"/>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42,865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34,586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26,938</w:t>
            </w:r>
          </w:p>
        </w:tc>
        <w:tc>
          <w:tcPr>
            <w:tcW w:w="0" w:type="dxa"/>
            <w:vAlign w:val="bottom"/>
          </w:tcPr>
          <w:p>
            <w:pPr>
              <w:spacing w:after="0"/>
              <w:rPr>
                <w:sz w:val="1"/>
                <w:szCs w:val="1"/>
                <w:color w:val="auto"/>
              </w:rPr>
            </w:pPr>
          </w:p>
        </w:tc>
      </w:tr>
      <w:tr>
        <w:trPr>
          <w:trHeight w:val="166"/>
        </w:trPr>
        <w:tc>
          <w:tcPr>
            <w:tcW w:w="376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w:t>
            </w: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760" w:type="dxa"/>
            <w:vAlign w:val="bottom"/>
            <w:vMerge w:val="continue"/>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$61,684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$49,771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$40,407</w:t>
            </w:r>
          </w:p>
        </w:tc>
        <w:tc>
          <w:tcPr>
            <w:tcW w:w="0" w:type="dxa"/>
            <w:vAlign w:val="bottom"/>
          </w:tcPr>
          <w:p>
            <w:pPr>
              <w:spacing w:after="0"/>
              <w:rPr>
                <w:sz w:val="1"/>
                <w:szCs w:val="1"/>
                <w:color w:val="auto"/>
              </w:rPr>
            </w:pPr>
          </w:p>
        </w:tc>
      </w:tr>
      <w:tr>
        <w:trPr>
          <w:trHeight w:val="242"/>
        </w:trPr>
        <w:tc>
          <w:tcPr>
            <w:tcW w:w="3760" w:type="dxa"/>
            <w:vAlign w:val="bottom"/>
            <w:vMerge w:val="restart"/>
          </w:tcPr>
          <w:p>
            <w:pPr>
              <w:spacing w:after="0"/>
              <w:rPr>
                <w:sz w:val="20"/>
                <w:szCs w:val="20"/>
                <w:color w:val="auto"/>
              </w:rPr>
            </w:pPr>
            <w:r>
              <w:rPr>
                <w:rFonts w:ascii="Courier New" w:cs="Courier New" w:eastAsia="Courier New" w:hAnsi="Courier New"/>
                <w:sz w:val="14"/>
                <w:szCs w:val="14"/>
                <w:color w:val="auto"/>
              </w:rPr>
              <w:t>Net income per common and</w:t>
            </w: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760" w:type="dxa"/>
            <w:vAlign w:val="bottom"/>
            <w:vMerge w:val="continue"/>
          </w:tcPr>
          <w:p>
            <w:pPr>
              <w:spacing w:after="0"/>
              <w:rPr>
                <w:sz w:val="7"/>
                <w:szCs w:val="7"/>
                <w:color w:val="auto"/>
              </w:rPr>
            </w:pPr>
          </w:p>
        </w:tc>
        <w:tc>
          <w:tcPr>
            <w:tcW w:w="9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$1.34</w:t>
            </w:r>
          </w:p>
        </w:tc>
        <w:tc>
          <w:tcPr>
            <w:tcW w:w="12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$1.13</w:t>
            </w: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$0.99</w:t>
            </w: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common equivalent share</w:t>
            </w:r>
          </w:p>
        </w:tc>
        <w:tc>
          <w:tcPr>
            <w:tcW w:w="9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760" w:type="dxa"/>
            <w:vAlign w:val="bottom"/>
            <w:vMerge w:val="restart"/>
          </w:tcPr>
          <w:p>
            <w:pPr>
              <w:spacing w:after="0"/>
              <w:rPr>
                <w:sz w:val="20"/>
                <w:szCs w:val="20"/>
                <w:color w:val="auto"/>
              </w:rPr>
            </w:pPr>
            <w:r>
              <w:rPr>
                <w:rFonts w:ascii="Courier New" w:cs="Courier New" w:eastAsia="Courier New" w:hAnsi="Courier New"/>
                <w:sz w:val="14"/>
                <w:szCs w:val="14"/>
                <w:color w:val="auto"/>
              </w:rPr>
              <w:t>Shares used in computing net</w:t>
            </w: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3760" w:type="dxa"/>
            <w:vAlign w:val="bottom"/>
            <w:vMerge w:val="continue"/>
          </w:tcPr>
          <w:p>
            <w:pPr>
              <w:spacing w:after="0"/>
              <w:rPr>
                <w:sz w:val="7"/>
                <w:szCs w:val="7"/>
                <w:color w:val="auto"/>
              </w:rPr>
            </w:pPr>
          </w:p>
        </w:tc>
        <w:tc>
          <w:tcPr>
            <w:tcW w:w="940" w:type="dxa"/>
            <w:vAlign w:val="bottom"/>
            <w:vMerge w:val="restart"/>
          </w:tcPr>
          <w:p>
            <w:pPr>
              <w:jc w:val="right"/>
              <w:ind w:right="148"/>
              <w:spacing w:after="0"/>
              <w:rPr>
                <w:sz w:val="20"/>
                <w:szCs w:val="20"/>
                <w:color w:val="auto"/>
              </w:rPr>
            </w:pPr>
            <w:r>
              <w:rPr>
                <w:rFonts w:ascii="Courier New" w:cs="Courier New" w:eastAsia="Courier New" w:hAnsi="Courier New"/>
                <w:sz w:val="14"/>
                <w:szCs w:val="14"/>
                <w:color w:val="auto"/>
              </w:rPr>
              <w:t>46,198</w:t>
            </w:r>
          </w:p>
        </w:tc>
        <w:tc>
          <w:tcPr>
            <w:tcW w:w="120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44,008</w:t>
            </w:r>
          </w:p>
        </w:tc>
        <w:tc>
          <w:tcPr>
            <w:tcW w:w="10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40,735</w:t>
            </w:r>
          </w:p>
        </w:tc>
        <w:tc>
          <w:tcPr>
            <w:tcW w:w="0" w:type="dxa"/>
            <w:vAlign w:val="bottom"/>
          </w:tcPr>
          <w:p>
            <w:pPr>
              <w:spacing w:after="0"/>
              <w:rPr>
                <w:sz w:val="1"/>
                <w:szCs w:val="1"/>
                <w:color w:val="auto"/>
              </w:rPr>
            </w:pPr>
          </w:p>
        </w:tc>
      </w:tr>
      <w:tr>
        <w:trPr>
          <w:trHeight w:val="166"/>
        </w:trPr>
        <w:tc>
          <w:tcPr>
            <w:tcW w:w="3760" w:type="dxa"/>
            <w:vAlign w:val="bottom"/>
          </w:tcPr>
          <w:p>
            <w:pPr>
              <w:ind w:left="180"/>
              <w:spacing w:after="0"/>
              <w:rPr>
                <w:sz w:val="20"/>
                <w:szCs w:val="20"/>
                <w:color w:val="auto"/>
              </w:rPr>
            </w:pPr>
            <w:r>
              <w:rPr>
                <w:rFonts w:ascii="Courier New" w:cs="Courier New" w:eastAsia="Courier New" w:hAnsi="Courier New"/>
                <w:sz w:val="14"/>
                <w:szCs w:val="14"/>
                <w:color w:val="auto"/>
              </w:rPr>
              <w:t>income per share</w:t>
            </w:r>
          </w:p>
        </w:tc>
        <w:tc>
          <w:tcPr>
            <w:tcW w:w="9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760" w:type="dxa"/>
            <w:vAlign w:val="bottom"/>
          </w:tcPr>
          <w:p>
            <w:pPr>
              <w:spacing w:after="0"/>
              <w:rPr>
                <w:sz w:val="21"/>
                <w:szCs w:val="21"/>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90" w:lineRule="exact"/>
        <w:rPr>
          <w:rFonts w:ascii="Courier New" w:cs="Courier New" w:eastAsia="Courier New" w:hAnsi="Courier New"/>
          <w:sz w:val="14"/>
          <w:szCs w:val="14"/>
          <w:color w:val="auto"/>
        </w:rPr>
      </w:pPr>
    </w:p>
    <w:p>
      <w:pPr>
        <w:ind w:right="4019"/>
        <w:spacing w:after="0" w:line="313" w:lineRule="auto"/>
        <w:rPr>
          <w:sz w:val="20"/>
          <w:szCs w:val="20"/>
          <w:color w:val="auto"/>
        </w:rPr>
      </w:pPr>
      <w:r>
        <w:rPr>
          <w:rFonts w:ascii="Courier New" w:cs="Courier New" w:eastAsia="Courier New" w:hAnsi="Courier New"/>
          <w:sz w:val="14"/>
          <w:szCs w:val="14"/>
          <w:color w:val="auto"/>
        </w:rPr>
        <w:t>Note: Supplemental information provided for comparative purposes. 1995 excludes certain charges associated with the acquisition of Information Technology, Inc.</w:t>
      </w:r>
    </w:p>
    <w:p>
      <w:pPr>
        <w:spacing w:after="0" w:line="208" w:lineRule="exact"/>
        <w:rPr>
          <w:rFonts w:ascii="Courier New" w:cs="Courier New" w:eastAsia="Courier New" w:hAnsi="Courier New"/>
          <w:sz w:val="14"/>
          <w:szCs w:val="14"/>
          <w:color w:val="auto"/>
        </w:rPr>
      </w:pPr>
    </w:p>
    <w:p>
      <w:pPr>
        <w:ind w:right="3339"/>
        <w:spacing w:after="0" w:line="376" w:lineRule="auto"/>
        <w:rPr>
          <w:sz w:val="20"/>
          <w:szCs w:val="20"/>
          <w:color w:val="auto"/>
        </w:rPr>
      </w:pPr>
      <w:r>
        <w:rPr>
          <w:rFonts w:ascii="Courier New" w:cs="Courier New" w:eastAsia="Courier New" w:hAnsi="Courier New"/>
          <w:sz w:val="14"/>
          <w:szCs w:val="14"/>
          <w:color w:val="auto"/>
        </w:rPr>
        <w:t>The following table sets forth certain financial highlights and pro forma information for 1996, 1995 and 1994.</w:t>
      </w:r>
    </w:p>
    <w:p>
      <w:pPr>
        <w:spacing w:after="0" w:line="166" w:lineRule="exact"/>
        <w:rPr>
          <w:rFonts w:ascii="Courier New" w:cs="Courier New" w:eastAsia="Courier New" w:hAnsi="Courier New"/>
          <w:sz w:val="14"/>
          <w:szCs w:val="14"/>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2060" w:type="dxa"/>
            <w:vAlign w:val="bottom"/>
            <w:vMerge w:val="restart"/>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120" w:type="dxa"/>
            <w:vAlign w:val="bottom"/>
            <w:vMerge w:val="restart"/>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7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1994</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0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rFonts w:ascii="Courier New" w:cs="Courier New" w:eastAsia="Courier New" w:hAnsi="Courier New"/>
          <w:sz w:val="14"/>
          <w:szCs w:val="14"/>
          <w:color w:val="auto"/>
        </w:rPr>
      </w:pPr>
    </w:p>
    <w:tbl>
      <w:tblPr>
        <w:tblLayout w:type="fixed"/>
        <w:tblInd w:w="0" w:type="dxa"/>
        <w:tblCellMar>
          <w:top w:w="0" w:type="dxa"/>
          <w:left w:w="0" w:type="dxa"/>
          <w:bottom w:w="0" w:type="dxa"/>
          <w:right w:w="0" w:type="dxa"/>
        </w:tblCellMar>
      </w:tblPr>
      <w:tr>
        <w:trPr>
          <w:trHeight w:val="24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229"/>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2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$798,268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$703,380</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$579,839</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w:t>
            </w:r>
          </w:p>
        </w:tc>
        <w:tc>
          <w:tcPr>
            <w:tcW w:w="2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61,684</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(59,863)</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40,407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9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 per share</w:t>
            </w:r>
          </w:p>
        </w:tc>
        <w:tc>
          <w:tcPr>
            <w:tcW w:w="2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$1.34</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$0.99</w:t>
            </w:r>
          </w:p>
        </w:tc>
      </w:tr>
    </w:tbl>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as originally reported and before certain charges</w:t>
      </w:r>
    </w:p>
    <w:p>
      <w:pPr>
        <w:spacing w:after="0" w:line="7" w:lineRule="exact"/>
        <w:rPr>
          <w:rFonts w:ascii="Courier New" w:cs="Courier New" w:eastAsia="Courier New" w:hAnsi="Courier New"/>
          <w:sz w:val="14"/>
          <w:szCs w:val="14"/>
          <w:color w:val="auto"/>
        </w:rPr>
      </w:pPr>
    </w:p>
    <w:tbl>
      <w:tblPr>
        <w:tblLayout w:type="fixed"/>
        <w:tblInd w:w="180" w:type="dxa"/>
        <w:tblCellMar>
          <w:top w:w="0" w:type="dxa"/>
          <w:left w:w="0" w:type="dxa"/>
          <w:bottom w:w="0" w:type="dxa"/>
          <w:right w:w="0" w:type="dxa"/>
        </w:tblCellMar>
      </w:tblP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related to acquisition of Information Technology, Inc.</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61,684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49,771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37,664</w:t>
            </w:r>
          </w:p>
        </w:tc>
      </w:tr>
    </w:tbl>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share as originally reported and before certain</w:t>
      </w:r>
    </w:p>
    <w:p>
      <w:pPr>
        <w:spacing w:after="0" w:line="7" w:lineRule="exact"/>
        <w:rPr>
          <w:rFonts w:ascii="Courier New" w:cs="Courier New" w:eastAsia="Courier New" w:hAnsi="Courier New"/>
          <w:sz w:val="14"/>
          <w:szCs w:val="14"/>
          <w:color w:val="auto"/>
        </w:rPr>
      </w:pPr>
    </w:p>
    <w:tbl>
      <w:tblPr>
        <w:tblLayout w:type="fixed"/>
        <w:tblInd w:w="180" w:type="dxa"/>
        <w:tblCellMar>
          <w:top w:w="0" w:type="dxa"/>
          <w:left w:w="0" w:type="dxa"/>
          <w:bottom w:w="0" w:type="dxa"/>
          <w:right w:w="0" w:type="dxa"/>
        </w:tblCellMar>
      </w:tblP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charges related to acquisition of Information Technology, Inc.   $1.34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$0.95</w:t>
            </w: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rFonts w:ascii="Courier New" w:cs="Courier New" w:eastAsia="Courier New" w:hAnsi="Courier New"/>
          <w:sz w:val="14"/>
          <w:szCs w:val="14"/>
          <w:color w:val="auto"/>
        </w:rPr>
      </w:pPr>
    </w:p>
    <w:p>
      <w:pPr>
        <w:jc w:val="both"/>
        <w:ind w:right="3339"/>
        <w:spacing w:after="0" w:line="282" w:lineRule="auto"/>
        <w:rPr>
          <w:sz w:val="20"/>
          <w:szCs w:val="20"/>
          <w:color w:val="auto"/>
        </w:rPr>
      </w:pPr>
      <w:r>
        <w:rPr>
          <w:rFonts w:ascii="Courier New" w:cs="Courier New" w:eastAsia="Courier New" w:hAnsi="Courier New"/>
          <w:sz w:val="14"/>
          <w:szCs w:val="14"/>
          <w:color w:val="auto"/>
        </w:rPr>
        <w:t>The charges related to the acquisition of Information Technology, Inc. (ITI) in 1995 are a pre-tax special, one-time, non-cash charge of $173 million to expense the purchased ITI Premier II research and development and a pre-tax charge of $9.9 million for the accelerated amortization of the completed ITI Premier I software. The combined after-tax charge was $109.6 million ($2.49 per share).</w:t>
      </w:r>
    </w:p>
    <w:p>
      <w:pPr>
        <w:spacing w:after="0" w:line="62"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33"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The following table summarizes the Company's primary sources of funds:</w:t>
      </w:r>
    </w:p>
    <w:p>
      <w:pPr>
        <w:spacing w:after="0" w:line="7"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7"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Year Ended December 31,</w:t>
      </w:r>
    </w:p>
    <w:p>
      <w:pPr>
        <w:spacing w:after="0" w:line="312"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Cash provided by operating activities</w:t>
      </w:r>
    </w:p>
    <w:p>
      <w:pPr>
        <w:spacing w:after="0" w:line="33"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Issuance of common stock-net</w:t>
      </w:r>
    </w:p>
    <w:p>
      <w:pPr>
        <w:spacing w:after="0" w:line="7"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Decrease (increase) in investments</w:t>
      </w:r>
    </w:p>
    <w:p>
      <w:pPr>
        <w:spacing w:after="0" w:line="7"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Increase (decrease) in net borrowings</w:t>
      </w:r>
    </w:p>
    <w:p>
      <w:pPr>
        <w:spacing w:after="0" w:line="147"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TOTAL</w:t>
      </w:r>
    </w:p>
    <w:p>
      <w:pPr>
        <w:spacing w:after="0" w:line="338" w:lineRule="exact"/>
        <w:rPr>
          <w:rFonts w:ascii="Courier New" w:cs="Courier New" w:eastAsia="Courier New" w:hAnsi="Courier New"/>
          <w:sz w:val="14"/>
          <w:szCs w:val="14"/>
          <w:color w:val="auto"/>
        </w:rPr>
      </w:pPr>
    </w:p>
    <w:p>
      <w:pPr>
        <w:jc w:val="both"/>
        <w:ind w:right="3339"/>
        <w:spacing w:after="0" w:line="292" w:lineRule="auto"/>
        <w:rPr>
          <w:sz w:val="20"/>
          <w:szCs w:val="20"/>
          <w:color w:val="auto"/>
        </w:rPr>
      </w:pPr>
      <w:r>
        <w:rPr>
          <w:rFonts w:ascii="Courier New" w:cs="Courier New" w:eastAsia="Courier New" w:hAnsi="Courier New"/>
          <w:sz w:val="14"/>
          <w:szCs w:val="14"/>
          <w:color w:val="auto"/>
        </w:rPr>
        <w:t>The Company has applied a significant portion of its cash flow from operations and proceeds of its common stock offerings to acquisitions and the reduction of long-term debt and invests the remainder in short-term obligations until it is needed for further acquisitions or operating purposes.</w:t>
      </w:r>
    </w:p>
    <w:p>
      <w:pPr>
        <w:spacing w:after="0" w:line="56" w:lineRule="exact"/>
        <w:rPr>
          <w:rFonts w:ascii="Courier New" w:cs="Courier New" w:eastAsia="Courier New" w:hAnsi="Courier New"/>
          <w:sz w:val="14"/>
          <w:szCs w:val="14"/>
          <w:color w:val="auto"/>
        </w:rPr>
      </w:pPr>
    </w:p>
    <w:p>
      <w:pPr>
        <w:jc w:val="both"/>
        <w:ind w:right="3339"/>
        <w:spacing w:after="0" w:line="292" w:lineRule="auto"/>
        <w:rPr>
          <w:sz w:val="20"/>
          <w:szCs w:val="20"/>
          <w:color w:val="auto"/>
        </w:rPr>
      </w:pPr>
      <w:r>
        <w:rPr>
          <w:rFonts w:ascii="Courier New" w:cs="Courier New" w:eastAsia="Courier New" w:hAnsi="Courier New"/>
          <w:sz w:val="14"/>
          <w:szCs w:val="14"/>
          <w:color w:val="auto"/>
        </w:rPr>
        <w:t>The Company believes that its cash flow from operations together with other available sources of funds will be adequate to meet its funding requirements. In the event that the Company makes significant future acquisitions, however, it may raise funds through additional borrowings or issuance of securities.</w:t>
      </w:r>
    </w:p>
    <w:p>
      <w:pPr>
        <w:spacing w:after="0" w:line="56"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SELECTED FINANCIAL DATA</w:t>
      </w:r>
    </w:p>
    <w:p>
      <w:pPr>
        <w:spacing w:after="0" w:line="33" w:lineRule="exact"/>
        <w:rPr>
          <w:rFonts w:ascii="Courier New" w:cs="Courier New" w:eastAsia="Courier New" w:hAnsi="Courier New"/>
          <w:sz w:val="14"/>
          <w:szCs w:val="14"/>
          <w:color w:val="auto"/>
        </w:rPr>
      </w:pPr>
    </w:p>
    <w:p>
      <w:pPr>
        <w:jc w:val="both"/>
        <w:ind w:right="3339"/>
        <w:spacing w:after="0" w:line="293" w:lineRule="auto"/>
        <w:rPr>
          <w:sz w:val="20"/>
          <w:szCs w:val="20"/>
          <w:color w:val="auto"/>
        </w:rPr>
      </w:pPr>
      <w:r>
        <w:rPr>
          <w:rFonts w:ascii="Courier New" w:cs="Courier New" w:eastAsia="Courier New" w:hAnsi="Courier New"/>
          <w:sz w:val="14"/>
          <w:szCs w:val="14"/>
          <w:color w:val="auto"/>
        </w:rPr>
        <w:t>The following data, which has been materially affected by acquisitions, should be read in conjunction with the financial statements and related notes thereto included elsewhere in this Annual Report.</w:t>
      </w:r>
    </w:p>
    <w:p>
      <w:pPr>
        <w:sectPr>
          <w:pgSz w:w="11900" w:h="16873" w:orient="portrait"/>
          <w:cols w:equalWidth="0" w:num="1">
            <w:col w:w="10239"/>
          </w:cols>
          <w:pgMar w:left="220" w:top="115" w:right="1440" w:bottom="0" w:gutter="0" w:footer="0" w:header="0"/>
        </w:sectPr>
      </w:pPr>
    </w:p>
    <w:p>
      <w:pPr>
        <w:spacing w:after="0" w:line="387"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(In thousands, except per share data)</w:t>
      </w:r>
    </w:p>
    <w:p>
      <w:pPr>
        <w:sectPr>
          <w:pgSz w:w="11900" w:h="16873" w:orient="portrait"/>
          <w:cols w:equalWidth="0" w:num="1">
            <w:col w:w="10239"/>
          </w:cols>
          <w:pgMar w:left="220" w:top="115" w:right="1440" w:bottom="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0" w:type="dxa"/>
            <w:vAlign w:val="bottom"/>
          </w:tcPr>
          <w:p>
            <w:pPr>
              <w:spacing w:after="0"/>
              <w:rPr>
                <w:sz w:val="1"/>
                <w:szCs w:val="1"/>
                <w:color w:val="auto"/>
              </w:rPr>
            </w:pPr>
          </w:p>
        </w:tc>
      </w:tr>
      <w:tr>
        <w:trPr>
          <w:trHeight w:val="242"/>
        </w:trPr>
        <w:tc>
          <w:tcPr>
            <w:tcW w:w="4060" w:type="dxa"/>
            <w:vAlign w:val="bottom"/>
          </w:tcPr>
          <w:p>
            <w:pPr>
              <w:spacing w:after="0"/>
              <w:rPr>
                <w:sz w:val="21"/>
                <w:szCs w:val="21"/>
                <w:color w:val="auto"/>
              </w:rPr>
            </w:pPr>
          </w:p>
        </w:tc>
        <w:tc>
          <w:tcPr>
            <w:tcW w:w="6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$798,268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$703,380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$579,839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$467,863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$341,448</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104,549</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(98,531)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67,345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53,177</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39,291</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Income taxes (credit)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42,865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(38,668)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26,938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20,464</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14,925</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61,684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(59,863)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40,407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32,713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24,366</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Net income (loss) per share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$0.69</w:t>
            </w:r>
          </w:p>
        </w:tc>
        <w:tc>
          <w:tcPr>
            <w:tcW w:w="0" w:type="dxa"/>
            <w:vAlign w:val="bottom"/>
          </w:tcPr>
          <w:p>
            <w:pPr>
              <w:spacing w:after="0"/>
              <w:rPr>
                <w:sz w:val="1"/>
                <w:szCs w:val="1"/>
                <w:color w:val="auto"/>
              </w:rPr>
            </w:pPr>
          </w:p>
        </w:tc>
      </w:tr>
      <w:tr>
        <w:trPr>
          <w:trHeight w:val="166"/>
        </w:trPr>
        <w:tc>
          <w:tcPr>
            <w:tcW w:w="4060" w:type="dxa"/>
            <w:vAlign w:val="bottom"/>
            <w:vMerge w:val="restart"/>
          </w:tcPr>
          <w:p>
            <w:pPr>
              <w:spacing w:after="0"/>
              <w:rPr>
                <w:sz w:val="20"/>
                <w:szCs w:val="20"/>
                <w:color w:val="auto"/>
              </w:rPr>
            </w:pPr>
            <w:r>
              <w:rPr>
                <w:rFonts w:ascii="Courier New" w:cs="Courier New" w:eastAsia="Courier New" w:hAnsi="Courier New"/>
                <w:sz w:val="14"/>
                <w:szCs w:val="14"/>
                <w:color w:val="auto"/>
              </w:rPr>
              <w:t>Total assets</w:t>
            </w:r>
          </w:p>
        </w:tc>
        <w:tc>
          <w:tcPr>
            <w:tcW w:w="6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4060" w:type="dxa"/>
            <w:vAlign w:val="bottom"/>
            <w:vMerge w:val="continue"/>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$1,908,519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$1,885,299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$1,661,345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$1,395,403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$1,097,339</w:t>
            </w: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Long-term debt and other long-term obligations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272,864</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383,416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150,016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122,417</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59,472</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507,270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434,262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358,722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312,873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195,630</w:t>
            </w:r>
          </w:p>
        </w:tc>
        <w:tc>
          <w:tcPr>
            <w:tcW w:w="0" w:type="dxa"/>
            <w:vAlign w:val="bottom"/>
          </w:tcPr>
          <w:p>
            <w:pPr>
              <w:spacing w:after="0"/>
              <w:rPr>
                <w:sz w:val="1"/>
                <w:szCs w:val="1"/>
                <w:color w:val="auto"/>
              </w:rPr>
            </w:pPr>
          </w:p>
        </w:tc>
      </w:tr>
    </w:tbl>
    <w:p>
      <w:pPr>
        <w:ind w:left="41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jc w:val="both"/>
        <w:ind w:right="4400"/>
        <w:spacing w:after="0" w:line="313" w:lineRule="auto"/>
        <w:rPr>
          <w:sz w:val="20"/>
          <w:szCs w:val="20"/>
          <w:color w:val="auto"/>
        </w:rPr>
      </w:pPr>
      <w:r>
        <w:rPr>
          <w:rFonts w:ascii="Courier New" w:cs="Courier New" w:eastAsia="Courier New" w:hAnsi="Courier New"/>
          <w:sz w:val="14"/>
          <w:szCs w:val="14"/>
          <w:color w:val="auto"/>
        </w:rPr>
        <w:t>Note: The above information has been restated to recognize (1) 3-for-2 stock splits effective in May 1993 and June 1992 and (2) the acquisition in 1995 of Lincoln Holdings, Inc. accounted for as a pooling of interests.</w:t>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FINANCIAL INFORMATION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80" w:type="dxa"/>
            <w:vAlign w:val="bottom"/>
            <w:gridSpan w:val="5"/>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1260" w:type="dxa"/>
            <w:vAlign w:val="bottom"/>
            <w:vMerge w:val="restart"/>
          </w:tcPr>
          <w:p>
            <w:pPr>
              <w:jc w:val="right"/>
              <w:ind w:right="68"/>
              <w:spacing w:after="0"/>
              <w:rPr>
                <w:sz w:val="20"/>
                <w:szCs w:val="20"/>
                <w:color w:val="auto"/>
              </w:rPr>
            </w:pPr>
            <w:r>
              <w:rPr>
                <w:rFonts w:ascii="Courier New" w:cs="Courier New" w:eastAsia="Courier New" w:hAnsi="Courier New"/>
                <w:sz w:val="14"/>
                <w:szCs w:val="14"/>
                <w:color w:val="auto"/>
              </w:rPr>
              <w:t>SECOND</w:t>
            </w:r>
          </w:p>
        </w:tc>
        <w:tc>
          <w:tcPr>
            <w:tcW w:w="10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QUARTERS</w:t>
            </w:r>
          </w:p>
        </w:tc>
        <w:tc>
          <w:tcPr>
            <w:tcW w:w="1440" w:type="dxa"/>
            <w:vAlign w:val="bottom"/>
            <w:vMerge w:val="restart"/>
          </w:tcPr>
          <w:p>
            <w:pPr>
              <w:jc w:val="right"/>
              <w:ind w:right="248"/>
              <w:spacing w:after="0"/>
              <w:rPr>
                <w:sz w:val="20"/>
                <w:szCs w:val="20"/>
                <w:color w:val="auto"/>
              </w:rPr>
            </w:pPr>
            <w:r>
              <w:rPr>
                <w:rFonts w:ascii="Courier New" w:cs="Courier New" w:eastAsia="Courier New" w:hAnsi="Courier New"/>
                <w:sz w:val="14"/>
                <w:szCs w:val="14"/>
                <w:color w:val="auto"/>
              </w:rPr>
              <w:t>FOURTH</w:t>
            </w:r>
          </w:p>
        </w:tc>
        <w:tc>
          <w:tcPr>
            <w:tcW w:w="14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TOTAL</w:t>
            </w:r>
          </w:p>
        </w:tc>
        <w:tc>
          <w:tcPr>
            <w:tcW w:w="0" w:type="dxa"/>
            <w:vAlign w:val="bottom"/>
          </w:tcPr>
          <w:p>
            <w:pPr>
              <w:spacing w:after="0"/>
              <w:rPr>
                <w:sz w:val="1"/>
                <w:szCs w:val="1"/>
                <w:color w:val="auto"/>
              </w:rPr>
            </w:pPr>
          </w:p>
        </w:tc>
      </w:tr>
      <w:tr>
        <w:trPr>
          <w:trHeight w:val="242"/>
        </w:trPr>
        <w:tc>
          <w:tcPr>
            <w:tcW w:w="44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FIRST</w:t>
            </w:r>
          </w:p>
        </w:tc>
        <w:tc>
          <w:tcPr>
            <w:tcW w:w="12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THIRD</w:t>
            </w:r>
          </w:p>
        </w:tc>
        <w:tc>
          <w:tcPr>
            <w:tcW w:w="144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4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Revenues</w:t>
            </w:r>
          </w:p>
        </w:tc>
        <w:tc>
          <w:tcPr>
            <w:tcW w:w="1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74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$194,710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$196,464</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$196,585</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$210,509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$798,268</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Cost of revenues</w:t>
            </w:r>
          </w:p>
        </w:tc>
        <w:tc>
          <w:tcPr>
            <w:tcW w:w="560" w:type="dxa"/>
            <w:vAlign w:val="bottom"/>
          </w:tcPr>
          <w:p>
            <w:pPr>
              <w:spacing w:after="0"/>
              <w:rPr>
                <w:sz w:val="14"/>
                <w:szCs w:val="14"/>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164,205</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165,612</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165,633</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179,181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674,631</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560" w:type="dxa"/>
            <w:vAlign w:val="bottom"/>
          </w:tcPr>
          <w:p>
            <w:pPr>
              <w:spacing w:after="0"/>
              <w:rPr>
                <w:sz w:val="14"/>
                <w:szCs w:val="14"/>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30,505</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30,852</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30,952</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31,328</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123,637</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Income before income taxes</w:t>
            </w:r>
          </w:p>
        </w:tc>
        <w:tc>
          <w:tcPr>
            <w:tcW w:w="560" w:type="dxa"/>
            <w:vAlign w:val="bottom"/>
          </w:tcPr>
          <w:p>
            <w:pPr>
              <w:spacing w:after="0"/>
              <w:rPr>
                <w:sz w:val="14"/>
                <w:szCs w:val="14"/>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24,850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25,776</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26,658</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27,265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104,549</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Income taxes</w:t>
            </w:r>
          </w:p>
        </w:tc>
        <w:tc>
          <w:tcPr>
            <w:tcW w:w="560" w:type="dxa"/>
            <w:vAlign w:val="bottom"/>
          </w:tcPr>
          <w:p>
            <w:pPr>
              <w:spacing w:after="0"/>
              <w:rPr>
                <w:sz w:val="14"/>
                <w:szCs w:val="14"/>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10,189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10,568</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10,929</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11,179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42,865</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Net income</w:t>
            </w:r>
          </w:p>
        </w:tc>
        <w:tc>
          <w:tcPr>
            <w:tcW w:w="560" w:type="dxa"/>
            <w:vAlign w:val="bottom"/>
          </w:tcPr>
          <w:p>
            <w:pPr>
              <w:spacing w:after="0"/>
              <w:rPr>
                <w:sz w:val="14"/>
                <w:szCs w:val="14"/>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$14,661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$15,208</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$15,729</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$16,086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$61,684</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Net income per share</w:t>
            </w:r>
          </w:p>
        </w:tc>
        <w:tc>
          <w:tcPr>
            <w:tcW w:w="560" w:type="dxa"/>
            <w:vAlign w:val="bottom"/>
          </w:tcPr>
          <w:p>
            <w:pPr>
              <w:spacing w:after="0"/>
              <w:rPr>
                <w:sz w:val="14"/>
                <w:szCs w:val="14"/>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$0.33</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$0.34</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$0.35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w:t>
            </w: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497"/>
        </w:trPr>
        <w:tc>
          <w:tcPr>
            <w:tcW w:w="44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40" w:type="dxa"/>
            <w:vAlign w:val="bottom"/>
            <w:gridSpan w:val="6"/>
            <w:vMerge w:val="restart"/>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0"/>
        </w:trPr>
        <w:tc>
          <w:tcPr>
            <w:tcW w:w="740" w:type="dxa"/>
            <w:vAlign w:val="bottom"/>
            <w:gridSpan w:val="2"/>
            <w:vMerge w:val="restart"/>
          </w:tcPr>
          <w:p>
            <w:pPr>
              <w:spacing w:after="0"/>
              <w:rPr>
                <w:sz w:val="20"/>
                <w:szCs w:val="20"/>
                <w:color w:val="auto"/>
              </w:rPr>
            </w:pPr>
            <w:r>
              <w:rPr>
                <w:rFonts w:ascii="Courier New" w:cs="Courier New" w:eastAsia="Courier New" w:hAnsi="Courier New"/>
                <w:sz w:val="14"/>
                <w:szCs w:val="14"/>
                <w:color w:val="auto"/>
              </w:rPr>
              <w:t>Revenues</w:t>
            </w:r>
          </w:p>
        </w:tc>
        <w:tc>
          <w:tcPr>
            <w:tcW w:w="1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74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$157,179</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$173,470</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$176,922</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$195,809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$703,380</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Cost of revenues</w:t>
            </w:r>
          </w:p>
        </w:tc>
        <w:tc>
          <w:tcPr>
            <w:tcW w:w="560" w:type="dxa"/>
            <w:vAlign w:val="bottom"/>
          </w:tcPr>
          <w:p>
            <w:pPr>
              <w:spacing w:after="0"/>
              <w:rPr>
                <w:sz w:val="14"/>
                <w:szCs w:val="14"/>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136,288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148,725</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148,286</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349,790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783,089</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Operating income</w:t>
            </w:r>
          </w:p>
        </w:tc>
        <w:tc>
          <w:tcPr>
            <w:tcW w:w="560" w:type="dxa"/>
            <w:vAlign w:val="bottom"/>
          </w:tcPr>
          <w:p>
            <w:pPr>
              <w:spacing w:after="0"/>
              <w:rPr>
                <w:sz w:val="14"/>
                <w:szCs w:val="14"/>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20,891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24,745</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28,636</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(153,981)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(79,709)</w:t>
            </w:r>
          </w:p>
        </w:tc>
        <w:tc>
          <w:tcPr>
            <w:tcW w:w="0" w:type="dxa"/>
            <w:vAlign w:val="bottom"/>
          </w:tcPr>
          <w:p>
            <w:pPr>
              <w:spacing w:after="0"/>
              <w:rPr>
                <w:sz w:val="1"/>
                <w:szCs w:val="1"/>
                <w:color w:val="auto"/>
              </w:rPr>
            </w:pPr>
          </w:p>
        </w:tc>
      </w:tr>
      <w:tr>
        <w:trPr>
          <w:trHeight w:val="166"/>
        </w:trPr>
        <w:tc>
          <w:tcPr>
            <w:tcW w:w="3020" w:type="dxa"/>
            <w:vAlign w:val="bottom"/>
            <w:gridSpan w:val="4"/>
            <w:vMerge w:val="restart"/>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020" w:type="dxa"/>
            <w:vAlign w:val="bottom"/>
            <w:gridSpan w:val="4"/>
            <w:vMerge w:val="continue"/>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19,054</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20,308</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22,223</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(160,116)</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(98,531)</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Income taxes (credit)</w:t>
            </w:r>
          </w:p>
        </w:tc>
        <w:tc>
          <w:tcPr>
            <w:tcW w:w="560" w:type="dxa"/>
            <w:vAlign w:val="bottom"/>
          </w:tcPr>
          <w:p>
            <w:pPr>
              <w:spacing w:after="0"/>
              <w:rPr>
                <w:sz w:val="14"/>
                <w:szCs w:val="14"/>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7,813</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8,326</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9,111</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(63,918)</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(38,668)</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Net income (loss)</w:t>
            </w:r>
          </w:p>
        </w:tc>
        <w:tc>
          <w:tcPr>
            <w:tcW w:w="560" w:type="dxa"/>
            <w:vAlign w:val="bottom"/>
          </w:tcPr>
          <w:p>
            <w:pPr>
              <w:spacing w:after="0"/>
              <w:rPr>
                <w:sz w:val="14"/>
                <w:szCs w:val="14"/>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$11,241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$11,982</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$13,112</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$(96,198)</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$(59,863)</w:t>
            </w:r>
          </w:p>
        </w:tc>
        <w:tc>
          <w:tcPr>
            <w:tcW w:w="0" w:type="dxa"/>
            <w:vAlign w:val="bottom"/>
          </w:tcPr>
          <w:p>
            <w:pPr>
              <w:spacing w:after="0"/>
              <w:rPr>
                <w:sz w:val="1"/>
                <w:szCs w:val="1"/>
                <w:color w:val="auto"/>
              </w:rPr>
            </w:pPr>
          </w:p>
        </w:tc>
      </w:tr>
      <w:tr>
        <w:trPr>
          <w:trHeight w:val="166"/>
        </w:trPr>
        <w:tc>
          <w:tcPr>
            <w:tcW w:w="2460" w:type="dxa"/>
            <w:vAlign w:val="bottom"/>
            <w:gridSpan w:val="3"/>
            <w:vMerge w:val="restart"/>
          </w:tcPr>
          <w:p>
            <w:pPr>
              <w:spacing w:after="0"/>
              <w:rPr>
                <w:sz w:val="20"/>
                <w:szCs w:val="20"/>
                <w:color w:val="auto"/>
              </w:rPr>
            </w:pPr>
            <w:r>
              <w:rPr>
                <w:rFonts w:ascii="Courier New" w:cs="Courier New" w:eastAsia="Courier New" w:hAnsi="Courier New"/>
                <w:sz w:val="14"/>
                <w:szCs w:val="14"/>
                <w:color w:val="auto"/>
              </w:rPr>
              <w:t>Net income (loss) per share</w:t>
            </w:r>
          </w:p>
        </w:tc>
        <w:tc>
          <w:tcPr>
            <w:tcW w:w="560" w:type="dxa"/>
            <w:vAlign w:val="bottom"/>
          </w:tcPr>
          <w:p>
            <w:pPr>
              <w:spacing w:after="0"/>
              <w:rPr>
                <w:sz w:val="14"/>
                <w:szCs w:val="14"/>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24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$0.28</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$0.29</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$(1.36)</w:t>
            </w:r>
          </w:p>
        </w:tc>
        <w:tc>
          <w:tcPr>
            <w:tcW w:w="0" w:type="dxa"/>
            <w:vAlign w:val="bottom"/>
          </w:tcPr>
          <w:p>
            <w:pPr>
              <w:spacing w:after="0"/>
              <w:rPr>
                <w:sz w:val="1"/>
                <w:szCs w:val="1"/>
                <w:color w:val="auto"/>
              </w:rPr>
            </w:pPr>
          </w:p>
        </w:tc>
      </w:tr>
      <w:tr>
        <w:trPr>
          <w:trHeight w:val="242"/>
        </w:trPr>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587"/>
        </w:trPr>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MARKET PRICE INFORMATION</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640" w:type="dxa"/>
            <w:vAlign w:val="bottom"/>
            <w:gridSpan w:val="9"/>
          </w:tcPr>
          <w:p>
            <w:pPr>
              <w:spacing w:after="0"/>
              <w:rPr>
                <w:sz w:val="20"/>
                <w:szCs w:val="20"/>
                <w:color w:val="auto"/>
              </w:rPr>
            </w:pPr>
            <w:r>
              <w:rPr>
                <w:rFonts w:ascii="Courier New" w:cs="Courier New" w:eastAsia="Courier New" w:hAnsi="Courier New"/>
                <w:sz w:val="14"/>
                <w:szCs w:val="14"/>
                <w:color w:val="auto"/>
              </w:rPr>
              <w:t>The following information relates to the closing price of the Company's $.01 par</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640" w:type="dxa"/>
            <w:vAlign w:val="bottom"/>
            <w:gridSpan w:val="9"/>
          </w:tcPr>
          <w:p>
            <w:pPr>
              <w:spacing w:after="0"/>
              <w:rPr>
                <w:sz w:val="20"/>
                <w:szCs w:val="20"/>
                <w:color w:val="auto"/>
              </w:rPr>
            </w:pPr>
            <w:r>
              <w:rPr>
                <w:rFonts w:ascii="Courier New" w:cs="Courier New" w:eastAsia="Courier New" w:hAnsi="Courier New"/>
                <w:sz w:val="14"/>
                <w:szCs w:val="14"/>
                <w:color w:val="auto"/>
              </w:rPr>
              <w:t>value common stock, which is traded on the over-the-counter market and is quoted</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140" w:type="dxa"/>
            <w:vAlign w:val="bottom"/>
            <w:gridSpan w:val="6"/>
          </w:tcPr>
          <w:p>
            <w:pPr>
              <w:spacing w:after="0"/>
              <w:rPr>
                <w:sz w:val="20"/>
                <w:szCs w:val="20"/>
                <w:color w:val="auto"/>
              </w:rPr>
            </w:pPr>
            <w:r>
              <w:rPr>
                <w:rFonts w:ascii="Courier New" w:cs="Courier New" w:eastAsia="Courier New" w:hAnsi="Courier New"/>
                <w:sz w:val="14"/>
                <w:szCs w:val="14"/>
                <w:color w:val="auto"/>
              </w:rPr>
              <w:t>on the NASDAQ National Market System under the symbol FISV.</w:t>
            </w:r>
          </w:p>
        </w:tc>
        <w:tc>
          <w:tcPr>
            <w:tcW w:w="260" w:type="dxa"/>
            <w:vAlign w:val="bottom"/>
          </w:tcPr>
          <w:p>
            <w:pPr>
              <w:spacing w:after="0"/>
              <w:rPr>
                <w:sz w:val="14"/>
                <w:szCs w:val="14"/>
                <w:color w:val="auto"/>
              </w:rPr>
            </w:pPr>
          </w:p>
        </w:tc>
        <w:tc>
          <w:tcPr>
            <w:tcW w:w="800" w:type="dxa"/>
            <w:vAlign w:val="bottom"/>
            <w:vMerge w:val="restart"/>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640" w:type="dxa"/>
            <w:vAlign w:val="bottom"/>
            <w:gridSpan w:val="9"/>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QUARTER ENDED</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rPr>
              <w:t>HIGH</w:t>
            </w:r>
          </w:p>
        </w:tc>
        <w:tc>
          <w:tcPr>
            <w:tcW w:w="860" w:type="dxa"/>
            <w:vAlign w:val="bottom"/>
          </w:tcPr>
          <w:p>
            <w:pPr>
              <w:spacing w:after="0"/>
              <w:rPr>
                <w:sz w:val="14"/>
                <w:szCs w:val="14"/>
                <w:color w:val="auto"/>
              </w:rPr>
            </w:pPr>
          </w:p>
        </w:tc>
        <w:tc>
          <w:tcPr>
            <w:tcW w:w="1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LOW</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HIGH</w:t>
            </w:r>
          </w:p>
        </w:tc>
        <w:tc>
          <w:tcPr>
            <w:tcW w:w="14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LOW</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640" w:type="dxa"/>
            <w:vAlign w:val="bottom"/>
            <w:gridSpan w:val="9"/>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March</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720" w:type="dxa"/>
            <w:vAlign w:val="bottom"/>
          </w:tcPr>
          <w:p>
            <w:pPr>
              <w:spacing w:after="0"/>
              <w:rPr>
                <w:sz w:val="22"/>
                <w:szCs w:val="22"/>
                <w:color w:val="auto"/>
              </w:rPr>
            </w:pP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32</w:t>
            </w:r>
          </w:p>
        </w:tc>
        <w:tc>
          <w:tcPr>
            <w:tcW w:w="860" w:type="dxa"/>
            <w:vAlign w:val="bottom"/>
          </w:tcPr>
          <w:p>
            <w:pPr>
              <w:spacing w:after="0"/>
              <w:rPr>
                <w:sz w:val="22"/>
                <w:szCs w:val="22"/>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25 3/8</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27</w:t>
            </w:r>
          </w:p>
        </w:tc>
        <w:tc>
          <w:tcPr>
            <w:tcW w:w="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3/4</w:t>
            </w:r>
          </w:p>
        </w:tc>
        <w:tc>
          <w:tcPr>
            <w:tcW w:w="1440" w:type="dxa"/>
            <w:vAlign w:val="bottom"/>
          </w:tcPr>
          <w:p>
            <w:pPr>
              <w:ind w:left="100"/>
              <w:spacing w:after="0"/>
              <w:rPr>
                <w:sz w:val="20"/>
                <w:szCs w:val="20"/>
                <w:color w:val="auto"/>
              </w:rPr>
            </w:pPr>
            <w:r>
              <w:rPr>
                <w:rFonts w:ascii="Courier New" w:cs="Courier New" w:eastAsia="Courier New" w:hAnsi="Courier New"/>
                <w:sz w:val="14"/>
                <w:szCs w:val="14"/>
                <w:color w:val="auto"/>
              </w:rPr>
              <w:t>21</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30</w:t>
            </w:r>
          </w:p>
        </w:tc>
        <w:tc>
          <w:tcPr>
            <w:tcW w:w="172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33 3/8</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28 1/16</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28</w:t>
            </w:r>
          </w:p>
        </w:tc>
        <w:tc>
          <w:tcPr>
            <w:tcW w:w="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3/8</w:t>
            </w:r>
          </w:p>
        </w:tc>
        <w:tc>
          <w:tcPr>
            <w:tcW w:w="1440" w:type="dxa"/>
            <w:vAlign w:val="bottom"/>
          </w:tcPr>
          <w:p>
            <w:pPr>
              <w:ind w:left="100"/>
              <w:spacing w:after="0"/>
              <w:rPr>
                <w:sz w:val="20"/>
                <w:szCs w:val="20"/>
                <w:color w:val="auto"/>
              </w:rPr>
            </w:pPr>
            <w:r>
              <w:rPr>
                <w:rFonts w:ascii="Courier New" w:cs="Courier New" w:eastAsia="Courier New" w:hAnsi="Courier New"/>
                <w:sz w:val="14"/>
                <w:szCs w:val="14"/>
                <w:color w:val="auto"/>
              </w:rPr>
              <w:t>25 3/4</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September 30</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38 11/16</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28 5/8</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800" w:type="dxa"/>
            <w:vAlign w:val="bottom"/>
            <w:vMerge w:val="restart"/>
          </w:tcPr>
          <w:p>
            <w:pPr>
              <w:jc w:val="right"/>
              <w:ind w:right="428"/>
              <w:spacing w:after="0"/>
              <w:rPr>
                <w:sz w:val="20"/>
                <w:szCs w:val="20"/>
                <w:color w:val="auto"/>
              </w:rPr>
            </w:pPr>
            <w:r>
              <w:rPr>
                <w:rFonts w:ascii="Courier New" w:cs="Courier New" w:eastAsia="Courier New" w:hAnsi="Courier New"/>
                <w:sz w:val="14"/>
                <w:szCs w:val="14"/>
                <w:color w:val="auto"/>
              </w:rPr>
              <w:t>1/8</w:t>
            </w:r>
          </w:p>
        </w:tc>
        <w:tc>
          <w:tcPr>
            <w:tcW w:w="1440" w:type="dxa"/>
            <w:vAlign w:val="bottom"/>
          </w:tcPr>
          <w:p>
            <w:pPr>
              <w:ind w:left="100"/>
              <w:spacing w:after="0"/>
              <w:rPr>
                <w:sz w:val="20"/>
                <w:szCs w:val="20"/>
                <w:color w:val="auto"/>
              </w:rPr>
            </w:pPr>
            <w:r>
              <w:rPr>
                <w:rFonts w:ascii="Courier New" w:cs="Courier New" w:eastAsia="Courier New" w:hAnsi="Courier New"/>
                <w:sz w:val="14"/>
                <w:szCs w:val="14"/>
                <w:color w:val="auto"/>
              </w:rPr>
              <w:t>25 1/2</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December</w:t>
            </w:r>
          </w:p>
        </w:tc>
        <w:tc>
          <w:tcPr>
            <w:tcW w:w="172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31</w:t>
            </w:r>
          </w:p>
        </w:tc>
        <w:tc>
          <w:tcPr>
            <w:tcW w:w="14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39 5/8</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34</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800" w:type="dxa"/>
            <w:vAlign w:val="bottom"/>
            <w:vMerge w:val="continue"/>
          </w:tcPr>
          <w:p>
            <w:pPr>
              <w:spacing w:after="0"/>
              <w:rPr>
                <w:sz w:val="21"/>
                <w:szCs w:val="21"/>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4"/>
                <w:szCs w:val="14"/>
                <w:color w:val="auto"/>
              </w:rPr>
              <w:t>25 1/2</w:t>
            </w: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4140"/>
        <w:spacing w:after="0" w:line="292" w:lineRule="auto"/>
        <w:rPr>
          <w:sz w:val="20"/>
          <w:szCs w:val="20"/>
          <w:color w:val="auto"/>
        </w:rPr>
      </w:pPr>
      <w:r>
        <w:rPr>
          <w:rFonts w:ascii="Courier New" w:cs="Courier New" w:eastAsia="Courier New" w:hAnsi="Courier New"/>
          <w:sz w:val="14"/>
          <w:szCs w:val="14"/>
          <w:color w:val="auto"/>
        </w:rPr>
        <w:t>At December 31, 1996, the Company's common stock was held by approximately 30,000 shareholders of record or through nominee or street name accounts with brokers. The closing sale price for the Company's stock on January 17, 1997 was $37.00 per share.</w:t>
      </w:r>
    </w:p>
    <w:p>
      <w:pPr>
        <w:spacing w:after="0" w:line="56" w:lineRule="exact"/>
        <w:rPr>
          <w:sz w:val="20"/>
          <w:szCs w:val="20"/>
          <w:color w:val="auto"/>
        </w:rPr>
      </w:pPr>
    </w:p>
    <w:p>
      <w:pPr>
        <w:jc w:val="both"/>
        <w:ind w:right="4140"/>
        <w:spacing w:after="0" w:line="376" w:lineRule="auto"/>
        <w:rPr>
          <w:sz w:val="20"/>
          <w:szCs w:val="20"/>
          <w:color w:val="auto"/>
        </w:rPr>
      </w:pPr>
      <w:r>
        <w:rPr>
          <w:rFonts w:ascii="Courier New" w:cs="Courier New" w:eastAsia="Courier New" w:hAnsi="Courier New"/>
          <w:sz w:val="14"/>
          <w:szCs w:val="14"/>
          <w:color w:val="auto"/>
        </w:rPr>
        <w:t>The Company's present policy is to retain earnings to support future business opportunities, rather than to pay dividends.</w:t>
      </w:r>
    </w:p>
    <w:p>
      <w:pPr>
        <w:sectPr>
          <w:pgSz w:w="11900" w:h="16838" w:orient="portrait"/>
          <w:cols w:equalWidth="0" w:num="1">
            <w:col w:w="11040"/>
          </w:cols>
          <w:pgMar w:left="220" w:top="115" w:right="639"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and Directors of Fiserv, Inc.:</w:t>
      </w:r>
    </w:p>
    <w:p>
      <w:pPr>
        <w:spacing w:after="0" w:line="173" w:lineRule="exact"/>
        <w:rPr>
          <w:sz w:val="20"/>
          <w:szCs w:val="20"/>
          <w:color w:val="auto"/>
        </w:rPr>
      </w:pPr>
    </w:p>
    <w:p>
      <w:pPr>
        <w:jc w:val="both"/>
        <w:ind w:right="3339"/>
        <w:spacing w:after="0" w:line="275" w:lineRule="auto"/>
        <w:rPr>
          <w:sz w:val="20"/>
          <w:szCs w:val="20"/>
          <w:color w:val="auto"/>
        </w:rPr>
      </w:pPr>
      <w:r>
        <w:rPr>
          <w:rFonts w:ascii="Courier New" w:cs="Courier New" w:eastAsia="Courier New" w:hAnsi="Courier New"/>
          <w:sz w:val="14"/>
          <w:szCs w:val="14"/>
          <w:color w:val="auto"/>
        </w:rPr>
        <w:t>We have audited the accompanying consolidated balance sheets of Fiserv, Inc. and subsidiaries as of December 31, 1996 and 1995 and the related consolidated statements of operations, shareholders'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69" w:lineRule="exact"/>
        <w:rPr>
          <w:sz w:val="20"/>
          <w:szCs w:val="20"/>
          <w:color w:val="auto"/>
        </w:rPr>
      </w:pPr>
    </w:p>
    <w:p>
      <w:pPr>
        <w:jc w:val="both"/>
        <w:ind w:right="3339"/>
        <w:spacing w:after="0" w:line="268"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4" w:lineRule="exact"/>
        <w:rPr>
          <w:sz w:val="20"/>
          <w:szCs w:val="20"/>
          <w:color w:val="auto"/>
        </w:rPr>
      </w:pPr>
    </w:p>
    <w:p>
      <w:pPr>
        <w:jc w:val="both"/>
        <w:ind w:right="3339"/>
        <w:spacing w:after="0" w:line="282"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Fiserv, Inc. and subsidiaries at December 31, 1996 and 1995 and the results of their operations and their cash flows for each of the three years in the period ended December 31, 1996, in conformity with generally accepted accounting principles.</w:t>
      </w: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Milwaukee, Wisconsin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31,1997</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STATEMENT OF RESPONSIBILITY</w:t>
      </w:r>
    </w:p>
    <w:p>
      <w:pPr>
        <w:spacing w:after="0" w:line="173" w:lineRule="exact"/>
        <w:rPr>
          <w:sz w:val="20"/>
          <w:szCs w:val="20"/>
          <w:color w:val="auto"/>
        </w:rPr>
      </w:pPr>
    </w:p>
    <w:p>
      <w:pPr>
        <w:jc w:val="both"/>
        <w:ind w:right="3339"/>
        <w:spacing w:after="0" w:line="284" w:lineRule="auto"/>
        <w:rPr>
          <w:sz w:val="20"/>
          <w:szCs w:val="20"/>
          <w:color w:val="auto"/>
        </w:rPr>
      </w:pPr>
      <w:r>
        <w:rPr>
          <w:rFonts w:ascii="Courier New" w:cs="Courier New" w:eastAsia="Courier New" w:hAnsi="Courier New"/>
          <w:sz w:val="14"/>
          <w:szCs w:val="14"/>
          <w:color w:val="auto"/>
        </w:rPr>
        <w:t>The management of Fiserv, Inc. assumes responsibility for the integrity and objectivity of the information appearing in the 1996 Annual Report. This information was prepared in conformity with generally accepted accounting principles and necessarily reflects the best estimates and judgment of management.</w:t>
      </w:r>
    </w:p>
    <w:p>
      <w:pPr>
        <w:spacing w:after="0" w:line="243" w:lineRule="exact"/>
        <w:rPr>
          <w:sz w:val="20"/>
          <w:szCs w:val="20"/>
          <w:color w:val="auto"/>
        </w:rPr>
      </w:pPr>
    </w:p>
    <w:p>
      <w:pPr>
        <w:jc w:val="both"/>
        <w:ind w:right="3339"/>
        <w:spacing w:after="0" w:line="282" w:lineRule="auto"/>
        <w:rPr>
          <w:sz w:val="20"/>
          <w:szCs w:val="20"/>
          <w:color w:val="auto"/>
        </w:rPr>
      </w:pPr>
      <w:r>
        <w:rPr>
          <w:rFonts w:ascii="Courier New" w:cs="Courier New" w:eastAsia="Courier New" w:hAnsi="Courier New"/>
          <w:sz w:val="14"/>
          <w:szCs w:val="14"/>
          <w:color w:val="auto"/>
        </w:rPr>
        <w:t>To provide reasonable assurance that transactions authorized by management are recorded and reported properly and that assets are safeguarded, the Company maintains a system of internal controls. The concept of reasonable assurance implies that the cost of such a system is weighed against the benefits to be derived therefrom.</w:t>
      </w:r>
    </w:p>
    <w:p>
      <w:pPr>
        <w:spacing w:after="0" w:line="62" w:lineRule="exact"/>
        <w:rPr>
          <w:sz w:val="20"/>
          <w:szCs w:val="20"/>
          <w:color w:val="auto"/>
        </w:rPr>
      </w:pPr>
    </w:p>
    <w:p>
      <w:pPr>
        <w:jc w:val="both"/>
        <w:ind w:right="3339"/>
        <w:spacing w:after="0" w:line="292" w:lineRule="auto"/>
        <w:rPr>
          <w:sz w:val="20"/>
          <w:szCs w:val="20"/>
          <w:color w:val="auto"/>
        </w:rPr>
      </w:pPr>
      <w:r>
        <w:rPr>
          <w:rFonts w:ascii="Courier New" w:cs="Courier New" w:eastAsia="Courier New" w:hAnsi="Courier New"/>
          <w:sz w:val="14"/>
          <w:szCs w:val="14"/>
          <w:color w:val="auto"/>
        </w:rPr>
        <w:t>Deloitte &amp; Touche LLP, certified public accountants, audit the financial statements of the Company in accordance with generally accepted auditing standards. Their audit includes a review of the internal control system, and improvements are made to the system based upon their recommendations.</w:t>
      </w:r>
    </w:p>
    <w:p>
      <w:pPr>
        <w:spacing w:after="0" w:line="56" w:lineRule="exact"/>
        <w:rPr>
          <w:sz w:val="20"/>
          <w:szCs w:val="20"/>
          <w:color w:val="auto"/>
        </w:rPr>
      </w:pPr>
    </w:p>
    <w:p>
      <w:pPr>
        <w:jc w:val="both"/>
        <w:ind w:right="3339"/>
        <w:spacing w:after="0" w:line="260" w:lineRule="auto"/>
        <w:rPr>
          <w:sz w:val="20"/>
          <w:szCs w:val="20"/>
          <w:color w:val="auto"/>
        </w:rPr>
      </w:pPr>
      <w:r>
        <w:rPr>
          <w:rFonts w:ascii="Courier New" w:cs="Courier New" w:eastAsia="Courier New" w:hAnsi="Courier New"/>
          <w:sz w:val="14"/>
          <w:szCs w:val="14"/>
          <w:color w:val="auto"/>
        </w:rPr>
        <w:t>The Audit Committee ensures that management and the independent auditors are properly discharging their financial reporting responsibilities. In performing this function, the Committee meets with management and the independent auditors throughout the year. Additional access to the Committee is provided to Deloitte</w:t>
      </w:r>
    </w:p>
    <w:p>
      <w:pPr>
        <w:spacing w:after="0" w:line="1" w:lineRule="exact"/>
        <w:rPr>
          <w:sz w:val="20"/>
          <w:szCs w:val="20"/>
          <w:color w:val="auto"/>
        </w:rPr>
      </w:pPr>
    </w:p>
    <w:p>
      <w:pPr>
        <w:jc w:val="both"/>
        <w:ind w:right="3339" w:firstLine="8"/>
        <w:spacing w:after="0" w:line="293" w:lineRule="auto"/>
        <w:tabs>
          <w:tab w:leader="none" w:pos="17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Touche LLP on an unrestricted basis, allowing discussion of audit results and opinions on the adequacy of internal accounting controls and the quality of financial reporting.</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GEORGE D. DALTON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D. DALTON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ectPr>
          <w:pgSz w:w="11900" w:h="16838" w:orient="portrait"/>
          <w:cols w:equalWidth="0" w:num="1">
            <w:col w:w="10239"/>
          </w:cols>
          <w:pgMar w:left="220" w:top="75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EXHIBIT 21</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SUBSIDIARIES OF THE REGISTRANT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80" w:type="dxa"/>
            <w:vAlign w:val="bottom"/>
            <w:vMerge w:val="restart"/>
          </w:tcPr>
          <w:p>
            <w:pPr>
              <w:spacing w:after="0"/>
              <w:rPr>
                <w:sz w:val="20"/>
                <w:szCs w:val="20"/>
                <w:color w:val="auto"/>
              </w:rPr>
            </w:pPr>
            <w:r>
              <w:rPr>
                <w:rFonts w:ascii="Courier New" w:cs="Courier New" w:eastAsia="Courier New" w:hAnsi="Courier New"/>
                <w:sz w:val="14"/>
                <w:szCs w:val="14"/>
                <w:color w:val="auto"/>
              </w:rPr>
              <w:t>Name under which Subsidiary does Business</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State of</w:t>
            </w:r>
          </w:p>
        </w:tc>
        <w:tc>
          <w:tcPr>
            <w:tcW w:w="0" w:type="dxa"/>
            <w:vAlign w:val="bottom"/>
          </w:tcPr>
          <w:p>
            <w:pPr>
              <w:spacing w:after="0"/>
              <w:rPr>
                <w:sz w:val="1"/>
                <w:szCs w:val="1"/>
                <w:color w:val="auto"/>
              </w:rPr>
            </w:pPr>
          </w:p>
        </w:tc>
      </w:tr>
      <w:tr>
        <w:trPr>
          <w:trHeight w:val="242"/>
        </w:trPr>
        <w:tc>
          <w:tcPr>
            <w:tcW w:w="4480" w:type="dxa"/>
            <w:vAlign w:val="bottom"/>
            <w:vMerge w:val="continue"/>
          </w:tcPr>
          <w:p>
            <w:pPr>
              <w:spacing w:after="0"/>
              <w:rPr>
                <w:sz w:val="21"/>
                <w:szCs w:val="21"/>
                <w:color w:val="auto"/>
              </w:rPr>
            </w:pP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Incorporation</w:t>
            </w:r>
          </w:p>
        </w:tc>
        <w:tc>
          <w:tcPr>
            <w:tcW w:w="0" w:type="dxa"/>
            <w:vAlign w:val="bottom"/>
          </w:tcPr>
          <w:p>
            <w:pPr>
              <w:spacing w:after="0"/>
              <w:rPr>
                <w:sz w:val="1"/>
                <w:szCs w:val="1"/>
                <w:color w:val="auto"/>
              </w:rPr>
            </w:pPr>
          </w:p>
        </w:tc>
      </w:tr>
      <w:tr>
        <w:trPr>
          <w:trHeight w:val="255"/>
        </w:trPr>
        <w:tc>
          <w:tcPr>
            <w:tcW w:w="4480" w:type="dxa"/>
            <w:vAlign w:val="bottom"/>
          </w:tcPr>
          <w:p>
            <w:pPr>
              <w:spacing w:after="0"/>
              <w:rPr>
                <w:sz w:val="20"/>
                <w:szCs w:val="20"/>
                <w:color w:val="auto"/>
              </w:rPr>
            </w:pPr>
            <w:r>
              <w:rPr>
                <w:rFonts w:ascii="Courier New" w:cs="Courier New" w:eastAsia="Courier New" w:hAnsi="Courier New"/>
                <w:sz w:val="14"/>
                <w:szCs w:val="14"/>
                <w:color w:val="auto"/>
              </w:rPr>
              <w:t>Aspen Investment Alliance,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Colorado</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BMS On-Line Services,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Massachusetts</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Data Link Systems, LLC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Wisconsin</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FIserv CIR,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Delaware</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FIserv Federal Systems,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Delaware</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FIserv Fresno,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California</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FIserv Government Services,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Delaware</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FIserv Joint Venture,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Delaware</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Fiserv Solutions,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Wisconsin</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FIserv (Europe) Ltd.</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United Kingdom</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FIserv (ASPAC) Pte., Ltd.</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Singapore</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First Retirement Marketing,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Colorado</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First Trust Corporation</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Colorado</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Information Technology,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Nebraska</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Lincoln Trust Company</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Colorado</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The Affinity Group,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Colorado</w:t>
            </w:r>
          </w:p>
        </w:tc>
        <w:tc>
          <w:tcPr>
            <w:tcW w:w="0" w:type="dxa"/>
            <w:vAlign w:val="bottom"/>
          </w:tcPr>
          <w:p>
            <w:pPr>
              <w:spacing w:after="0"/>
              <w:rPr>
                <w:sz w:val="1"/>
                <w:szCs w:val="1"/>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Bankers Pension Services,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California</w:t>
            </w:r>
          </w:p>
        </w:tc>
        <w:tc>
          <w:tcPr>
            <w:tcW w:w="0" w:type="dxa"/>
            <w:vAlign w:val="bottom"/>
          </w:tcPr>
          <w:p>
            <w:pPr>
              <w:spacing w:after="0"/>
              <w:rPr>
                <w:sz w:val="1"/>
                <w:szCs w:val="1"/>
                <w:color w:val="auto"/>
              </w:rPr>
            </w:pPr>
          </w:p>
        </w:tc>
      </w:tr>
      <w:tr>
        <w:trPr>
          <w:trHeight w:val="242"/>
        </w:trPr>
        <w:tc>
          <w:tcPr>
            <w:tcW w:w="4480" w:type="dxa"/>
            <w:vAlign w:val="bottom"/>
          </w:tcPr>
          <w:p>
            <w:pPr>
              <w:spacing w:after="0"/>
              <w:rPr>
                <w:sz w:val="20"/>
                <w:szCs w:val="20"/>
                <w:color w:val="auto"/>
              </w:rPr>
            </w:pPr>
            <w:r>
              <w:rPr>
                <w:rFonts w:ascii="Courier New" w:cs="Courier New" w:eastAsia="Courier New" w:hAnsi="Courier New"/>
                <w:sz w:val="14"/>
                <w:szCs w:val="14"/>
                <w:color w:val="auto"/>
              </w:rPr>
              <w:t>Fiserv Solutions of Canada Inc.</w:t>
            </w:r>
          </w:p>
        </w:tc>
        <w:tc>
          <w:tcPr>
            <w:tcW w:w="2160" w:type="dxa"/>
            <w:vAlign w:val="bottom"/>
          </w:tcPr>
          <w:p>
            <w:pPr>
              <w:ind w:left="960"/>
              <w:spacing w:after="0"/>
              <w:rPr>
                <w:sz w:val="20"/>
                <w:szCs w:val="20"/>
                <w:color w:val="auto"/>
              </w:rPr>
            </w:pPr>
            <w:r>
              <w:rPr>
                <w:rFonts w:ascii="Courier New" w:cs="Courier New" w:eastAsia="Courier New" w:hAnsi="Courier New"/>
                <w:sz w:val="14"/>
                <w:szCs w:val="14"/>
                <w:color w:val="auto"/>
              </w:rPr>
              <w:t>Ontario</w:t>
            </w:r>
          </w:p>
        </w:tc>
        <w:tc>
          <w:tcPr>
            <w:tcW w:w="0" w:type="dxa"/>
            <w:vAlign w:val="bottom"/>
          </w:tcPr>
          <w:p>
            <w:pPr>
              <w:spacing w:after="0"/>
              <w:rPr>
                <w:sz w:val="1"/>
                <w:szCs w:val="1"/>
                <w:color w:val="auto"/>
              </w:rPr>
            </w:pPr>
          </w:p>
        </w:tc>
      </w:tr>
    </w:tbl>
    <w:p>
      <w:pPr>
        <w:sectPr>
          <w:pgSz w:w="11900" w:h="16838" w:orient="portrait"/>
          <w:cols w:equalWidth="0" w:num="1">
            <w:col w:w="10239"/>
          </w:cols>
          <w:pgMar w:left="220" w:top="28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3" w:lineRule="exact"/>
        <w:rPr>
          <w:sz w:val="20"/>
          <w:szCs w:val="20"/>
          <w:color w:val="auto"/>
        </w:rPr>
      </w:pPr>
    </w:p>
    <w:p>
      <w:pPr>
        <w:jc w:val="both"/>
        <w:ind w:right="3339"/>
        <w:spacing w:after="0" w:line="292" w:lineRule="auto"/>
        <w:rPr>
          <w:sz w:val="20"/>
          <w:szCs w:val="20"/>
          <w:color w:val="auto"/>
        </w:rPr>
      </w:pPr>
      <w:r>
        <w:rPr>
          <w:rFonts w:ascii="Courier New" w:cs="Courier New" w:eastAsia="Courier New" w:hAnsi="Courier New"/>
          <w:sz w:val="14"/>
          <w:szCs w:val="14"/>
          <w:color w:val="auto"/>
        </w:rPr>
        <w:t>We consent to the incorporation by reference in this Amendment No. 1 to Registration Statement No. 333-04417 of Fiserv, Inc. on Form S-8 of our report dated January 31, 1997, incorporated by reference in the Annual Report on Form 10-K of Fiserv, Inc. for the year ended December 31, 1996.</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Milwaukee, Wisconsin</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17, 1997</w:t>
      </w:r>
    </w:p>
    <w:p>
      <w:pPr>
        <w:sectPr>
          <w:pgSz w:w="11900" w:h="16838" w:orient="portrait"/>
          <w:cols w:equalWidth="0" w:num="1">
            <w:col w:w="10239"/>
          </w:cols>
          <w:pgMar w:left="220" w:top="281" w:right="1440" w:bottom="1440" w:gutter="0" w:footer="0" w:header="0"/>
        </w:sectPr>
      </w:pPr>
    </w:p>
    <w:bookmarkStart w:id="25" w:name="page26"/>
    <w:bookmarkEnd w:id="25"/>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499"/>
        <w:spacing w:after="0" w:line="313" w:lineRule="auto"/>
        <w:rPr>
          <w:sz w:val="20"/>
          <w:szCs w:val="20"/>
          <w:color w:val="auto"/>
        </w:rPr>
      </w:pPr>
      <w:r>
        <w:rPr>
          <w:rFonts w:ascii="Courier New" w:cs="Courier New" w:eastAsia="Courier New" w:hAnsi="Courier New"/>
          <w:sz w:val="14"/>
          <w:szCs w:val="14"/>
          <w:color w:val="auto"/>
        </w:rPr>
        <w:t>THIS SCHEDULE CONTAINS SUMMARY FINANCIAL INFORMATION EXTRACTED FROM THE 1996 ANNUAL REPORT TO SHAREHOLDERS AND IS QUALIFIED IN ITS ENTIRETY BY REFERENCE TO SUCH INFORMATION.</w:t>
      </w:r>
    </w:p>
    <w:p>
      <w:pPr>
        <w:spacing w:after="0" w:line="42"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YEAR</w:t>
      </w:r>
    </w:p>
    <w:p>
      <w:pPr>
        <w:spacing w:after="0" w:line="33"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80,833</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970,553</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160,747</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1,266,487</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304,835</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161,174</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1,908,519</w:t>
      </w:r>
    </w:p>
    <w:p>
      <w:pPr>
        <w:spacing w:after="0" w:line="7"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1,128,385</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453</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506,817</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1,908,519</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798,268</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649,916</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24,715</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19,088</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104,549</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42,865</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61,684</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61,684</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1.34</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1.34</w:t>
      </w:r>
    </w:p>
    <w:sectPr>
      <w:pgSz w:w="11900" w:h="16838" w:orient="portrait"/>
      <w:cols w:equalWidth="0" w:num="1">
        <w:col w:w="10199"/>
      </w:cols>
      <w:pgMar w:left="26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2"/>
    </w:lvl>
  </w:abstractNum>
  <w:abstractNum w:abstractNumId="1">
    <w:nsid w:val="79E2A9E3"/>
    <w:multiLevelType w:val="hybridMultilevel"/>
    <w:lvl w:ilvl="0">
      <w:lvlJc w:val="left"/>
      <w:lvlText w:val="(%1)"/>
      <w:numFmt w:val="lowerLetter"/>
      <w:start w:val="3"/>
    </w:lvl>
  </w:abstractNum>
  <w:abstractNum w:abstractNumId="2">
    <w:nsid w:val="7545E146"/>
    <w:multiLevelType w:val="hybridMultilevel"/>
    <w:lvl w:ilvl="0">
      <w:lvlJc w:val="left"/>
      <w:lvlText w:val="%1"/>
      <w:numFmt w:val="decimal"/>
      <w:start w:val="1"/>
    </w:lvl>
    <w:lvl w:ilvl="1">
      <w:lvlJc w:val="left"/>
      <w:lvlText w:val="(%2)"/>
      <w:numFmt w:val="upperLetter"/>
      <w:start w:val="1"/>
    </w:lvl>
  </w:abstractNum>
  <w:abstractNum w:abstractNumId="3">
    <w:nsid w:val="515F007C"/>
    <w:multiLevelType w:val="hybridMultilevel"/>
    <w:lvl w:ilvl="0">
      <w:lvlJc w:val="left"/>
      <w:lvlText w:val="%1."/>
      <w:numFmt w:val="decimal"/>
      <w:start w:val="10"/>
    </w:lvl>
    <w:lvl w:ilvl="1">
      <w:lvlJc w:val="left"/>
      <w:lvlText w:val="%2"/>
      <w:numFmt w:val="upperLetter"/>
      <w:start w:val="1"/>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1."/>
      <w:numFmt w:val="decimal"/>
      <w:start w:val="13"/>
    </w:lvl>
  </w:abstractNum>
  <w:abstractNum w:abstractNumId="6">
    <w:nsid w:val="4DB127F8"/>
    <w:multiLevelType w:val="hybridMultilevel"/>
    <w:lvl w:ilvl="0">
      <w:lvlJc w:val="left"/>
      <w:lvlText w:val="%1."/>
      <w:numFmt w:val="decimal"/>
      <w:start w:val="21"/>
    </w:lvl>
  </w:abstractNum>
  <w:abstractNum w:abstractNumId="7">
    <w:nsid w:val="216231B"/>
    <w:multiLevelType w:val="hybridMultilevel"/>
    <w:lvl w:ilvl="0">
      <w:lvlJc w:val="left"/>
      <w:lvlText w:val="%1."/>
      <w:numFmt w:val="decimal"/>
      <w:start w:val="23"/>
    </w:lvl>
  </w:abstractNum>
  <w:abstractNum w:abstractNumId="8">
    <w:nsid w:val="1F16E9E8"/>
    <w:multiLevelType w:val="hybridMultilevel"/>
    <w:lvl w:ilvl="0">
      <w:lvlJc w:val="left"/>
      <w:lvlText w:val="%1."/>
      <w:numFmt w:val="decimal"/>
      <w:start w:val="27"/>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2019-12-13T16:55:09Z</dcterms:created>
  <dcterms:modified xsi:type="dcterms:W3CDTF">2019-12-13T16:55:09Z</dcterms:modified>
</cp:coreProperties>
</file>