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33695d8k.htm"/>
      <w:bookmarkStart w:id="1" w:name="ksd3336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Fiserv,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1-38962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39-1506125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600 N. Vel R. Phillips Avenue, Milwaukee, WI 53203</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(262) 879-5000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75" w:type="dxa"/>
        <w:jc w:val="left"/>
        <w:tblInd w:w="0" w:type="dxa"/>
        <w:tblLayout w:type="fixed"/>
        <w:tblCellMar>
          <w:top w:w="0" w:type="dxa"/>
          <w:left w:w="0" w:type="dxa"/>
          <w:bottom w:w="0" w:type="dxa"/>
          <w:right w:w="0" w:type="dxa"/>
        </w:tblCellMar>
      </w:tblPr>
      <w:tblGrid>
        <w:gridCol w:w="4025"/>
        <w:gridCol w:w="60"/>
        <w:gridCol w:w="965"/>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1.125% Senior Notes due 2027</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FISV27</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1.625%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3.000%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4.500%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2.875% Senior Notes due 2028</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FISV28C</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3.500% Senior Notes due 2032</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FISV32</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4.000% Senior Notes due 2036</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FISV36</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16, 2026, Fiserv, Inc. (the “Company”) announced that it commenced an offer (the “Tender Offer”) to purchase for cash any and all of its outstanding (i) 5.150% Senior Notes due 2027 (the “5.150% Notes”) and (ii) 4.400% Senior Notes due 2049 (the “4.400% Notes” and, together with the 5.150% Notes, the “Notes”), as described in the Company’s Offer to Purchase, dated June 16, 2026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Tender Offer and payment for the Notes accepted for purchase are subject to the satisfaction or waiver of certain conditions described in the Offer to Purchase, including, among other things, the receipt of proceeds upon settlement of an offering of new euro denominated senior notes.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dated June 16, 2026, announcing the commencement of the Tender Offer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is being furnished and shall not be deemed “filed” for the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otherwise expressly stated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Exhibits</w:t>
      </w:r>
      <w:r>
        <w:rPr>
          <w:rFonts w:ascii="Times New Roman" w:hAnsi="Times New Roman"/>
          <w:sz w:val="20"/>
        </w:rPr>
        <w:t xml:space="preserve">. The following exhibit is being furnished herewith: </w:t>
      </w:r>
    </w:p>
    <w:p>
      <w:pPr>
        <w:pStyle w:val="TextBody"/>
        <w:bidi w:val="0"/>
        <w:spacing w:before="240" w:after="0"/>
        <w:jc w:val="center"/>
        <w:rPr>
          <w:rFonts w:ascii="Times New Roman" w:hAnsi="Times New Roman"/>
          <w:sz w:val="20"/>
        </w:rPr>
      </w:pPr>
      <w:r>
        <w:rPr>
          <w:rFonts w:ascii="Times New Roman" w:hAnsi="Times New Roman"/>
          <w:sz w:val="20"/>
        </w:rPr>
        <w:t xml:space="preserve">Exhibit Index to Current Report on Form 8-K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605"/>
        <w:gridCol w:w="120"/>
        <w:gridCol w:w="9215"/>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15"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center"/>
          </w:tcPr>
          <w:p>
            <w:pPr>
              <w:pStyle w:val="TableContents"/>
              <w:bidi w:val="0"/>
              <w:spacing w:before="0" w:after="283"/>
              <w:jc w:val="left"/>
              <w:rPr/>
            </w:pPr>
            <w:r>
              <w:rPr/>
              <w:t>  </w:t>
            </w:r>
          </w:p>
        </w:tc>
        <w:tc>
          <w:tcPr>
            <w:tcW w:w="921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283"/>
              <w:jc w:val="left"/>
              <w:rPr/>
            </w:pPr>
            <w:hyperlink w:anchor="d333695dex991.htm">
              <w:r>
                <w:rPr>
                  <w:rStyle w:val="InternetLink"/>
                </w:rPr>
                <w:t xml:space="preserve">Press Release of Fiserv, Inc., dated June 16, 2026 (furnished pursuant to Item 7.01 of Form 8-K)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335"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222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FISERV,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M. Todd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Paul M. Todd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333695dex991.htm"/>
      <w:bookmarkStart w:id="3" w:name="ksd33369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46685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923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Immediate Release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Fiserv Announces Launch of Tender Offers for Any and All of its </w:t>
      </w:r>
    </w:p>
    <w:p>
      <w:pPr>
        <w:pStyle w:val="TextBody"/>
        <w:bidi w:val="0"/>
        <w:spacing w:before="0" w:after="0"/>
        <w:jc w:val="center"/>
        <w:rPr>
          <w:rFonts w:ascii="Times New Roman" w:hAnsi="Times New Roman"/>
          <w:b/>
          <w:sz w:val="20"/>
        </w:rPr>
      </w:pPr>
      <w:r>
        <w:rPr>
          <w:rFonts w:ascii="Times New Roman" w:hAnsi="Times New Roman"/>
          <w:b/>
          <w:sz w:val="20"/>
        </w:rPr>
        <w:t xml:space="preserve">Outstanding 5.150% Senior Notes due 2027 and 4.400% Senior Notes due 2049 </w:t>
      </w:r>
    </w:p>
    <w:p>
      <w:pPr>
        <w:pStyle w:val="TextBody"/>
        <w:bidi w:val="0"/>
        <w:spacing w:before="240" w:after="0"/>
        <w:jc w:val="left"/>
        <w:rPr>
          <w:rFonts w:ascii="Times New Roman" w:hAnsi="Times New Roman"/>
          <w:sz w:val="20"/>
        </w:rPr>
      </w:pPr>
      <w:r>
        <w:rPr>
          <w:rFonts w:ascii="Times New Roman" w:hAnsi="Times New Roman"/>
          <w:b/>
          <w:sz w:val="20"/>
        </w:rPr>
        <w:t>MILWAUKEE, June</w:t>
      </w:r>
      <w:r>
        <w:rPr>
          <w:rFonts w:ascii="Times New Roman" w:hAnsi="Times New Roman"/>
          <w:sz w:val="20"/>
        </w:rPr>
        <w:t> </w:t>
      </w:r>
      <w:r>
        <w:rPr>
          <w:rFonts w:ascii="Times New Roman" w:hAnsi="Times New Roman"/>
          <w:b/>
          <w:sz w:val="20"/>
        </w:rPr>
        <w:t>16, 2026</w:t>
      </w:r>
      <w:r>
        <w:rPr>
          <w:rFonts w:ascii="Times New Roman" w:hAnsi="Times New Roman"/>
          <w:sz w:val="20"/>
        </w:rPr>
        <w:t xml:space="preserve"> - Fiserv, Inc. (NASDAQ: FISV) (the “Company”), a leading global provider of payments and financial services technology solutions, today announced the commencement of tender offers to purchase for cash any and all of the senior notes issued by the Company listed in the table below (collectively, the “Notes”). The tender offers (the “Offers”) are being made pursuant to the Offer to Purchase, dated June 16, 2026 (the “Offer to Purchase”).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Offers to Purchase for Cash Any and All of the Company’s Senior Notes Described in the Table Below </w:t>
      </w:r>
    </w:p>
    <w:p>
      <w:pPr>
        <w:pStyle w:val="TextBody"/>
        <w:bidi w:val="0"/>
        <w:spacing w:before="0" w:after="0"/>
        <w:jc w:val="left"/>
        <w:rPr/>
      </w:pPr>
      <w:r>
        <w:rPr/>
        <w:t> </w:t>
      </w:r>
    </w:p>
    <w:tbl>
      <w:tblPr>
        <w:tblW w:w="11150" w:type="dxa"/>
        <w:jc w:val="center"/>
        <w:tblInd w:w="0" w:type="dxa"/>
        <w:tblLayout w:type="fixed"/>
        <w:tblCellMar>
          <w:top w:w="0" w:type="dxa"/>
          <w:left w:w="0" w:type="dxa"/>
          <w:bottom w:w="0" w:type="dxa"/>
          <w:right w:w="0" w:type="dxa"/>
        </w:tblCellMar>
      </w:tblPr>
      <w:tblGrid>
        <w:gridCol w:w="1190"/>
        <w:gridCol w:w="120"/>
        <w:gridCol w:w="3095"/>
        <w:gridCol w:w="120"/>
        <w:gridCol w:w="140"/>
        <w:gridCol w:w="1400"/>
        <w:gridCol w:w="60"/>
        <w:gridCol w:w="120"/>
        <w:gridCol w:w="3080"/>
        <w:gridCol w:w="120"/>
        <w:gridCol w:w="815"/>
        <w:gridCol w:w="120"/>
        <w:gridCol w:w="77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Security</w:t>
            </w:r>
          </w:p>
        </w:tc>
        <w:tc>
          <w:tcPr>
            <w:tcW w:w="120" w:type="dxa"/>
            <w:tcBorders/>
            <w:vAlign w:val="bottom"/>
          </w:tcPr>
          <w:p>
            <w:pPr>
              <w:pStyle w:val="TableContents"/>
              <w:bidi w:val="0"/>
              <w:spacing w:before="0" w:after="283"/>
              <w:jc w:val="left"/>
              <w:rPr/>
            </w:pPr>
            <w:r>
              <w:rPr/>
              <w:t>  </w:t>
            </w:r>
          </w:p>
        </w:tc>
        <w:tc>
          <w:tcPr>
            <w:tcW w:w="3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 No. / ISIN No.(1)</w:t>
            </w:r>
          </w:p>
        </w:tc>
        <w:tc>
          <w:tcPr>
            <w:tcW w:w="120"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U.S.</w:t>
            </w:r>
          </w:p>
          <w:p>
            <w:pPr>
              <w:pStyle w:val="TableContents"/>
              <w:bidi w:val="0"/>
              <w:spacing w:before="0" w:after="20"/>
              <w:jc w:val="center"/>
              <w:rPr>
                <w:rFonts w:ascii="Times New Roman" w:hAnsi="Times New Roman"/>
                <w:b/>
                <w:sz w:val="16"/>
              </w:rPr>
            </w:pPr>
            <w:r>
              <w:rPr>
                <w:rFonts w:ascii="Times New Roman" w:hAnsi="Times New Roman"/>
                <w:b/>
                <w:sz w:val="16"/>
              </w:rPr>
              <w:t>Treasury</w:t>
              <w:br/>
              <w:t>Reference</w:t>
              <w:br/>
              <w:t>Security(2)</w:t>
            </w:r>
          </w:p>
        </w:tc>
        <w:tc>
          <w:tcPr>
            <w:tcW w:w="120" w:type="dxa"/>
            <w:tcBorders/>
            <w:vAlign w:val="bottom"/>
          </w:tcPr>
          <w:p>
            <w:pPr>
              <w:pStyle w:val="TableContents"/>
              <w:bidi w:val="0"/>
              <w:spacing w:before="0" w:after="283"/>
              <w:jc w:val="left"/>
              <w:rPr/>
            </w:pPr>
            <w:r>
              <w:rPr/>
              <w:t>  </w:t>
            </w:r>
          </w:p>
        </w:tc>
        <w:tc>
          <w:tcPr>
            <w:tcW w:w="81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Bloomberg</w:t>
              <w:br/>
              <w:t>Reference</w:t>
            </w:r>
          </w:p>
          <w:p>
            <w:pPr>
              <w:pStyle w:val="TableContents"/>
              <w:bidi w:val="0"/>
              <w:spacing w:before="0" w:after="20"/>
              <w:jc w:val="center"/>
              <w:rPr>
                <w:rFonts w:ascii="Times New Roman" w:hAnsi="Times New Roman"/>
                <w:b/>
                <w:sz w:val="16"/>
              </w:rPr>
            </w:pPr>
            <w:r>
              <w:rPr>
                <w:rFonts w:ascii="Times New Roman" w:hAnsi="Times New Roman"/>
                <w:b/>
                <w:sz w:val="16"/>
              </w:rPr>
              <w:t>Page(2)</w:t>
            </w:r>
          </w:p>
        </w:tc>
        <w:tc>
          <w:tcPr>
            <w:tcW w:w="120" w:type="dxa"/>
            <w:tcBorders/>
            <w:vAlign w:val="bottom"/>
          </w:tcPr>
          <w:p>
            <w:pPr>
              <w:pStyle w:val="TableContents"/>
              <w:bidi w:val="0"/>
              <w:spacing w:before="0" w:after="283"/>
              <w:jc w:val="left"/>
              <w:rPr/>
            </w:pPr>
            <w:r>
              <w:rPr/>
              <w:t>  </w:t>
            </w:r>
          </w:p>
        </w:tc>
        <w:tc>
          <w:tcPr>
            <w:tcW w:w="7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Fixed</w:t>
              <w:br/>
              <w:t>Spread(3)</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5.150% Senior Notes due 2027</w:t>
            </w:r>
          </w:p>
        </w:tc>
        <w:tc>
          <w:tcPr>
            <w:tcW w:w="12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337738 BJ6 / US337738BJ60</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80" w:type="dxa"/>
            <w:tcBorders/>
            <w:shd w:fill="CCEEFF" w:val="clear"/>
            <w:vAlign w:val="bottom"/>
          </w:tcPr>
          <w:p>
            <w:pPr>
              <w:pStyle w:val="TableContents"/>
              <w:bidi w:val="0"/>
              <w:spacing w:before="0" w:after="283"/>
              <w:jc w:val="right"/>
              <w:rPr/>
            </w:pPr>
            <w:r>
              <w:rPr/>
              <w:t>4.000% UST due May 31, 2028</w:t>
            </w:r>
          </w:p>
        </w:tc>
        <w:tc>
          <w:tcPr>
            <w:tcW w:w="12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FIT1</w:t>
            </w:r>
          </w:p>
        </w:tc>
        <w:tc>
          <w:tcPr>
            <w:tcW w:w="12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5 bps</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4.400% Senior Notes due 2049</w:t>
            </w:r>
          </w:p>
        </w:tc>
        <w:tc>
          <w:tcPr>
            <w:tcW w:w="12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337738 AV0 / US337738AV08</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80" w:type="dxa"/>
            <w:tcBorders/>
            <w:vAlign w:val="bottom"/>
          </w:tcPr>
          <w:p>
            <w:pPr>
              <w:pStyle w:val="TableContents"/>
              <w:bidi w:val="0"/>
              <w:spacing w:before="0" w:after="283"/>
              <w:jc w:val="right"/>
              <w:rPr/>
            </w:pPr>
            <w:r>
              <w:rPr/>
              <w:t>5.000% UST due May 15, 2046</w:t>
            </w:r>
          </w:p>
        </w:tc>
        <w:tc>
          <w:tcPr>
            <w:tcW w:w="12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FIT1</w:t>
            </w:r>
          </w:p>
        </w:tc>
        <w:tc>
          <w:tcPr>
            <w:tcW w:w="12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108 bps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representation is made as to the correctness or accuracy of the CUSIP numbers listed herein. Such information is provided solely for the convenience of the Holders (as defined below) of the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(the “Consideration”) payable per $1,000 principal amount of Notes validly tendered and accepted for purchase will be determined in the manner described in the Offer to Purchase by reference to the applicable fixed spread specified in the table above plus the yield to maturity of the applicable U.S. Treasury Reference Security specified in the table above based on the bid-side price of such Reference Security on the applicable Reference Page specified in such table at 2:00 p.m., New York City time, on June 23, 2026 (as such date and time may be extended). The calculation of the Consideration may be performed to either the maturity date or the par call date for the Notes, as applicable, in accordance with standard market practice. The Consideration does not include Accrued Interest (as defined below), which will be paid on Notes accepted for purchase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66850"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923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Consideration, holders (each a “Holder” and, collectively, the “Holders”) of Notes accepted for purchase pursuant to the Offers, including Notes accepted pursuant to the Guaranteed Delivery Procedures referred to herein, will also receive accrued interest from the last interest payment date of the Notes to, but not including, the Settlement Date (as defined below) (such accrued interest, the “Accrued Interest”) .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Offers may be amended by us in our sole discretion, subject to applicable law. The Offers will expire at 5:00 p.m., New York City time, on June 23, 2026, unless extended or terminated by us (such time and date, as the same may be extended or terminated by us in our sole discretion, subject to applicable law, the “Expiration Date”). Tendered Notes may be withdrawn at or prior to the Expiration Date by following the procedures in the Offer to Purchase, but may not thereafter be validly withdrawn, unless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Tenders of Notes after the Expiration Date will not be valid, unless the Guaranteed Delivery Procedures specified in the Offer to Purchase are followed. </w:t>
      </w:r>
    </w:p>
    <w:p>
      <w:pPr>
        <w:pStyle w:val="TextBody"/>
        <w:bidi w:val="0"/>
        <w:spacing w:before="240" w:after="0"/>
        <w:jc w:val="left"/>
        <w:rPr>
          <w:rFonts w:ascii="Times New Roman" w:hAnsi="Times New Roman"/>
          <w:sz w:val="20"/>
        </w:rPr>
      </w:pPr>
      <w:r>
        <w:rPr>
          <w:rFonts w:ascii="Times New Roman" w:hAnsi="Times New Roman"/>
          <w:sz w:val="20"/>
        </w:rPr>
        <w:t xml:space="preserve">We expect to purchase all Notes that have been validly tendered (including pursuant to the Guaranteed Delivery Procedures) and not validly withdrawn at or prior to the Expiration Date and accepted for purchase, on the third business day after the Expiration Date, which is expected to be June 26, 2026 unless extended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Tenders of Notes may be validly withdrawn at any time at or prior to 5:00 p.m., New York City time, on June 23, 2026, unless extended by us in our sole discretion (the “Withdrawal Deadline”), but, unless otherwise required by applicable law, may not be validly withdrawn thereafter. The Company may extend the Withdrawal Deadline in its sole discretion. In addition, the Company may extend the Expiration Date without extending the Withdrawal Deadline or otherwise reinstating withdrawal rights of Holders,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Our obligation to accept for purchase and pay for Notes pursuant to the Offers is subject to the satisfaction or waiver by the Company of certain conditions set forth in the Offer to Purchase, including, among other things, the receipt of proceeds upon settlement of an offering of new euro denominated senior notes. The Offers are not conditioned upon the tender of any minimum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refers investors to the Offer to Purchase for the complete terms and conditions of the Offers. The description of the Offers above is only a summary and is qualified in its entirety by the Offer to Purchase, which may be obtained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Relating to the Tender Offers </w:t>
      </w:r>
    </w:p>
    <w:p>
      <w:pPr>
        <w:pStyle w:val="TextBody"/>
        <w:bidi w:val="0"/>
        <w:spacing w:before="120" w:after="0"/>
        <w:jc w:val="left"/>
        <w:rPr>
          <w:rFonts w:ascii="Times New Roman" w:hAnsi="Times New Roman"/>
          <w:sz w:val="20"/>
        </w:rPr>
      </w:pPr>
      <w:r>
        <w:rPr>
          <w:rFonts w:ascii="Times New Roman" w:hAnsi="Times New Roman"/>
          <w:sz w:val="20"/>
        </w:rPr>
        <w:t xml:space="preserve">Citigroup Global Markets Inc. (“Citigroup”), J.P. Morgan Securities LLC (“J.P. Morgan”), TD Securities (USA) LLC (“TD Securities”) and Wells Fargo Securities, LLC (“Wells Fargo Securities”) are the lead dealer managers for the tender offers. Investors with questions regarding the tender offers may contact the lead dealer managers at the following telephone numbers: (i) Citigroup at (800) 558-3745 (toll-free) or (212) 723-6106 (collect), (ii) J.P. Morgan at (866) 834-4666 (toll-free) or (212) 834-3554 (collect), (iii) TD Securities at (866) 584-2096 (toll-free) or (212) 827-2842 (collect), and (iv) Wells Fargo Securities at (866) 309-6316 (toll-free) or (704) 410-4235 (collect). Global Bondholder Services Corporation is the tender and information agent for the tender offers and can be contacted at (855) 654-2014 (toll-free) (bankers and brokers can call collect at (212) 430-3774) or by email at </w:t>
      </w:r>
      <w:r>
        <w:rPr>
          <w:rFonts w:ascii="Times New Roman" w:hAnsi="Times New Roman"/>
          <w:sz w:val="20"/>
          <w:u w:val="single"/>
        </w:rPr>
        <w:t>contact@gbsc-usa.com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87805" cy="9404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87805" cy="9404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None of the Company or its affiliates, their respective boards of directors, the lead dealer managers, the tender and information agent, and the trustee with respect to any Notes is making any recommendation as to whether Holders should tender any Notes in response to the Offers, and neither the Company nor any such other person has authorized any person to make any such recommendation. Holders must make their own decision as to whether to tender any of their Notes, and, if so, the principal amount of Notes to tender. </w:t>
      </w:r>
    </w:p>
    <w:p>
      <w:pPr>
        <w:pStyle w:val="TextBody"/>
        <w:bidi w:val="0"/>
        <w:spacing w:before="240" w:after="0"/>
        <w:jc w:val="left"/>
        <w:rPr>
          <w:rFonts w:ascii="Times New Roman" w:hAnsi="Times New Roman"/>
          <w:sz w:val="20"/>
        </w:rPr>
      </w:pPr>
      <w:r>
        <w:rPr>
          <w:rFonts w:ascii="Times New Roman" w:hAnsi="Times New Roman"/>
          <w:sz w:val="20"/>
        </w:rPr>
        <w:t xml:space="preserve">Holders are urged to evaluate carefully all information in this news release, including the documents referred to herein, consult their own investment and tax advisors and make their own decisions whether to tender some or all of their Notes. If a Holder holds Notes through a custodian bank, broker, dealer, commercial bank, trust company or other nominee, it should contact such custodian or nominee if it wishes to tender its Notes. </w:t>
      </w:r>
    </w:p>
    <w:p>
      <w:pPr>
        <w:pStyle w:val="TextBody"/>
        <w:bidi w:val="0"/>
        <w:spacing w:before="240" w:after="0"/>
        <w:jc w:val="left"/>
        <w:rPr>
          <w:rFonts w:ascii="Times New Roman" w:hAnsi="Times New Roman"/>
          <w:sz w:val="20"/>
        </w:rPr>
      </w:pPr>
      <w:r>
        <w:rPr>
          <w:rFonts w:ascii="Times New Roman" w:hAnsi="Times New Roman"/>
          <w:sz w:val="20"/>
        </w:rPr>
        <w:t xml:space="preserve">The Offer to Purchase may be obtained from Global Bondholder Services Corporation, free of charge, by calling (855) 654-2014 (toll-free) (bankers and brokers can call collect at (212) 430-3774 or by email at </w:t>
      </w:r>
      <w:r>
        <w:rPr>
          <w:rFonts w:ascii="Times New Roman" w:hAnsi="Times New Roman"/>
          <w:sz w:val="20"/>
          <w:u w:val="single"/>
        </w:rPr>
        <w:t>contact@gbsc-usa.com</w:t>
      </w:r>
      <w:r>
        <w:rPr>
          <w:rFonts w:ascii="Times New Roman" w:hAnsi="Times New Roman"/>
          <w:sz w:val="20"/>
        </w:rPr>
        <w:t xml:space="preserve">. Additionally, copies of the Offer to Purchase are available at the following webpage: </w:t>
      </w:r>
      <w:r>
        <w:rPr>
          <w:rFonts w:ascii="Times New Roman" w:hAnsi="Times New Roman"/>
          <w:sz w:val="20"/>
          <w:u w:val="single"/>
        </w:rPr>
        <w:t>https://www.gbsc-usa.com/Fiserv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Fiserv </w:t>
      </w:r>
    </w:p>
    <w:p>
      <w:pPr>
        <w:pStyle w:val="TextBody"/>
        <w:bidi w:val="0"/>
        <w:spacing w:before="120" w:after="0"/>
        <w:jc w:val="left"/>
        <w:rPr>
          <w:rFonts w:ascii="Times New Roman" w:hAnsi="Times New Roman"/>
          <w:sz w:val="20"/>
        </w:rPr>
      </w:pPr>
      <w:r>
        <w:rPr>
          <w:rFonts w:ascii="Times New Roman" w:hAnsi="Times New Roman"/>
          <w:sz w:val="20"/>
        </w:rPr>
        <w:t xml:space="preserve">Fiserv, Inc. (NASDAQ: FISV), a Fortune 500 company, is a global leader uniting commerce and finance. The company powers sustained growth and innovation at scale for financial institutions and businesses worldwide across payments, account processing, digital banking, merchant acquiring, network services, e-commerce, and Clover®, the all-in-one business management platform. Fiserv is a member of the S&amp;P 500® Index and one of FORTUNE® America’s Most Innovative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The forward-looking statements involve significant risks and uncertainties, and a number of factors, both foreseen and unforeseen, could cause actual results to differ materially from our current expectations. The factors that may affect our results include, among others, the following: general market conditions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87805" cy="9404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87805" cy="9404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might affect the Offers;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news release. The Company undertakes no obligation to update forward-looking statements to reflect events or circumstances occurring after the date of this news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87805" cy="9404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87805" cy="94043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9"/>
        <w:gridCol w:w="120"/>
        <w:gridCol w:w="4916"/>
      </w:tblGrid>
      <w:tr>
        <w:trPr/>
        <w:tc>
          <w:tcPr>
            <w:tcW w:w="51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6" w:type="dxa"/>
            <w:tcBorders/>
            <w:vAlign w:val="center"/>
          </w:tcPr>
          <w:p>
            <w:pPr>
              <w:pStyle w:val="TableContents"/>
              <w:bidi w:val="0"/>
              <w:spacing w:before="0" w:after="283"/>
              <w:jc w:val="left"/>
              <w:rPr>
                <w:sz w:val="4"/>
                <w:szCs w:val="4"/>
              </w:rPr>
            </w:pPr>
            <w:r>
              <w:rPr>
                <w:sz w:val="4"/>
                <w:szCs w:val="4"/>
              </w:rPr>
            </w:r>
          </w:p>
        </w:tc>
      </w:tr>
      <w:tr>
        <w:trPr/>
        <w:tc>
          <w:tcPr>
            <w:tcW w:w="5169" w:type="dxa"/>
            <w:tcBorders/>
          </w:tcPr>
          <w:p>
            <w:pPr>
              <w:pStyle w:val="TableContents"/>
              <w:bidi w:val="0"/>
              <w:spacing w:before="0" w:after="0"/>
              <w:jc w:val="left"/>
              <w:rPr>
                <w:rFonts w:ascii="Times New Roman" w:hAnsi="Times New Roman"/>
                <w:sz w:val="20"/>
              </w:rPr>
            </w:pPr>
            <w:r>
              <w:rPr>
                <w:rFonts w:ascii="Times New Roman" w:hAnsi="Times New Roman"/>
                <w:sz w:val="20"/>
              </w:rPr>
              <w:t>For more information contact:</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916" w:type="dxa"/>
            <w:tcBorders/>
            <w:vAlign w:val="bottom"/>
          </w:tcPr>
          <w:p>
            <w:pPr>
              <w:pStyle w:val="TableContents"/>
              <w:bidi w:val="0"/>
              <w:spacing w:before="0" w:after="283"/>
              <w:jc w:val="left"/>
              <w:rPr>
                <w:sz w:val="4"/>
                <w:szCs w:val="4"/>
              </w:rPr>
            </w:pPr>
            <w:r>
              <w:rPr>
                <w:sz w:val="4"/>
                <w:szCs w:val="4"/>
              </w:rPr>
            </w:r>
          </w:p>
        </w:tc>
      </w:tr>
      <w:tr>
        <w:trPr/>
        <w:tc>
          <w:tcPr>
            <w:tcW w:w="5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Media Relations:</w:t>
            </w:r>
          </w:p>
          <w:p>
            <w:pPr>
              <w:pStyle w:val="TableContents"/>
              <w:bidi w:val="0"/>
              <w:spacing w:before="0" w:after="0"/>
              <w:jc w:val="left"/>
              <w:rPr>
                <w:rFonts w:ascii="Times New Roman" w:hAnsi="Times New Roman"/>
                <w:sz w:val="20"/>
              </w:rPr>
            </w:pPr>
            <w:r>
              <w:rPr>
                <w:rFonts w:ascii="Times New Roman" w:hAnsi="Times New Roman"/>
                <w:sz w:val="20"/>
              </w:rPr>
              <w:t>Stacy Davidson</w:t>
            </w:r>
          </w:p>
          <w:p>
            <w:pPr>
              <w:pStyle w:val="TableContents"/>
              <w:bidi w:val="0"/>
              <w:spacing w:before="0" w:after="0"/>
              <w:jc w:val="left"/>
              <w:rPr>
                <w:rFonts w:ascii="Times New Roman" w:hAnsi="Times New Roman"/>
                <w:sz w:val="20"/>
              </w:rPr>
            </w:pPr>
            <w:r>
              <w:rPr>
                <w:rFonts w:ascii="Times New Roman" w:hAnsi="Times New Roman"/>
                <w:sz w:val="20"/>
              </w:rPr>
              <w:t>Chief Communications and Marketing Officer</w:t>
            </w:r>
          </w:p>
          <w:p>
            <w:pPr>
              <w:pStyle w:val="TableContents"/>
              <w:bidi w:val="0"/>
              <w:spacing w:before="0" w:after="0"/>
              <w:jc w:val="left"/>
              <w:rPr>
                <w:rFonts w:ascii="Times New Roman" w:hAnsi="Times New Roman"/>
                <w:sz w:val="20"/>
              </w:rPr>
            </w:pPr>
            <w:r>
              <w:rPr>
                <w:rFonts w:ascii="Times New Roman" w:hAnsi="Times New Roman"/>
                <w:sz w:val="20"/>
              </w:rPr>
              <w:t>Fiserv, Inc.</w:t>
            </w:r>
          </w:p>
          <w:p>
            <w:pPr>
              <w:pStyle w:val="TableContents"/>
              <w:bidi w:val="0"/>
              <w:spacing w:before="0" w:after="20"/>
              <w:jc w:val="left"/>
              <w:rPr>
                <w:rFonts w:ascii="Times New Roman" w:hAnsi="Times New Roman"/>
                <w:sz w:val="20"/>
                <w:u w:val="single"/>
              </w:rPr>
            </w:pPr>
            <w:r>
              <w:rPr>
                <w:rFonts w:ascii="Times New Roman" w:hAnsi="Times New Roman"/>
                <w:sz w:val="20"/>
                <w:u w:val="single"/>
              </w:rPr>
              <w:t>stacy.davidson@fiserv.com</w:t>
            </w:r>
          </w:p>
        </w:tc>
        <w:tc>
          <w:tcPr>
            <w:tcW w:w="120" w:type="dxa"/>
            <w:tcBorders/>
            <w:vAlign w:val="bottom"/>
          </w:tcPr>
          <w:p>
            <w:pPr>
              <w:pStyle w:val="TableContents"/>
              <w:bidi w:val="0"/>
              <w:spacing w:before="0" w:after="283"/>
              <w:jc w:val="left"/>
              <w:rPr/>
            </w:pPr>
            <w:r>
              <w:rPr/>
              <w:t>  </w:t>
            </w:r>
          </w:p>
        </w:tc>
        <w:tc>
          <w:tcPr>
            <w:tcW w:w="49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Investor Relations:</w:t>
            </w:r>
          </w:p>
          <w:p>
            <w:pPr>
              <w:pStyle w:val="TableContents"/>
              <w:bidi w:val="0"/>
              <w:spacing w:before="0" w:after="0"/>
              <w:jc w:val="left"/>
              <w:rPr>
                <w:rFonts w:ascii="Times New Roman" w:hAnsi="Times New Roman"/>
                <w:sz w:val="20"/>
              </w:rPr>
            </w:pPr>
            <w:r>
              <w:rPr>
                <w:rFonts w:ascii="Times New Roman" w:hAnsi="Times New Roman"/>
                <w:sz w:val="20"/>
              </w:rPr>
              <w:t>Walter Pritchard</w:t>
            </w:r>
          </w:p>
          <w:p>
            <w:pPr>
              <w:pStyle w:val="TableContents"/>
              <w:bidi w:val="0"/>
              <w:spacing w:before="0" w:after="0"/>
              <w:jc w:val="left"/>
              <w:rPr>
                <w:rFonts w:ascii="Times New Roman" w:hAnsi="Times New Roman"/>
                <w:sz w:val="20"/>
              </w:rPr>
            </w:pPr>
            <w:r>
              <w:rPr>
                <w:rFonts w:ascii="Times New Roman" w:hAnsi="Times New Roman"/>
                <w:sz w:val="20"/>
              </w:rPr>
              <w:t>Senior Vice President, Investor Relations</w:t>
            </w:r>
          </w:p>
          <w:p>
            <w:pPr>
              <w:pStyle w:val="TableContents"/>
              <w:bidi w:val="0"/>
              <w:spacing w:before="0" w:after="0"/>
              <w:jc w:val="left"/>
              <w:rPr>
                <w:rFonts w:ascii="Times New Roman" w:hAnsi="Times New Roman"/>
                <w:sz w:val="20"/>
              </w:rPr>
            </w:pPr>
            <w:r>
              <w:rPr>
                <w:rFonts w:ascii="Times New Roman" w:hAnsi="Times New Roman"/>
                <w:sz w:val="20"/>
              </w:rPr>
              <w:t>Fiserv, Inc.</w:t>
            </w:r>
          </w:p>
          <w:p>
            <w:pPr>
              <w:pStyle w:val="TableContents"/>
              <w:bidi w:val="0"/>
              <w:spacing w:before="0" w:after="20"/>
              <w:jc w:val="left"/>
              <w:rPr>
                <w:rFonts w:ascii="Times New Roman" w:hAnsi="Times New Roman"/>
                <w:sz w:val="20"/>
                <w:u w:val="single"/>
              </w:rPr>
            </w:pPr>
            <w:r>
              <w:rPr>
                <w:rFonts w:ascii="Times New Roman" w:hAnsi="Times New Roman"/>
                <w:sz w:val="20"/>
                <w:u w:val="single"/>
              </w:rPr>
              <w:t>walter.pritchard@fiserv.com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2493</Words>
  <Characters>13572</Characters>
  <CharactersWithSpaces>16070</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