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200"/>
          </w:cols>
          <w:pgMar w:left="440" w:top="449"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449"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4"/>
              </w:rPr>
              <w:t>FISV</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0.375% Senior Notes due 2023</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1.125% Senior Notes due 2027</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1.625% Senior Notes due 2030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2.250% Senior Notes due 2025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3.000% Senior Notes due 2031</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FISV31</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Fiserv, Inc. (the “Company”) held its annual meeting of shareholders on May 17, 2023. At that meeting, the Company’s shareholders voted on five matters as follows: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shareholders elected eight directors to serve until the next annual meeting of shareholders and until each of their successors is elected and qualified by the following votes: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8"/>
                <w:szCs w:val="18"/>
                <w:color w:val="auto"/>
              </w:rPr>
              <w:t>Frank J. Bisignano</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Votes For</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Votes Withheld</w:t>
            </w:r>
          </w:p>
        </w:tc>
        <w:tc>
          <w:tcPr>
            <w:tcW w:w="4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Broker Non-Votes</w:t>
            </w:r>
          </w:p>
        </w:tc>
        <w:tc>
          <w:tcPr>
            <w:tcW w:w="0" w:type="dxa"/>
            <w:vAlign w:val="bottom"/>
          </w:tcPr>
          <w:p>
            <w:pPr>
              <w:spacing w:after="0"/>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497,524,091</w:t>
            </w:r>
          </w:p>
        </w:tc>
        <w:tc>
          <w:tcPr>
            <w:tcW w:w="40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35,491,262</w:t>
            </w:r>
          </w:p>
        </w:tc>
        <w:tc>
          <w:tcPr>
            <w:tcW w:w="40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37,534,645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Henrique de Castro</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526,640,945</w:t>
            </w:r>
          </w:p>
        </w:tc>
        <w:tc>
          <w:tcPr>
            <w:tcW w:w="940" w:type="dxa"/>
            <w:vAlign w:val="bottom"/>
          </w:tcPr>
          <w:p>
            <w:pPr>
              <w:jc w:val="right"/>
              <w:spacing w:after="0"/>
              <w:rPr>
                <w:sz w:val="20"/>
                <w:szCs w:val="20"/>
                <w:color w:val="auto"/>
              </w:rPr>
            </w:pPr>
            <w:r>
              <w:rPr>
                <w:rFonts w:ascii="Arial" w:cs="Arial" w:eastAsia="Arial" w:hAnsi="Arial"/>
                <w:sz w:val="18"/>
                <w:szCs w:val="18"/>
                <w:color w:val="auto"/>
              </w:rPr>
              <w:t>6,374,408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Harry F. DiSimone</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530,091,858</w:t>
            </w:r>
          </w:p>
        </w:tc>
        <w:tc>
          <w:tcPr>
            <w:tcW w:w="940" w:type="dxa"/>
            <w:vAlign w:val="bottom"/>
          </w:tcPr>
          <w:p>
            <w:pPr>
              <w:jc w:val="right"/>
              <w:spacing w:after="0"/>
              <w:rPr>
                <w:sz w:val="20"/>
                <w:szCs w:val="20"/>
                <w:color w:val="auto"/>
              </w:rPr>
            </w:pPr>
            <w:r>
              <w:rPr>
                <w:rFonts w:ascii="Arial" w:cs="Arial" w:eastAsia="Arial" w:hAnsi="Arial"/>
                <w:sz w:val="18"/>
                <w:szCs w:val="18"/>
                <w:color w:val="auto"/>
              </w:rPr>
              <w:t>2,923,495</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Dylan G. Haggart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513,921,645</w:t>
            </w:r>
          </w:p>
        </w:tc>
        <w:tc>
          <w:tcPr>
            <w:tcW w:w="940" w:type="dxa"/>
            <w:vAlign w:val="bottom"/>
          </w:tcPr>
          <w:p>
            <w:pPr>
              <w:jc w:val="right"/>
              <w:spacing w:after="0"/>
              <w:rPr>
                <w:sz w:val="20"/>
                <w:szCs w:val="20"/>
                <w:color w:val="auto"/>
              </w:rPr>
            </w:pPr>
            <w:r>
              <w:rPr>
                <w:rFonts w:ascii="Arial" w:cs="Arial" w:eastAsia="Arial" w:hAnsi="Arial"/>
                <w:sz w:val="18"/>
                <w:szCs w:val="18"/>
                <w:color w:val="auto"/>
              </w:rPr>
              <w:t>19,093,708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Wafaa Mamilli</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518,497,671</w:t>
            </w:r>
          </w:p>
        </w:tc>
        <w:tc>
          <w:tcPr>
            <w:tcW w:w="940" w:type="dxa"/>
            <w:vAlign w:val="bottom"/>
          </w:tcPr>
          <w:p>
            <w:pPr>
              <w:jc w:val="right"/>
              <w:spacing w:after="0"/>
              <w:rPr>
                <w:sz w:val="20"/>
                <w:szCs w:val="20"/>
                <w:color w:val="auto"/>
              </w:rPr>
            </w:pPr>
            <w:r>
              <w:rPr>
                <w:rFonts w:ascii="Arial" w:cs="Arial" w:eastAsia="Arial" w:hAnsi="Arial"/>
                <w:sz w:val="18"/>
                <w:szCs w:val="18"/>
                <w:color w:val="auto"/>
              </w:rPr>
              <w:t>14,517,682</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Heidi G. Miller</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496,025,425</w:t>
            </w:r>
          </w:p>
        </w:tc>
        <w:tc>
          <w:tcPr>
            <w:tcW w:w="940" w:type="dxa"/>
            <w:vAlign w:val="bottom"/>
          </w:tcPr>
          <w:p>
            <w:pPr>
              <w:jc w:val="right"/>
              <w:spacing w:after="0"/>
              <w:rPr>
                <w:sz w:val="20"/>
                <w:szCs w:val="20"/>
                <w:color w:val="auto"/>
              </w:rPr>
            </w:pPr>
            <w:r>
              <w:rPr>
                <w:rFonts w:ascii="Arial" w:cs="Arial" w:eastAsia="Arial" w:hAnsi="Arial"/>
                <w:sz w:val="18"/>
                <w:szCs w:val="18"/>
                <w:color w:val="auto"/>
              </w:rPr>
              <w:t>36,989,928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Doyle R. Simons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505,261,784</w:t>
            </w:r>
          </w:p>
        </w:tc>
        <w:tc>
          <w:tcPr>
            <w:tcW w:w="940" w:type="dxa"/>
            <w:vAlign w:val="bottom"/>
          </w:tcPr>
          <w:p>
            <w:pPr>
              <w:jc w:val="right"/>
              <w:spacing w:after="0"/>
              <w:rPr>
                <w:sz w:val="20"/>
                <w:szCs w:val="20"/>
                <w:color w:val="auto"/>
              </w:rPr>
            </w:pPr>
            <w:r>
              <w:rPr>
                <w:rFonts w:ascii="Arial" w:cs="Arial" w:eastAsia="Arial" w:hAnsi="Arial"/>
                <w:sz w:val="18"/>
                <w:szCs w:val="18"/>
                <w:color w:val="auto"/>
              </w:rPr>
              <w:t>27,753,569</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Kevin M. Warren</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514,541,455</w:t>
            </w:r>
          </w:p>
        </w:tc>
        <w:tc>
          <w:tcPr>
            <w:tcW w:w="940" w:type="dxa"/>
            <w:vAlign w:val="bottom"/>
          </w:tcPr>
          <w:p>
            <w:pPr>
              <w:jc w:val="right"/>
              <w:spacing w:after="0"/>
              <w:rPr>
                <w:sz w:val="20"/>
                <w:szCs w:val="20"/>
                <w:color w:val="auto"/>
              </w:rPr>
            </w:pPr>
            <w:r>
              <w:rPr>
                <w:rFonts w:ascii="Arial" w:cs="Arial" w:eastAsia="Arial" w:hAnsi="Arial"/>
                <w:sz w:val="18"/>
                <w:szCs w:val="18"/>
                <w:color w:val="auto"/>
              </w:rPr>
              <w:t>18,473,898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37,534,645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Vote to Approve Named Executive Officer Compensation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Company’s shareholders approved, on an advisory basis, the compensation of the Company’s named executive officers as disclosed in its 2023 proxy statement by the following votes: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3280" w:type="dxa"/>
            <w:vAlign w:val="bottom"/>
            <w:gridSpan w:val="3"/>
          </w:tcPr>
          <w:p>
            <w:pPr>
              <w:ind w:left="1080"/>
              <w:spacing w:after="0"/>
              <w:rPr>
                <w:sz w:val="20"/>
                <w:szCs w:val="20"/>
                <w:color w:val="auto"/>
              </w:rPr>
            </w:pPr>
            <w:r>
              <w:rPr>
                <w:rFonts w:ascii="Arial" w:cs="Arial" w:eastAsia="Arial" w:hAnsi="Arial"/>
                <w:sz w:val="14"/>
                <w:szCs w:val="14"/>
                <w:b w:val="1"/>
                <w:bCs w:val="1"/>
                <w:color w:val="auto"/>
              </w:rPr>
              <w:t>Votes Against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480" w:type="dxa"/>
            <w:vAlign w:val="bottom"/>
            <w:gridSpan w:val="2"/>
          </w:tcPr>
          <w:p>
            <w:pPr>
              <w:jc w:val="center"/>
              <w:ind w:left="1288"/>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77"/>
              </w:rPr>
              <w:t>495,327,407</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37,000,153</w:t>
            </w:r>
          </w:p>
        </w:tc>
        <w:tc>
          <w:tcPr>
            <w:tcW w:w="13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687,793</w:t>
            </w:r>
          </w:p>
        </w:tc>
        <w:tc>
          <w:tcPr>
            <w:tcW w:w="1360" w:type="dxa"/>
            <w:vAlign w:val="bottom"/>
          </w:tcPr>
          <w:p>
            <w:pPr>
              <w:spacing w:after="0"/>
              <w:rPr>
                <w:sz w:val="19"/>
                <w:szCs w:val="19"/>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37,534,645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Vote to Approve Frequency of Advisory Vote on Named Executive Officer Compensation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shareholders approved, on an advisory basis, holding an advisory vote on the compensation of the Company’s named executive officers every year by the following votes:</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74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0"/>
              </w:rPr>
              <w:t>1 Year</w:t>
            </w:r>
          </w:p>
        </w:tc>
        <w:tc>
          <w:tcPr>
            <w:tcW w:w="23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2"/>
              </w:rPr>
              <w:t>2 Years</w:t>
            </w: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3 Years</w:t>
            </w:r>
          </w:p>
        </w:tc>
        <w:tc>
          <w:tcPr>
            <w:tcW w:w="26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Abstentions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4"/>
        </w:trPr>
        <w:tc>
          <w:tcPr>
            <w:tcW w:w="2000" w:type="dxa"/>
            <w:vAlign w:val="bottom"/>
            <w:gridSpan w:val="3"/>
          </w:tcPr>
          <w:p>
            <w:pPr>
              <w:jc w:val="right"/>
              <w:ind w:right="1100"/>
              <w:spacing w:after="0"/>
              <w:rPr>
                <w:sz w:val="20"/>
                <w:szCs w:val="20"/>
                <w:color w:val="auto"/>
              </w:rPr>
            </w:pPr>
            <w:r>
              <w:rPr>
                <w:rFonts w:ascii="Arial" w:cs="Arial" w:eastAsia="Arial" w:hAnsi="Arial"/>
                <w:sz w:val="18"/>
                <w:szCs w:val="18"/>
                <w:color w:val="auto"/>
                <w:w w:val="87"/>
              </w:rPr>
              <w:t>526,456,466</w:t>
            </w:r>
          </w:p>
        </w:tc>
        <w:tc>
          <w:tcPr>
            <w:tcW w:w="2320" w:type="dxa"/>
            <w:vAlign w:val="bottom"/>
            <w:gridSpan w:val="3"/>
          </w:tcPr>
          <w:p>
            <w:pPr>
              <w:jc w:val="right"/>
              <w:ind w:right="640"/>
              <w:spacing w:after="0"/>
              <w:rPr>
                <w:sz w:val="20"/>
                <w:szCs w:val="20"/>
                <w:color w:val="auto"/>
              </w:rPr>
            </w:pPr>
            <w:r>
              <w:rPr>
                <w:rFonts w:ascii="Arial" w:cs="Arial" w:eastAsia="Arial" w:hAnsi="Arial"/>
                <w:sz w:val="18"/>
                <w:szCs w:val="18"/>
                <w:color w:val="auto"/>
              </w:rPr>
              <w:t>604,416</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5,490,796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463,675</w:t>
            </w:r>
          </w:p>
        </w:tc>
        <w:tc>
          <w:tcPr>
            <w:tcW w:w="130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37,534,645</w:t>
            </w:r>
          </w:p>
        </w:tc>
      </w:tr>
    </w:tbl>
    <w:p>
      <w:pPr>
        <w:sectPr>
          <w:pgSz w:w="11900" w:h="16838" w:orient="portrait"/>
          <w:cols w:equalWidth="0" w:num="1">
            <w:col w:w="11020"/>
          </w:cols>
          <w:pgMar w:left="440" w:top="513" w:right="439" w:bottom="1440" w:gutter="0" w:footer="0" w:header="0"/>
        </w:sectPr>
      </w:pPr>
    </w:p>
    <w:bookmarkStart w:id="2" w:name="page3"/>
    <w:bookmarkEnd w:id="2"/>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After taking the results of the vote into consideration, the Company’s board of directors resolved to include in the Company’s proxy materials an advisory vote on the compensation of the Company’s named executive officers every year until the next required vote on the frequency of shareholder advisory votes on the compensation of named executive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Ratification of Independent Registered Public Accounting Firm</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shareholders ratified the appointment of Deloitte &amp; Touche LLP as the Company’s independent registered public accounting firm for the year ending December 31, 2023, by the following votes:</w:t>
      </w:r>
    </w:p>
    <w:p>
      <w:pPr>
        <w:spacing w:after="0" w:line="189" w:lineRule="exact"/>
        <w:rPr>
          <w:sz w:val="20"/>
          <w:szCs w:val="20"/>
          <w:color w:val="auto"/>
        </w:rPr>
      </w:pPr>
    </w:p>
    <w:tbl>
      <w:tblPr>
        <w:tblLayout w:type="fixed"/>
        <w:tblInd w:w="234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Votes Against</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Abstentions</w:t>
            </w:r>
          </w:p>
        </w:tc>
      </w:tr>
      <w:tr>
        <w:trPr>
          <w:trHeight w:val="224"/>
        </w:trPr>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77"/>
              </w:rPr>
              <w:t>539,786,009</w:t>
            </w:r>
          </w:p>
        </w:tc>
        <w:tc>
          <w:tcPr>
            <w:tcW w:w="3060" w:type="dxa"/>
            <w:vAlign w:val="bottom"/>
          </w:tcPr>
          <w:p>
            <w:pPr>
              <w:spacing w:after="0"/>
              <w:rPr>
                <w:sz w:val="19"/>
                <w:szCs w:val="19"/>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29,961,507</w:t>
            </w:r>
          </w:p>
        </w:tc>
        <w:tc>
          <w:tcPr>
            <w:tcW w:w="19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802,482</w:t>
            </w:r>
          </w:p>
        </w:tc>
        <w:tc>
          <w:tcPr>
            <w:tcW w:w="20" w:type="dxa"/>
            <w:vAlign w:val="bottom"/>
          </w:tcPr>
          <w:p>
            <w:pPr>
              <w:spacing w:after="0"/>
              <w:rPr>
                <w:sz w:val="19"/>
                <w:szCs w:val="19"/>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 Requesting an Independent Board Chair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shareholders rejected a shareholder proposal requesting an independent board chair policy by the following votes:</w:t>
      </w: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880" w:type="dxa"/>
            <w:vAlign w:val="bottom"/>
            <w:gridSpan w:val="2"/>
          </w:tcPr>
          <w:p>
            <w:pPr>
              <w:jc w:val="right"/>
              <w:ind w:right="2280"/>
              <w:spacing w:after="0"/>
              <w:rPr>
                <w:sz w:val="20"/>
                <w:szCs w:val="20"/>
                <w:color w:val="auto"/>
              </w:rPr>
            </w:pPr>
            <w:r>
              <w:rPr>
                <w:rFonts w:ascii="Arial" w:cs="Arial" w:eastAsia="Arial" w:hAnsi="Arial"/>
                <w:sz w:val="14"/>
                <w:szCs w:val="14"/>
                <w:b w:val="1"/>
                <w:bCs w:val="1"/>
                <w:color w:val="auto"/>
                <w:w w:val="89"/>
              </w:rPr>
              <w:t>Votes For</w:t>
            </w: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Votes Against</w:t>
            </w: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Abstentions</w:t>
            </w:r>
          </w:p>
        </w:tc>
        <w:tc>
          <w:tcPr>
            <w:tcW w:w="182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0"/>
              </w:rPr>
              <w:t>165,516,416</w:t>
            </w:r>
          </w:p>
        </w:tc>
        <w:tc>
          <w:tcPr>
            <w:tcW w:w="228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366,766,335</w:t>
            </w:r>
          </w:p>
        </w:tc>
        <w:tc>
          <w:tcPr>
            <w:tcW w:w="14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732,602</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37,534,645</w:t>
            </w:r>
          </w:p>
        </w:tc>
      </w:tr>
    </w:tbl>
    <w:p>
      <w:pPr>
        <w:sectPr>
          <w:pgSz w:w="11900" w:h="16838" w:orient="portrait"/>
          <w:cols w:equalWidth="0" w:num="1">
            <w:col w:w="11000"/>
          </w:cols>
          <w:pgMar w:left="440" w:top="517" w:right="4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20" w:val="left"/>
          <w:tab w:leader="none" w:pos="5600" w:val="left"/>
          <w:tab w:leader="none" w:pos="6040" w:val="left"/>
        </w:tabs>
        <w:rPr>
          <w:sz w:val="20"/>
          <w:szCs w:val="20"/>
          <w:color w:val="auto"/>
        </w:rPr>
      </w:pPr>
      <w:r>
        <w:rPr>
          <w:rFonts w:ascii="Arial" w:cs="Arial" w:eastAsia="Arial" w:hAnsi="Arial"/>
          <w:sz w:val="18"/>
          <w:szCs w:val="18"/>
          <w:color w:val="auto"/>
        </w:rPr>
        <w:t>Date:</w:t>
        <w:tab/>
        <w:t>May 19,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51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2023-05-19T15:08:51Z</dcterms:created>
  <dcterms:modified xsi:type="dcterms:W3CDTF">2023-05-19T15:08:51Z</dcterms:modified>
</cp:coreProperties>
</file>