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August 6,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Fiserv,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1-38962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39-1506125</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600 N. Vel R. Phillips Avenue, Milwaukee, Wisconsin 53203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(262) 879-5000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20"/>
        </w:rPr>
        <w: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Fiserv, Inc. issued a press release announcing its financial results for the quarter ended June 30, 2026. A copy of the press release is attached as Exhibit 99.1 to this Current Report on Form 8-K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2"/>
        <w:gridCol w:w="2676"/>
        <w:gridCol w:w="381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svq226earningsrelease.htm">
              <w:r>
                <w:rPr>
                  <w:rStyle w:val="InternetLink"/>
                  <w:rFonts w:ascii="Times New Roman;serif" w:hAnsi="Times New Roman;serif"/>
                  <w:b w:val="false"/>
                  <w:color w:val="0000FF"/>
                  <w:sz w:val="20"/>
                  <w:u w:val="single"/>
                </w:rPr>
                <w:t>Press Release of Fiserv, Inc., dated August 6, 2026 (furnished pursuant to Item 2.02 of this Current Report on Form 8-K)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2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5"/>
        <w:gridCol w:w="135"/>
        <w:gridCol w:w="135"/>
        <w:gridCol w:w="135"/>
        <w:gridCol w:w="135"/>
        <w:gridCol w:w="135"/>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FISERV,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2"/>
        <w:gridCol w:w="712"/>
        <w:gridCol w:w="1017"/>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66850" cy="923925"/>
                          </a:xfrm>
                          <a:prstGeom prst="rect">
                            <a:avLst/>
                          </a:prstGeom>
                        </pic:spPr>
                      </pic:pic>
                    </a:graphicData>
                  </a:graphic>
                </wp:inline>
              </w:drawing>
            </w:r>
          </w:p>
        </w:tc>
      </w:tr>
    </w:tbl>
    <w:p>
      <w:pPr>
        <w:pStyle w:val="TextBody"/>
        <w:bidi w:val="0"/>
        <w:spacing w:before="0" w:after="0"/>
        <w:jc w:val="left"/>
        <w:rPr/>
      </w:pPr>
      <w:r>
        <w:rPr/>
      </w:r>
    </w:p>
    <w:tbl>
      <w:tblPr>
        <w:tblW w:w="7754" w:type="dxa"/>
        <w:jc w:val="center"/>
        <w:tblInd w:w="0" w:type="dxa"/>
        <w:tblLayout w:type="fixed"/>
        <w:tblCellMar>
          <w:top w:w="28" w:type="dxa"/>
          <w:left w:w="28" w:type="dxa"/>
          <w:bottom w:w="28" w:type="dxa"/>
          <w:right w:w="28" w:type="dxa"/>
        </w:tblCellMar>
      </w:tblPr>
      <w:tblGrid>
        <w:gridCol w:w="1454"/>
        <w:gridCol w:w="1279"/>
        <w:gridCol w:w="1286"/>
        <w:gridCol w:w="1094"/>
        <w:gridCol w:w="1094"/>
        <w:gridCol w:w="1547"/>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more information contact:</w:t>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Media Relations:</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Stacy Davidson</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Communications and Marketing Officer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Fiserv, Inc.</w:t>
            </w:r>
          </w:p>
          <w:p>
            <w:pPr>
              <w:pStyle w:val="TableContents"/>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stacy.davidson@fiserv.com</w:t>
            </w:r>
          </w:p>
        </w:tc>
        <w:tc>
          <w:tcPr>
            <w:tcW w:w="373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Investor Relations:</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Walter Pritchard</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Senior Vice President, Investor Relations</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Fiserv, Inc.</w:t>
            </w:r>
          </w:p>
          <w:p>
            <w:pPr>
              <w:pStyle w:val="TableContents"/>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walter.pritchard@fiserv.com</w:t>
            </w:r>
          </w:p>
        </w:tc>
      </w:tr>
    </w:tbl>
    <w:tbl>
      <w:tblPr>
        <w:tblW w:w="3179" w:type="dxa"/>
        <w:jc w:val="center"/>
        <w:tblInd w:w="0" w:type="dxa"/>
        <w:tblLayout w:type="fixed"/>
        <w:tblCellMar>
          <w:top w:w="28" w:type="dxa"/>
          <w:left w:w="28" w:type="dxa"/>
          <w:bottom w:w="28" w:type="dxa"/>
          <w:right w:w="28" w:type="dxa"/>
        </w:tblCellMar>
      </w:tblPr>
      <w:tblGrid>
        <w:gridCol w:w="1017"/>
        <w:gridCol w:w="893"/>
        <w:gridCol w:w="1269"/>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1200" w:after="283"/>
              <w:jc w:val="left"/>
              <w:rPr>
                <w:rFonts w:ascii="Arial;sans-serif" w:hAnsi="Arial;sans-serif"/>
                <w:b w:val="false"/>
                <w:color w:val="000000"/>
                <w:sz w:val="28"/>
              </w:rPr>
            </w:pPr>
            <w:r>
              <w:rPr>
                <w:rFonts w:ascii="Arial;sans-serif" w:hAnsi="Arial;sans-serif"/>
                <w:b w:val="false"/>
                <w:color w:val="000000"/>
                <w:sz w:val="28"/>
              </w:rPr>
              <w:t>For Immediate Release</w:t>
            </w:r>
          </w:p>
        </w:tc>
      </w:tr>
    </w:tbl>
    <w:p>
      <w:pPr>
        <w:pStyle w:val="TextBody"/>
        <w:bidi w:val="0"/>
        <w:spacing w:before="0" w:after="0"/>
        <w:jc w:val="left"/>
        <w:rPr/>
      </w:pPr>
      <w:r>
        <w:rPr/>
      </w:r>
    </w:p>
    <w:p>
      <w:pPr>
        <w:pStyle w:val="TextBody"/>
        <w:bidi w:val="0"/>
        <w:spacing w:lineRule="auto" w:line="312" w:before="60" w:after="283"/>
        <w:jc w:val="center"/>
        <w:rPr>
          <w:rFonts w:ascii="Arial;sans-serif" w:hAnsi="Arial;sans-serif"/>
          <w:b/>
          <w:color w:val="000000"/>
          <w:sz w:val="28"/>
        </w:rPr>
      </w:pPr>
      <w:r>
        <w:rPr>
          <w:rFonts w:ascii="Arial;sans-serif" w:hAnsi="Arial;sans-serif"/>
          <w:b/>
          <w:color w:val="000000"/>
          <w:sz w:val="28"/>
        </w:rPr>
        <w:t>Fiserv Reports Second Quarter 2026 Results</w:t>
      </w:r>
    </w:p>
    <w:p>
      <w:pPr>
        <w:pStyle w:val="TextBody"/>
        <w:bidi w:val="0"/>
        <w:spacing w:lineRule="auto" w:line="312" w:before="0" w:after="0"/>
        <w:jc w:val="center"/>
        <w:rPr>
          <w:rFonts w:ascii="Arial;sans-serif" w:hAnsi="Arial;sans-serif"/>
          <w:b w:val="false"/>
          <w:color w:val="000000"/>
          <w:sz w:val="22"/>
        </w:rPr>
      </w:pPr>
      <w:r>
        <w:rPr>
          <w:rFonts w:ascii="Arial;sans-serif" w:hAnsi="Arial;sans-serif"/>
          <w:b w:val="false"/>
          <w:color w:val="000000"/>
          <w:sz w:val="22"/>
        </w:rPr>
        <w:t>GAAP revenue decreased 3% year to date and 4% in the quarter;</w:t>
      </w:r>
    </w:p>
    <w:p>
      <w:pPr>
        <w:pStyle w:val="TextBody"/>
        <w:bidi w:val="0"/>
        <w:spacing w:lineRule="auto" w:line="312" w:before="0" w:after="0"/>
        <w:jc w:val="center"/>
        <w:rPr>
          <w:rFonts w:ascii="Arial;sans-serif" w:hAnsi="Arial;sans-serif"/>
          <w:b w:val="false"/>
          <w:color w:val="000000"/>
          <w:sz w:val="22"/>
        </w:rPr>
      </w:pPr>
      <w:r>
        <w:rPr>
          <w:rFonts w:ascii="Arial;sans-serif" w:hAnsi="Arial;sans-serif"/>
          <w:b w:val="false"/>
          <w:color w:val="000000"/>
          <w:sz w:val="22"/>
        </w:rPr>
        <w:t>GAAP EPS decreased 33% year to date and 37% in the quarter;</w:t>
      </w:r>
    </w:p>
    <w:p>
      <w:pPr>
        <w:pStyle w:val="TextBody"/>
        <w:bidi w:val="0"/>
        <w:spacing w:lineRule="auto" w:line="312" w:before="0" w:after="0"/>
        <w:jc w:val="center"/>
        <w:rPr>
          <w:rFonts w:ascii="Arial;sans-serif" w:hAnsi="Arial;sans-serif"/>
          <w:b w:val="false"/>
          <w:color w:val="000000"/>
          <w:sz w:val="22"/>
        </w:rPr>
      </w:pPr>
      <w:r>
        <w:rPr>
          <w:rFonts w:ascii="Arial;sans-serif" w:hAnsi="Arial;sans-serif"/>
          <w:b w:val="false"/>
          <w:color w:val="000000"/>
          <w:sz w:val="22"/>
        </w:rPr>
        <w:t>Adjusted revenue decreased 3% year to date and 4% in the quarter;</w:t>
      </w:r>
    </w:p>
    <w:p>
      <w:pPr>
        <w:pStyle w:val="TextBody"/>
        <w:bidi w:val="0"/>
        <w:spacing w:lineRule="auto" w:line="312" w:before="0" w:after="0"/>
        <w:jc w:val="center"/>
        <w:rPr>
          <w:rFonts w:ascii="Arial;sans-serif" w:hAnsi="Arial;sans-serif"/>
          <w:b w:val="false"/>
          <w:color w:val="000000"/>
          <w:sz w:val="22"/>
        </w:rPr>
      </w:pPr>
      <w:r>
        <w:rPr>
          <w:rFonts w:ascii="Arial;sans-serif" w:hAnsi="Arial;sans-serif"/>
          <w:b w:val="false"/>
          <w:color w:val="000000"/>
          <w:sz w:val="22"/>
        </w:rPr>
        <w:t>Adjusted EPS decreased 21% year to date and 26% in the quarter;</w:t>
      </w:r>
    </w:p>
    <w:p>
      <w:pPr>
        <w:pStyle w:val="TextBody"/>
        <w:bidi w:val="0"/>
        <w:spacing w:lineRule="auto" w:line="312" w:before="0" w:after="0"/>
        <w:jc w:val="center"/>
        <w:rPr>
          <w:rFonts w:ascii="Arial;sans-serif" w:hAnsi="Arial;sans-serif"/>
          <w:b w:val="false"/>
          <w:color w:val="000000"/>
          <w:sz w:val="22"/>
        </w:rPr>
      </w:pPr>
      <w:r>
        <w:rPr>
          <w:rFonts w:ascii="Arial;sans-serif" w:hAnsi="Arial;sans-serif"/>
          <w:b w:val="false"/>
          <w:color w:val="000000"/>
          <w:sz w:val="22"/>
        </w:rPr>
        <w:t>Company updates 2026 organic revenue and adjusted EPS outlook</w:t>
      </w:r>
    </w:p>
    <w:p>
      <w:pPr>
        <w:pStyle w:val="TextBody"/>
        <w:bidi w:val="0"/>
        <w:spacing w:before="0" w:after="0"/>
        <w:jc w:val="center"/>
        <w:rPr/>
      </w:pPr>
      <w:r>
        <w:rPr/>
      </w:r>
    </w:p>
    <w:p>
      <w:pPr>
        <w:pStyle w:val="TextBody"/>
        <w:bidi w:val="0"/>
        <w:spacing w:lineRule="auto" w:line="288" w:before="0" w:after="180"/>
        <w:jc w:val="left"/>
        <w:rPr/>
      </w:pPr>
      <w:r>
        <w:rPr>
          <w:rFonts w:ascii="Arial;sans-serif" w:hAnsi="Arial;sans-serif"/>
          <w:b/>
          <w:color w:val="000000"/>
          <w:sz w:val="22"/>
        </w:rPr>
        <w:t>MILWAUKEE, August 6, 2026</w:t>
      </w:r>
      <w:r>
        <w:rPr>
          <w:color w:val="000000"/>
        </w:rPr>
        <w:t xml:space="preserve"> – </w:t>
      </w:r>
      <w:r>
        <w:rPr>
          <w:rFonts w:ascii="Arial;sans-serif" w:hAnsi="Arial;sans-serif"/>
          <w:b w:val="false"/>
          <w:color w:val="000000"/>
          <w:sz w:val="22"/>
        </w:rPr>
        <w:t>Fiserv, Inc. (NASDAQ: FISV), a leading global provider of payments and financial services technology solutions, today reported financial results for the second quarter of 2026.</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Second Quarter 2026 GAAP Results</w:t>
      </w:r>
    </w:p>
    <w:p>
      <w:pPr>
        <w:pStyle w:val="TextBody"/>
        <w:bidi w:val="0"/>
        <w:spacing w:lineRule="auto" w:line="288" w:before="0" w:after="180"/>
        <w:jc w:val="left"/>
        <w:rPr/>
      </w:pPr>
      <w:r>
        <w:rPr>
          <w:rFonts w:ascii="Arial;sans-serif" w:hAnsi="Arial;sans-serif"/>
          <w:b w:val="false"/>
          <w:color w:val="000000"/>
          <w:sz w:val="22"/>
        </w:rPr>
        <w:t>GAAP revenue for the company was $5.29 billion in the second quarter of 2026, a decrease of 4% compared to the second quarter of 2025. GAAP revenue decreased</w:t>
      </w:r>
      <w:r>
        <w:rPr>
          <w:color w:val="000000"/>
        </w:rPr>
        <w:t xml:space="preserve"> </w:t>
      </w:r>
      <w:r>
        <w:rPr>
          <w:rFonts w:ascii="Arial;sans-serif" w:hAnsi="Arial;sans-serif"/>
          <w:b w:val="false"/>
          <w:color w:val="000000"/>
          <w:sz w:val="22"/>
        </w:rPr>
        <w:t>1% in the Merchant Solutions segment and 8% in the Financial Solutions segment in the second quarter of 2026 compared to the prior year period. GAAP revenue for the company was $10.32 billion in the first six months of 2026, a decrease of 3% compared to the first six months of 2025. GAAP revenue decreased</w:t>
      </w:r>
      <w:r>
        <w:rPr>
          <w:color w:val="000000"/>
        </w:rPr>
        <w:t xml:space="preserve"> </w:t>
      </w:r>
      <w:r>
        <w:rPr>
          <w:rFonts w:ascii="Arial;sans-serif" w:hAnsi="Arial;sans-serif"/>
          <w:b w:val="false"/>
          <w:color w:val="000000"/>
          <w:sz w:val="22"/>
        </w:rPr>
        <w:t>1% in the Merchant Solutions segment and 6% in the Financial Solutions segment in the first six months of 2026 compared to the prior year period. GAAP earnings per share was $1.17 in the second quarter and $2.24 in the first six months of 2026, a decrease of 37% and 33% compared to the prior year periods. The second quarter and first six months of 2026 included transformation related expenses associated with the company’s One Fiserv action plan.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GAAP operating margin was 19.2% and 18.7% in the second quarter and first six months of 2026 compared to 30.7% and 29.0% in the second quarter and first six months of 2025. GAAP operating margin in the Merchant Solutions segment was 30.0% and 28.3% in the second quarter and first six months of 2026 compared to 34.6% and 34.4% in the prior year periods. GAAP operating margin in the Financial Solutions segment was 38.7% and 38.4% in the second quarter and first six months of 2026 compared to 48.7% and 48.1% in the prior year periods. Net cash provided by operating activities was $2.08 billion in the first six months of 2026 compared to $2.31 billion in the first six months of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Our business continues to be supported by volume growth and strong positions in attractive markets,” said Takis Georgakopoulos, Chief Executive Officer of Fiserv. “Our recurring revenue base is durable, client demand for our strategic platforms remains strong, and we are improving execution, enhancing our technology and are committed to long-term shareholder value.”</w:t>
      </w:r>
    </w:p>
    <w:p>
      <w:pPr>
        <w:pStyle w:val="TextBody"/>
        <w:bidi w:val="0"/>
        <w:spacing w:before="0" w:after="0"/>
        <w:jc w:val="left"/>
        <w:rPr/>
      </w:pPr>
      <w:r>
        <w:rPr/>
      </w:r>
    </w:p>
    <w:p>
      <w:pPr>
        <w:pStyle w:val="TextBody"/>
        <w:bidi w:val="0"/>
        <w:spacing w:lineRule="auto" w:line="276" w:before="0" w:after="180"/>
        <w:jc w:val="left"/>
        <w:rPr>
          <w:rFonts w:ascii="Arial;sans-serif" w:hAnsi="Arial;sans-serif"/>
          <w:b/>
          <w:color w:val="000000"/>
          <w:sz w:val="22"/>
        </w:rPr>
      </w:pPr>
      <w:r>
        <w:rPr>
          <w:rFonts w:ascii="Arial;sans-serif" w:hAnsi="Arial;sans-serif"/>
          <w:b/>
          <w:color w:val="000000"/>
          <w:sz w:val="22"/>
        </w:rPr>
        <w:t>Second Quarter 2026 Non-GAAP Results and Additional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Adjusted revenue was $4.96 billion in the second quarter and $9.64 billion in the first six months of 2026, a decrease of 4% and 3% compared to the prior year periods.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Organic revenue decreased 5% in the second quarter of 2026, with a 1% decline in the Merchant Solutions segment and an 8% decline in the Financial Solutions segment.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Organic revenue decreased 4% in the first six months of 2026, with a 1% decline in the Merchant Solutions segment and a 7% decline in the Financial Solutions segment.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Adjusted earnings per share was $1.84 in the second quarter and $3.63 in the first six months of 2026, a decrease of 26% and 21% compared to the prior year periods.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Adjusted operating margin was 31.8% and 30.8% in the second quarter and first six months of 2026 compared to 39.6% and 38.7% in the second quarter and first six months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Adjusted operating margin was 30.0% and 34.6% in the Merchant Solutions segment and 38.7% and 48.7% in the Financial Solutions segment in the second quarter of 2026 and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Adjusted operating margin was 28.3% and 34.4% in the Merchant Solutions segment and 38.4% and 48.1% in the Financial Solutions segment in the first six months of 2026 and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Free cash flow was $1.36 billion in the first six months of 2026 compared to $1.54 billion in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The company repurchased 1.7 million shares of common stock for $100 million in the second quarter and 5.0 million shares of common stock for $300 million in the first six months of 2026.</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The company completed a public offering of 1.0 billion Euros of 4-year and 8-year senior notes with a weighted average coupon rate of 4.0%.</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The company retired a portion of its outstanding senior notes due March 2027 and July 2049 through a cash tender offer and open market repurchase during June and July, with $1.41 billion aggregate principal amount accepted for purchase, for total consideration of $1.23 billion paid to holders.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2"/>
        </w:rPr>
        <w:t>In August, the company completed the formation of its previously announced joint venture, MoneyPass Group, encompassing its MoneyPass Network, ATM Managed Services and Cash Intelligence businesses, of which it will maintain a minority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2"/>
        </w:rPr>
      </w:pPr>
      <w:r>
        <w:rPr>
          <w:rFonts w:ascii="Arial;sans-serif" w:hAnsi="Arial;sans-serif"/>
          <w:b/>
          <w:color w:val="000000"/>
          <w:sz w:val="22"/>
        </w:rPr>
        <w:t>Outlook for 2026</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Fiserv now expects organic revenue outlook for 2026 of (1%) to 0% and adjusted earnings per share outlook of $7.20 to $7.40.</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8"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Growth in overall volumes, transactions and accounts, coupled with recurring revenue growth, highlight the underlying performance of our business in the second quarter,” said Paul Todd, Chief Financial Officer of Fiserv. “While we are adjusting our 2026 outlook, we are reiterating our expected medium-term growth rates.”</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Earnings Conference Call</w:t>
      </w:r>
    </w:p>
    <w:p>
      <w:pPr>
        <w:pStyle w:val="TextBody"/>
        <w:bidi w:val="0"/>
        <w:spacing w:lineRule="auto" w:line="288" w:before="0" w:after="180"/>
        <w:jc w:val="left"/>
        <w:rPr/>
      </w:pPr>
      <w:r>
        <w:rPr>
          <w:rFonts w:ascii="Arial;sans-serif" w:hAnsi="Arial;sans-serif"/>
          <w:b w:val="false"/>
          <w:color w:val="000000"/>
          <w:sz w:val="22"/>
        </w:rPr>
        <w:t xml:space="preserve">The company will discuss its second quarter 2026 results in a live webcast at 7 a.m. CT on Thursday, August 6, 2026. The webcast, along with supplemental financial information, can be accessed on the investor relations section of the Fiserv website at </w:t>
      </w:r>
      <w:r>
        <w:rPr>
          <w:rFonts w:ascii="Arial;sans-serif" w:hAnsi="Arial;sans-serif"/>
          <w:b w:val="false"/>
          <w:color w:val="0000FF"/>
          <w:sz w:val="22"/>
          <w:u w:val="single"/>
        </w:rPr>
        <w:t>investors.fiserv.com</w:t>
      </w:r>
      <w:r>
        <w:rPr>
          <w:rFonts w:ascii="Arial;sans-serif" w:hAnsi="Arial;sans-serif"/>
          <w:b w:val="false"/>
          <w:color w:val="000000"/>
          <w:sz w:val="22"/>
        </w:rPr>
        <w:t>. A replay will be available approximately one hour after the conclusion of the live webcast.</w: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About Fiserv</w:t>
      </w:r>
    </w:p>
    <w:p>
      <w:pPr>
        <w:pStyle w:val="TextBody"/>
        <w:bidi w:val="0"/>
        <w:spacing w:lineRule="auto" w:line="288" w:before="0" w:after="180"/>
        <w:jc w:val="left"/>
        <w:rPr/>
      </w:pPr>
      <w:r>
        <w:rPr>
          <w:rFonts w:ascii="Arial;sans-serif" w:hAnsi="Arial;sans-serif"/>
          <w:b w:val="false"/>
          <w:color w:val="000000"/>
          <w:sz w:val="22"/>
        </w:rPr>
        <w:t>Fiserv, Inc. (NASDAQ: FISV), a Fortune 500™ company, is a global leader uniting commerce and finance. At the intersection of banking and commerce, the company powers sustained growth and innovation at scale for financial institutions and businesses worldwide across payments, account processing, digital banking, merchant acquiring, network services, e-commerce, and Clover</w:t>
      </w:r>
      <w:r>
        <w:rPr>
          <w:rFonts w:ascii="Arial;sans-serif" w:hAnsi="Arial;sans-serif"/>
          <w:b w:val="false"/>
          <w:color w:val="000000"/>
          <w:sz w:val="14"/>
        </w:rPr>
        <w:t>®</w:t>
      </w:r>
      <w:r>
        <w:rPr>
          <w:rFonts w:ascii="Arial;sans-serif" w:hAnsi="Arial;sans-serif"/>
          <w:b w:val="false"/>
          <w:color w:val="000000"/>
          <w:sz w:val="22"/>
        </w:rPr>
        <w:t>, the all-in-one business management platform. Fiserv is a member of the S&amp;P 500</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Index and one of FORTUNE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 xml:space="preserve">America’s Most Innovative Companies. Visit </w:t>
      </w:r>
      <w:r>
        <w:rPr>
          <w:rFonts w:ascii="Arial;sans-serif" w:hAnsi="Arial;sans-serif"/>
          <w:b w:val="false"/>
          <w:color w:val="0000FF"/>
          <w:sz w:val="22"/>
          <w:u w:val="single"/>
        </w:rPr>
        <w:t>fiserv.com</w:t>
      </w:r>
      <w:r>
        <w:rPr>
          <w:color w:val="000000"/>
        </w:rPr>
        <w:t xml:space="preserve"> </w:t>
      </w:r>
      <w:r>
        <w:rPr>
          <w:rFonts w:ascii="Arial;sans-serif" w:hAnsi="Arial;sans-serif"/>
          <w:b w:val="false"/>
          <w:color w:val="000000"/>
          <w:sz w:val="22"/>
        </w:rPr>
        <w:t>and follow on social media for more information and the latest company news.</w:t>
      </w:r>
    </w:p>
    <w:p>
      <w:pPr>
        <w:pStyle w:val="TextBody"/>
        <w:bidi w:val="0"/>
        <w:spacing w:lineRule="auto" w:line="288" w:before="0" w:after="180"/>
        <w:jc w:val="left"/>
        <w:rPr>
          <w:rFonts w:ascii="Arial;sans-serif" w:hAnsi="Arial;sans-serif"/>
          <w:b/>
          <w:color w:val="000000"/>
          <w:sz w:val="22"/>
        </w:rPr>
      </w:pPr>
      <w:bookmarkStart w:id="0" w:name="id855b231075143e1a0844c19f3ebaa5e_9147"/>
      <w:bookmarkEnd w:id="0"/>
      <w:r>
        <w:rPr>
          <w:rFonts w:ascii="Arial;sans-serif" w:hAnsi="Arial;sans-serif"/>
          <w:b/>
          <w:color w:val="000000"/>
          <w:sz w:val="22"/>
        </w:rPr>
        <w:t>Use of Non-GAAP Financial Measures</w:t>
      </w:r>
    </w:p>
    <w:p>
      <w:pPr>
        <w:pStyle w:val="TextBody"/>
        <w:bidi w:val="0"/>
        <w:spacing w:lineRule="auto" w:line="288" w:before="0" w:after="180"/>
        <w:jc w:val="left"/>
        <w:rPr/>
      </w:pPr>
      <w:r>
        <w:rPr>
          <w:rFonts w:ascii="Arial;sans-serif" w:hAnsi="Arial;sans-serif"/>
          <w:b w:val="false"/>
          <w:color w:val="000000"/>
          <w:sz w:val="22"/>
        </w:rPr>
        <w:t xml:space="preserve">In this news release, the company supplements its reporting of information determined in accordance with generally accepted accounting principles (“GAAP”), such as revenue, operating income, operating margin, net income attributable to Fiserv, diluted earnings per share and net cash provided by operating activities, with “adjusted revenue,” “change in adjusted revenue,” “adjusted revenue growth,” “organic revenue,” “change in organic revenue,” “organic revenue growth,” “adjusted operating income,” “adjusted operating margin,” “adjusted net income,” “adjusted earnings per share,” “change in adjusted earnings per share,”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w:t>
      </w:r>
      <w:hyperlink w:anchor="i416531af051e43cb878ad24778f11a13_31">
        <w:r>
          <w:rPr>
            <w:rStyle w:val="InternetLink"/>
            <w:rFonts w:ascii="Arial;sans-serif" w:hAnsi="Arial;sans-serif"/>
            <w:b w:val="false"/>
            <w:strike w:val="false"/>
            <w:dstrike w:val="false"/>
            <w:color w:val="000000"/>
            <w:sz w:val="22"/>
            <w:u w:val="none"/>
            <w:effect w:val="none"/>
          </w:rPr>
          <w:t>16</w:t>
        </w:r>
      </w:hyperlink>
      <w:r>
        <w:rPr>
          <w:rFonts w:ascii="Arial;sans-serif" w:hAnsi="Arial;sans-serif"/>
          <w:b w:val="false"/>
          <w:color w:val="000000"/>
          <w:sz w:val="22"/>
        </w:rPr>
        <w:t xml:space="preserve"> for additional information regarding the company’s forward-looking non-GAAP financial measures.</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 xml:space="preserve">Examples of non-cash or other items may include, but are not limited to, non-cash intangible asset amortization expense associated with acquisitions; non-cash impairment charges; merger and integration costs; severance costs; certain transformation related expenses associated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10"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company’s One Fiserv action plan; gains or losses from the sale of businesses, certain assets or investments; net gains associated with early debt extinguishments; and certain discrete tax items.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Management believes organic revenue is a useful measure because it presents revenue on a more comparable basis by excluding the effects of foreign currency fluctuations, acquisitions, dispositions and the company’s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 xml:space="preserve">These unaudited non-GAAP financial measures may not be comparable to similarly titled measures reported by other companies and should be considered in addition to, and not as a substitute for, revenue, operating income, operating margin, net income attributable to Fiserv, diluted earnings per share and net cash provided by operating activities or any other amount determined in accordance with </w:t>
      </w:r>
      <w:bookmarkStart w:id="1" w:name="id855b231075143e1a0844c19f3ebaa5e_9148"/>
      <w:bookmarkEnd w:id="1"/>
      <w:r>
        <w:rPr>
          <w:rFonts w:ascii="Arial;sans-serif" w:hAnsi="Arial;sans-serif"/>
          <w:b w:val="false"/>
          <w:color w:val="000000"/>
          <w:sz w:val="22"/>
        </w:rPr>
        <w:t xml:space="preserve">GAAP. </w:t>
      </w:r>
    </w:p>
    <w:p>
      <w:pPr>
        <w:pStyle w:val="TextBody"/>
        <w:bidi w:val="0"/>
        <w:spacing w:lineRule="auto" w:line="312" w:before="0" w:after="6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288" w:before="0" w:after="180"/>
        <w:jc w:val="left"/>
        <w:rPr>
          <w:rFonts w:ascii="Arial;sans-serif" w:hAnsi="Arial;sans-serif"/>
          <w:b w:val="false"/>
          <w:i/>
          <w:color w:val="000000"/>
          <w:sz w:val="22"/>
        </w:rPr>
      </w:pPr>
      <w:r>
        <w:rPr>
          <w:rFonts w:ascii="Arial;sans-serif" w:hAnsi="Arial;sans-serif"/>
          <w:b w:val="false"/>
          <w:i/>
          <w:color w:val="000000"/>
          <w:sz w:val="22"/>
        </w:rPr>
        <w:t xml:space="preserve">This news release contains forward-looking statements within the meaning of the Private Securities Litigation Reform Act of 1995, including statements regarding anticipated organic revenue growth and adjusted earnings per share and other statements regarding our future financial performance. Statements can generally be identified as forward-looking because they include words such as “believes,” “anticipates,” “expects,” “could,” “should,” “confident,” “likely,” “plan,” or words of similar meaning. Statements that describe the company’s future plans, outlook, objectives or goals are also forward-looking statements. </w:t>
      </w:r>
    </w:p>
    <w:p>
      <w:pPr>
        <w:pStyle w:val="TextBody"/>
        <w:bidi w:val="0"/>
        <w:spacing w:lineRule="auto" w:line="288"/>
        <w:jc w:val="left"/>
        <w:rPr>
          <w:rFonts w:ascii="Arial;sans-serif" w:hAnsi="Arial;sans-serif"/>
          <w:b w:val="false"/>
          <w:i/>
          <w:color w:val="000000"/>
          <w:sz w:val="22"/>
        </w:rPr>
      </w:pPr>
      <w:r>
        <w:rPr>
          <w:rFonts w:ascii="Arial;sans-serif" w:hAnsi="Arial;sans-serif"/>
          <w:b w:val="false"/>
          <w:i/>
          <w:color w:val="000000"/>
          <w:sz w:val="22"/>
        </w:rPr>
        <w:t xml:space="preserve">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company’s ability to successfully implement and achieve the expected benefits associated with its One Fiserv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12"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 xml:space="preserve">action plan; the success of the company’s merchant alliances, some of which are not controlled by the company; the impact of a security breach or operational failure on the company’s business, including disruptions caused by other participants in the global financial system; losses due to chargebacks, refunds or returns as a result of fraud or the failure of the company’s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the company and its employees, clients, vendors, supply chain, operations and sales; the company’s ability to use artificial intelligence to improve its products and services and enhance its operations;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growth strategies; the company’s ability to attract and retain key personnel; adverse impacts from currency exchange rates or currency controls; changes in corporate tax and interest rates; and other factors included in “Risk Factors” in the company’s Annual Report on Form 10-K for the year ended December 31, 2025,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14"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466850" cy="92392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1212"/>
        <w:gridCol w:w="793"/>
        <w:gridCol w:w="801"/>
        <w:gridCol w:w="118"/>
        <w:gridCol w:w="118"/>
        <w:gridCol w:w="136"/>
        <w:gridCol w:w="136"/>
        <w:gridCol w:w="264"/>
        <w:gridCol w:w="789"/>
        <w:gridCol w:w="136"/>
        <w:gridCol w:w="118"/>
        <w:gridCol w:w="118"/>
        <w:gridCol w:w="118"/>
        <w:gridCol w:w="228"/>
        <w:gridCol w:w="667"/>
        <w:gridCol w:w="118"/>
        <w:gridCol w:w="109"/>
        <w:gridCol w:w="109"/>
        <w:gridCol w:w="109"/>
        <w:gridCol w:w="211"/>
        <w:gridCol w:w="631"/>
        <w:gridCol w:w="109"/>
        <w:gridCol w:w="109"/>
        <w:gridCol w:w="109"/>
        <w:gridCol w:w="109"/>
        <w:gridCol w:w="211"/>
        <w:gridCol w:w="616"/>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121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0"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c>
          <w:tcPr>
            <w:tcW w:w="4335" w:type="dxa"/>
            <w:gridSpan w:val="28"/>
            <w:tcBorders/>
          </w:tcPr>
          <w:p>
            <w:pPr>
              <w:pStyle w:val="TableContents"/>
              <w:bidi w:val="0"/>
              <w:spacing w:before="0" w:after="283"/>
              <w:jc w:val="left"/>
              <w:rPr>
                <w:sz w:val="4"/>
                <w:szCs w:val="4"/>
              </w:rPr>
            </w:pPr>
            <w:r>
              <w:rPr>
                <w:sz w:val="4"/>
                <w:szCs w:val="4"/>
              </w:rPr>
            </w:r>
          </w:p>
        </w:tc>
      </w:tr>
      <w:tr>
        <w:trPr/>
        <w:tc>
          <w:tcPr>
            <w:tcW w:w="5870"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Income</w:t>
            </w:r>
          </w:p>
        </w:tc>
        <w:tc>
          <w:tcPr>
            <w:tcW w:w="4335" w:type="dxa"/>
            <w:gridSpan w:val="28"/>
            <w:tcBorders/>
          </w:tcPr>
          <w:p>
            <w:pPr>
              <w:pStyle w:val="TableContents"/>
              <w:bidi w:val="0"/>
              <w:spacing w:before="0" w:after="283"/>
              <w:jc w:val="left"/>
              <w:rPr>
                <w:sz w:val="4"/>
                <w:szCs w:val="4"/>
              </w:rPr>
            </w:pPr>
            <w:r>
              <w:rPr>
                <w:sz w:val="4"/>
                <w:szCs w:val="4"/>
              </w:rPr>
            </w:r>
          </w:p>
        </w:tc>
      </w:tr>
      <w:tr>
        <w:trPr/>
        <w:tc>
          <w:tcPr>
            <w:tcW w:w="5870"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except per share amounts, unaudited)</w:t>
            </w:r>
          </w:p>
        </w:tc>
        <w:tc>
          <w:tcPr>
            <w:tcW w:w="4335" w:type="dxa"/>
            <w:gridSpan w:val="28"/>
            <w:tcBorders/>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6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10"/>
            <w:tcBorders/>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Processing and services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4,292</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1,000</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5,292</w:t>
            </w: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processing and services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1,706</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1,888</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loss on sale of assets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4,277</w:t>
            </w: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1,015</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early debt extinguishment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Income before income taxes and income (loss) from investments in unconsolidated affiliates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775</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(loss) from investments in unconsolidated affiliates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Fiserv</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earnings per share attributable to Fiserv — diluted</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shares used in computing earnings per share attributable to Fiserv</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533.7</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Earnings per share is calculated using actual, unrounded amounts.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16"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466850" cy="92392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1207"/>
        <w:gridCol w:w="743"/>
        <w:gridCol w:w="745"/>
        <w:gridCol w:w="138"/>
        <w:gridCol w:w="138"/>
        <w:gridCol w:w="186"/>
        <w:gridCol w:w="186"/>
        <w:gridCol w:w="362"/>
        <w:gridCol w:w="244"/>
        <w:gridCol w:w="465"/>
        <w:gridCol w:w="138"/>
        <w:gridCol w:w="138"/>
        <w:gridCol w:w="138"/>
        <w:gridCol w:w="267"/>
        <w:gridCol w:w="782"/>
        <w:gridCol w:w="138"/>
        <w:gridCol w:w="109"/>
        <w:gridCol w:w="109"/>
        <w:gridCol w:w="109"/>
        <w:gridCol w:w="222"/>
        <w:gridCol w:w="172"/>
        <w:gridCol w:w="408"/>
        <w:gridCol w:w="109"/>
        <w:gridCol w:w="109"/>
        <w:gridCol w:w="109"/>
        <w:gridCol w:w="211"/>
        <w:gridCol w:w="616"/>
        <w:gridCol w:w="109"/>
        <w:gridCol w:w="109"/>
        <w:gridCol w:w="109"/>
        <w:gridCol w:w="109"/>
        <w:gridCol w:w="109"/>
        <w:gridCol w:w="109"/>
        <w:gridCol w:w="109"/>
        <w:gridCol w:w="109"/>
        <w:gridCol w:w="109"/>
        <w:gridCol w:w="109"/>
        <w:gridCol w:w="109"/>
        <w:gridCol w:w="109"/>
        <w:gridCol w:w="109"/>
        <w:gridCol w:w="109"/>
        <w:gridCol w:w="109"/>
        <w:gridCol w:w="109"/>
        <w:gridCol w:w="163"/>
      </w:tblGrid>
      <w:tr>
        <w:trPr/>
        <w:tc>
          <w:tcPr>
            <w:tcW w:w="120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1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c>
          <w:tcPr>
            <w:tcW w:w="4190" w:type="dxa"/>
            <w:gridSpan w:val="28"/>
            <w:tcBorders/>
          </w:tcPr>
          <w:p>
            <w:pPr>
              <w:pStyle w:val="TableContents"/>
              <w:bidi w:val="0"/>
              <w:spacing w:before="0" w:after="283"/>
              <w:jc w:val="left"/>
              <w:rPr>
                <w:sz w:val="4"/>
                <w:szCs w:val="4"/>
              </w:rPr>
            </w:pPr>
            <w:r>
              <w:rPr>
                <w:sz w:val="4"/>
                <w:szCs w:val="4"/>
              </w:rPr>
            </w:r>
          </w:p>
        </w:tc>
      </w:tr>
      <w:tr>
        <w:trPr/>
        <w:tc>
          <w:tcPr>
            <w:tcW w:w="601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GAAP to</w:t>
            </w:r>
          </w:p>
        </w:tc>
        <w:tc>
          <w:tcPr>
            <w:tcW w:w="4190" w:type="dxa"/>
            <w:gridSpan w:val="28"/>
            <w:tcBorders/>
          </w:tcPr>
          <w:p>
            <w:pPr>
              <w:pStyle w:val="TableContents"/>
              <w:bidi w:val="0"/>
              <w:spacing w:before="0" w:after="283"/>
              <w:jc w:val="left"/>
              <w:rPr>
                <w:sz w:val="4"/>
                <w:szCs w:val="4"/>
              </w:rPr>
            </w:pPr>
            <w:r>
              <w:rPr>
                <w:sz w:val="4"/>
                <w:szCs w:val="4"/>
              </w:rPr>
            </w:r>
          </w:p>
        </w:tc>
      </w:tr>
      <w:tr>
        <w:trPr/>
        <w:tc>
          <w:tcPr>
            <w:tcW w:w="601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Net Income and Adjusted Earnings Per Share</w:t>
            </w:r>
          </w:p>
        </w:tc>
        <w:tc>
          <w:tcPr>
            <w:tcW w:w="4190" w:type="dxa"/>
            <w:gridSpan w:val="28"/>
            <w:tcBorders/>
          </w:tcPr>
          <w:p>
            <w:pPr>
              <w:pStyle w:val="TableContents"/>
              <w:bidi w:val="0"/>
              <w:spacing w:before="0" w:after="283"/>
              <w:jc w:val="left"/>
              <w:rPr>
                <w:sz w:val="4"/>
                <w:szCs w:val="4"/>
              </w:rPr>
            </w:pPr>
            <w:r>
              <w:rPr>
                <w:sz w:val="4"/>
                <w:szCs w:val="4"/>
              </w:rPr>
            </w:r>
          </w:p>
        </w:tc>
      </w:tr>
      <w:tr>
        <w:trPr/>
        <w:tc>
          <w:tcPr>
            <w:tcW w:w="601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except per share amounts, unaudited)</w:t>
            </w:r>
          </w:p>
        </w:tc>
        <w:tc>
          <w:tcPr>
            <w:tcW w:w="4190" w:type="dxa"/>
            <w:gridSpan w:val="28"/>
            <w:tcBorders/>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4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10"/>
            <w:tcBorders/>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net income attributable to Fiserv</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Merger and integration costs </w:t>
            </w:r>
            <w:r>
              <w:rPr>
                <w:rFonts w:ascii="Arial;sans-serif" w:hAnsi="Arial;sans-serif"/>
                <w:b w:val="false"/>
                <w:color w:val="000000"/>
                <w:sz w:val="12"/>
              </w:rPr>
              <w:t>1</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One Fiserv transformation program expenses </w:t>
            </w:r>
            <w:r>
              <w:rPr>
                <w:rFonts w:ascii="Arial;sans-serif" w:hAnsi="Arial;sans-serif"/>
                <w:b w:val="false"/>
                <w:color w:val="000000"/>
                <w:sz w:val="12"/>
              </w:rPr>
              <w:t>2</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acquisition-related intangible assets</w:t>
            </w:r>
            <w:r>
              <w:rPr>
                <w:color w:val="000000"/>
              </w:rPr>
              <w:t xml:space="preserve"> </w:t>
            </w:r>
            <w:r>
              <w:rPr>
                <w:rFonts w:ascii="Arial;sans-serif" w:hAnsi="Arial;sans-serif"/>
                <w:b w:val="false"/>
                <w:color w:val="000000"/>
                <w:sz w:val="12"/>
              </w:rPr>
              <w:t>3</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gain on sale of assets </w:t>
            </w:r>
            <w:r>
              <w:rPr>
                <w:rFonts w:ascii="Arial;sans-serif" w:hAnsi="Arial;sans-serif"/>
                <w:b w:val="false"/>
                <w:color w:val="000000"/>
                <w:sz w:val="12"/>
              </w:rPr>
              <w:t>4</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 wholly-owned entity activities </w:t>
            </w:r>
            <w:r>
              <w:rPr>
                <w:rFonts w:ascii="Arial;sans-serif" w:hAnsi="Arial;sans-serif"/>
                <w:b w:val="false"/>
                <w:color w:val="000000"/>
                <w:sz w:val="12"/>
              </w:rPr>
              <w:t>5</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gain on early debt extinguishment </w:t>
            </w:r>
            <w:r>
              <w:rPr>
                <w:rFonts w:ascii="Arial;sans-serif" w:hAnsi="Arial;sans-serif"/>
                <w:b w:val="false"/>
                <w:color w:val="000000"/>
                <w:sz w:val="12"/>
              </w:rPr>
              <w:t>6</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impact of adjustments </w:t>
            </w:r>
            <w:r>
              <w:rPr>
                <w:rFonts w:ascii="Arial;sans-serif" w:hAnsi="Arial;sans-serif"/>
                <w:b w:val="false"/>
                <w:color w:val="000000"/>
                <w:sz w:val="12"/>
              </w:rPr>
              <w:t>7</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Incremental executive compensation </w:t>
            </w:r>
            <w:r>
              <w:rPr>
                <w:rFonts w:ascii="Arial;sans-serif" w:hAnsi="Arial;sans-serif"/>
                <w:b w:val="false"/>
                <w:color w:val="000000"/>
                <w:sz w:val="12"/>
              </w:rPr>
              <w:t>8</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Argentine Peso devaluation </w:t>
            </w:r>
            <w:r>
              <w:rPr>
                <w:rFonts w:ascii="Arial;sans-serif" w:hAnsi="Arial;sans-serif"/>
                <w:b w:val="false"/>
                <w:color w:val="000000"/>
                <w:sz w:val="12"/>
              </w:rPr>
              <w:t>9</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earnings per share attributable to Fiserv - diluted</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 net of income taxes: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Merger and integration costs </w:t>
            </w:r>
            <w:r>
              <w:rPr>
                <w:rFonts w:ascii="Arial;sans-serif" w:hAnsi="Arial;sans-serif"/>
                <w:b w:val="false"/>
                <w:color w:val="000000"/>
                <w:sz w:val="12"/>
              </w:rPr>
              <w:t>1</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One Fiserv transformation program expenses </w:t>
            </w:r>
            <w:r>
              <w:rPr>
                <w:rFonts w:ascii="Arial;sans-serif" w:hAnsi="Arial;sans-serif"/>
                <w:b w:val="false"/>
                <w:color w:val="000000"/>
                <w:sz w:val="12"/>
              </w:rPr>
              <w:t>2</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acquisition-related intangible assets</w:t>
            </w:r>
            <w:r>
              <w:rPr>
                <w:color w:val="000000"/>
              </w:rPr>
              <w:t xml:space="preserve"> </w:t>
            </w:r>
            <w:r>
              <w:rPr>
                <w:rFonts w:ascii="Arial;sans-serif" w:hAnsi="Arial;sans-serif"/>
                <w:b w:val="false"/>
                <w:color w:val="000000"/>
                <w:sz w:val="12"/>
              </w:rPr>
              <w:t>3</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0.47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gain on sale of assets </w:t>
            </w:r>
            <w:r>
              <w:rPr>
                <w:rFonts w:ascii="Arial;sans-serif" w:hAnsi="Arial;sans-serif"/>
                <w:b w:val="false"/>
                <w:color w:val="000000"/>
                <w:sz w:val="12"/>
              </w:rPr>
              <w:t>4</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 wholly-owned entity activities </w:t>
            </w:r>
            <w:r>
              <w:rPr>
                <w:rFonts w:ascii="Arial;sans-serif" w:hAnsi="Arial;sans-serif"/>
                <w:b w:val="false"/>
                <w:color w:val="000000"/>
                <w:sz w:val="12"/>
              </w:rPr>
              <w:t>5</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gain on early debt extinguishment </w:t>
            </w:r>
            <w:r>
              <w:rPr>
                <w:rFonts w:ascii="Arial;sans-serif" w:hAnsi="Arial;sans-serif"/>
                <w:b w:val="false"/>
                <w:color w:val="000000"/>
                <w:sz w:val="12"/>
              </w:rPr>
              <w:t>6</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Incremental executive compensation</w:t>
            </w:r>
            <w:r>
              <w:rPr>
                <w:color w:val="000000"/>
              </w:rPr>
              <w:t xml:space="preserve"> </w:t>
            </w:r>
            <w:r>
              <w:rPr>
                <w:rFonts w:ascii="Arial;sans-serif" w:hAnsi="Arial;sans-serif"/>
                <w:b w:val="false"/>
                <w:color w:val="000000"/>
                <w:sz w:val="12"/>
              </w:rPr>
              <w:t>8</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Argentine Peso devaluation </w:t>
            </w:r>
            <w:r>
              <w:rPr>
                <w:rFonts w:ascii="Arial;sans-serif" w:hAnsi="Arial;sans-serif"/>
                <w:b w:val="false"/>
                <w:color w:val="000000"/>
                <w:sz w:val="12"/>
              </w:rPr>
              <w:t>9</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 per share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GAAP earnings per share attributable to Fiserv</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4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adjusted earnings per share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w:t>
            </w:r>
          </w:p>
        </w:tc>
        <w:tc>
          <w:tcPr>
            <w:tcW w:w="4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See pages 3-4 for disclosures related to the use of non-GAAP financial measures.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Earnings per share is calculated using actual, unrounded amounts.</w:t>
      </w:r>
    </w:p>
    <w:p>
      <w:pPr>
        <w:pStyle w:val="TextBody"/>
        <w:bidi w:val="0"/>
        <w:spacing w:lineRule="auto" w:line="288" w:before="12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Represents acquisition and related integration costs incurred in connection with acquisitions. Merger and integration costs include $9 million and $21 million of third-party professional service fees and $12 million and $26 million of retention awards in the second quarter and first six months of 2026. Merger and integration costs include $3 million and $5 million of third-party professional service fees in the second quarter and first six months of 2025, as well as $11 million related to a legal settlement in the first six months of 2025.</w:t>
      </w:r>
    </w:p>
    <w:p>
      <w:pPr>
        <w:pStyle w:val="TextBody"/>
        <w:bidi w:val="0"/>
        <w:spacing w:lineRule="auto" w:line="288" w:before="120" w:after="283"/>
        <w:ind w:left="0" w:right="0" w:hanging="180"/>
        <w:jc w:val="left"/>
        <w:rPr/>
      </w:pPr>
      <w:r>
        <w:rPr>
          <w:rFonts w:ascii="Arial;sans-serif" w:hAnsi="Arial;sans-serif"/>
          <w:b w:val="false"/>
          <w:color w:val="000000"/>
          <w:sz w:val="10"/>
        </w:rPr>
        <w:t>2</w:t>
      </w:r>
      <w:r>
        <w:rPr>
          <w:rFonts w:ascii="Arial;sans-serif" w:hAnsi="Arial;sans-serif"/>
          <w:b w:val="false"/>
          <w:color w:val="000000"/>
          <w:sz w:val="16"/>
        </w:rPr>
        <w:t xml:space="preserve">Represents costs associated with a multi-year transformation initiative focused on operational excellence enabled by artificial intelligence, including process reengineering and technology infrastructure modernization. This adjustment is primarily comprised of third-party fees and also includes $48 million and $89 million of incremental compensation expense in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18"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second quarter and first six months of 2026, primarily associated with retention cash awards and restricted stock units granted to certain employees.</w:t>
      </w:r>
    </w:p>
    <w:p>
      <w:pPr>
        <w:pStyle w:val="TextBody"/>
        <w:bidi w:val="0"/>
        <w:spacing w:lineRule="auto" w:line="288" w:before="120" w:after="283"/>
        <w:ind w:left="0" w:right="0" w:hanging="180"/>
        <w:jc w:val="left"/>
        <w:rPr/>
      </w:pPr>
      <w:r>
        <w:rPr>
          <w:rFonts w:ascii="Arial;sans-serif" w:hAnsi="Arial;sans-serif"/>
          <w:b w:val="false"/>
          <w:color w:val="000000"/>
          <w:sz w:val="10"/>
        </w:rPr>
        <w:t>3</w:t>
      </w:r>
      <w:r>
        <w:rPr>
          <w:rFonts w:ascii="Arial;sans-serif" w:hAnsi="Arial;sans-serif"/>
          <w:b w:val="false"/>
          <w:color w:val="000000"/>
          <w:sz w:val="16"/>
        </w:rPr>
        <w:t xml:space="preserve">Represents amortization of intangible assets acquired through acquisition,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 See additional information on page </w:t>
      </w:r>
      <w:hyperlink w:anchor="i416531af051e43cb878ad24778f11a13_28">
        <w:r>
          <w:rPr>
            <w:rStyle w:val="InternetLink"/>
            <w:rFonts w:ascii="Arial;sans-serif" w:hAnsi="Arial;sans-serif"/>
            <w:b w:val="false"/>
            <w:strike w:val="false"/>
            <w:dstrike w:val="false"/>
            <w:color w:val="000000"/>
            <w:sz w:val="16"/>
            <w:u w:val="none"/>
            <w:effect w:val="none"/>
          </w:rPr>
          <w:t>15</w:t>
        </w:r>
      </w:hyperlink>
      <w:r>
        <w:rPr>
          <w:rFonts w:ascii="Arial;sans-serif" w:hAnsi="Arial;sans-serif"/>
          <w:b w:val="false"/>
          <w:color w:val="000000"/>
          <w:sz w:val="16"/>
        </w:rPr>
        <w:t xml:space="preserve"> for an analysis of the company’s amortization expense.</w:t>
      </w:r>
      <w:r>
        <w:rPr>
          <w:color w:val="000000"/>
        </w:rPr>
        <w:t xml:space="preserve"> </w:t>
      </w:r>
    </w:p>
    <w:p>
      <w:pPr>
        <w:pStyle w:val="TextBody"/>
        <w:bidi w:val="0"/>
        <w:spacing w:lineRule="auto" w:line="288" w:before="120" w:after="283"/>
        <w:ind w:left="0" w:right="0" w:hanging="180"/>
        <w:jc w:val="left"/>
        <w:rPr/>
      </w:pPr>
      <w:r>
        <w:rPr>
          <w:rFonts w:ascii="Arial;sans-serif" w:hAnsi="Arial;sans-serif"/>
          <w:b w:val="false"/>
          <w:color w:val="000000"/>
          <w:sz w:val="10"/>
        </w:rPr>
        <w:t>4</w:t>
      </w:r>
      <w:r>
        <w:rPr>
          <w:rFonts w:ascii="Arial;sans-serif" w:hAnsi="Arial;sans-serif"/>
          <w:b w:val="false"/>
          <w:color w:val="000000"/>
          <w:sz w:val="16"/>
        </w:rPr>
        <w:t>Represents a net gain on the sale-leaseback of certain facilities in the first six months of 2026.</w:t>
      </w:r>
    </w:p>
    <w:p>
      <w:pPr>
        <w:pStyle w:val="TextBody"/>
        <w:bidi w:val="0"/>
        <w:spacing w:lineRule="auto" w:line="288" w:before="120" w:after="283"/>
        <w:ind w:left="0" w:right="0" w:hanging="180"/>
        <w:jc w:val="left"/>
        <w:rPr/>
      </w:pPr>
      <w:r>
        <w:rPr>
          <w:rFonts w:ascii="Arial;sans-serif" w:hAnsi="Arial;sans-serif"/>
          <w:b w:val="false"/>
          <w:color w:val="000000"/>
          <w:sz w:val="10"/>
        </w:rPr>
        <w:t>5</w:t>
      </w:r>
      <w:r>
        <w:rPr>
          <w:rFonts w:ascii="Arial;sans-serif" w:hAnsi="Arial;sans-serif"/>
          <w:b w:val="false"/>
          <w:color w:val="000000"/>
          <w:sz w:val="16"/>
        </w:rPr>
        <w:t>Represents the company’s share of amortization of acquisition-related intangible assets at its unconsolidated affiliates.</w:t>
      </w:r>
    </w:p>
    <w:p>
      <w:pPr>
        <w:pStyle w:val="TextBody"/>
        <w:bidi w:val="0"/>
        <w:spacing w:lineRule="auto" w:line="288" w:before="120" w:after="283"/>
        <w:ind w:left="0" w:right="0" w:hanging="180"/>
        <w:jc w:val="left"/>
        <w:rPr/>
      </w:pPr>
      <w:r>
        <w:rPr>
          <w:rFonts w:ascii="Arial;sans-serif" w:hAnsi="Arial;sans-serif"/>
          <w:b w:val="false"/>
          <w:color w:val="000000"/>
          <w:sz w:val="10"/>
        </w:rPr>
        <w:t>6</w:t>
      </w:r>
      <w:r>
        <w:rPr>
          <w:rFonts w:ascii="Arial;sans-serif" w:hAnsi="Arial;sans-serif"/>
          <w:b w:val="false"/>
          <w:color w:val="000000"/>
          <w:sz w:val="16"/>
        </w:rPr>
        <w:t>Represents a gain on early debt extinguishment in connection with the company’s June 2026 cash tender offer and open market repurchase of a portion of its outstanding 5.150% senior notes due March 2027 and 4.400% senior notes due July 2049. This adjustment also includes the release of $22 million, recorded within net interest expense in the consolidated statements of income, of unamortized losses originally recorded in accumulated other comprehensive loss associated with treasury lock agreements that had been designated as a cash flow hedge of the extinguished debt.</w:t>
      </w:r>
    </w:p>
    <w:p>
      <w:pPr>
        <w:pStyle w:val="TextBody"/>
        <w:bidi w:val="0"/>
        <w:spacing w:lineRule="auto" w:line="288" w:before="120" w:after="283"/>
        <w:ind w:left="0" w:right="0" w:hanging="180"/>
        <w:jc w:val="left"/>
        <w:rPr/>
      </w:pPr>
      <w:r>
        <w:rPr>
          <w:rFonts w:ascii="Arial;sans-serif" w:hAnsi="Arial;sans-serif"/>
          <w:b w:val="false"/>
          <w:color w:val="000000"/>
          <w:sz w:val="10"/>
        </w:rPr>
        <w:t>7</w:t>
      </w:r>
      <w:r>
        <w:rPr>
          <w:rFonts w:ascii="Arial;sans-serif" w:hAnsi="Arial;sans-serif"/>
          <w:b w:val="false"/>
          <w:color w:val="000000"/>
          <w:sz w:val="16"/>
        </w:rPr>
        <w:t>The tax impact of adjustments is calculated using a tax rate of 19.5% in both the first six months of 2026 and 2025, which approximates the company’s anticipated annual effective tax rates.</w:t>
      </w:r>
    </w:p>
    <w:p>
      <w:pPr>
        <w:pStyle w:val="TextBody"/>
        <w:bidi w:val="0"/>
        <w:spacing w:lineRule="auto" w:line="288" w:before="120" w:after="283"/>
        <w:ind w:left="0" w:right="0" w:hanging="180"/>
        <w:jc w:val="left"/>
        <w:rPr/>
      </w:pPr>
      <w:r>
        <w:rPr>
          <w:rFonts w:ascii="Arial;sans-serif" w:hAnsi="Arial;sans-serif"/>
          <w:b w:val="false"/>
          <w:color w:val="000000"/>
          <w:sz w:val="10"/>
        </w:rPr>
        <w:t>8</w:t>
      </w:r>
      <w:r>
        <w:rPr>
          <w:rFonts w:ascii="Arial;sans-serif" w:hAnsi="Arial;sans-serif"/>
          <w:b w:val="false"/>
          <w:color w:val="000000"/>
          <w:sz w:val="16"/>
        </w:rPr>
        <w:t>Represents incremental compensation expense associated with the transition of the company’s Chief Executive Officer (“CEO”) in 2025, comprised of $40 million of former CEO non-cash share-based compensation and related employer payroll taxes, and a $12 million cash replacement award paid to the company’s successor CEO appointed in 2025.</w:t>
      </w:r>
    </w:p>
    <w:p>
      <w:pPr>
        <w:pStyle w:val="TextBody"/>
        <w:bidi w:val="0"/>
        <w:spacing w:lineRule="auto" w:line="288" w:before="120" w:after="283"/>
        <w:ind w:left="0" w:right="0" w:hanging="180"/>
        <w:jc w:val="left"/>
        <w:rPr/>
      </w:pPr>
      <w:r>
        <w:rPr>
          <w:rFonts w:ascii="Arial;sans-serif" w:hAnsi="Arial;sans-serif"/>
          <w:b w:val="false"/>
          <w:color w:val="000000"/>
          <w:sz w:val="10"/>
        </w:rPr>
        <w:t>9</w:t>
      </w:r>
      <w:r>
        <w:rPr>
          <w:rFonts w:ascii="Arial;sans-serif" w:hAnsi="Arial;sans-serif"/>
          <w:b w:val="false"/>
          <w:color w:val="000000"/>
          <w:sz w:val="16"/>
        </w:rPr>
        <w:t>The Argentine government announced economic policy changes, including the removal of certain currency controls, resulting in a significant devaluation of the Argentine Peso on April 14, 2025. This adjustment represents the corresponding one-day foreign currency exchange loss from the remeasurement of the company’s Argentina subsidiary’s monetary assets and liabilities in Argentina’s highly inflationary economy.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0"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466850" cy="92392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1028"/>
        <w:gridCol w:w="558"/>
        <w:gridCol w:w="550"/>
        <w:gridCol w:w="109"/>
        <w:gridCol w:w="109"/>
        <w:gridCol w:w="127"/>
        <w:gridCol w:w="127"/>
        <w:gridCol w:w="247"/>
        <w:gridCol w:w="740"/>
        <w:gridCol w:w="317"/>
        <w:gridCol w:w="109"/>
        <w:gridCol w:w="109"/>
        <w:gridCol w:w="109"/>
        <w:gridCol w:w="211"/>
        <w:gridCol w:w="616"/>
        <w:gridCol w:w="271"/>
        <w:gridCol w:w="109"/>
        <w:gridCol w:w="109"/>
        <w:gridCol w:w="109"/>
        <w:gridCol w:w="211"/>
        <w:gridCol w:w="736"/>
        <w:gridCol w:w="271"/>
        <w:gridCol w:w="109"/>
        <w:gridCol w:w="109"/>
        <w:gridCol w:w="109"/>
        <w:gridCol w:w="211"/>
        <w:gridCol w:w="721"/>
        <w:gridCol w:w="271"/>
        <w:gridCol w:w="109"/>
        <w:gridCol w:w="109"/>
        <w:gridCol w:w="109"/>
        <w:gridCol w:w="109"/>
        <w:gridCol w:w="109"/>
        <w:gridCol w:w="109"/>
        <w:gridCol w:w="109"/>
        <w:gridCol w:w="109"/>
        <w:gridCol w:w="109"/>
        <w:gridCol w:w="109"/>
        <w:gridCol w:w="109"/>
        <w:gridCol w:w="109"/>
        <w:gridCol w:w="109"/>
        <w:gridCol w:w="109"/>
        <w:gridCol w:w="109"/>
        <w:gridCol w:w="158"/>
      </w:tblGrid>
      <w:tr>
        <w:trPr/>
        <w:tc>
          <w:tcPr>
            <w:tcW w:w="102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37"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c>
          <w:tcPr>
            <w:tcW w:w="4868" w:type="dxa"/>
            <w:gridSpan w:val="28"/>
            <w:tcBorders/>
          </w:tcPr>
          <w:p>
            <w:pPr>
              <w:pStyle w:val="TableContents"/>
              <w:bidi w:val="0"/>
              <w:spacing w:before="0" w:after="283"/>
              <w:jc w:val="left"/>
              <w:rPr>
                <w:sz w:val="4"/>
                <w:szCs w:val="4"/>
              </w:rPr>
            </w:pPr>
            <w:r>
              <w:rPr>
                <w:sz w:val="4"/>
                <w:szCs w:val="4"/>
              </w:rPr>
            </w:r>
          </w:p>
        </w:tc>
      </w:tr>
      <w:tr>
        <w:trPr/>
        <w:tc>
          <w:tcPr>
            <w:tcW w:w="5337"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Financial Results by Segment</w:t>
            </w:r>
          </w:p>
        </w:tc>
        <w:tc>
          <w:tcPr>
            <w:tcW w:w="4868" w:type="dxa"/>
            <w:gridSpan w:val="28"/>
            <w:tcBorders/>
          </w:tcPr>
          <w:p>
            <w:pPr>
              <w:pStyle w:val="TableContents"/>
              <w:bidi w:val="0"/>
              <w:spacing w:before="0" w:after="283"/>
              <w:jc w:val="left"/>
              <w:rPr>
                <w:sz w:val="4"/>
                <w:szCs w:val="4"/>
              </w:rPr>
            </w:pPr>
            <w:r>
              <w:rPr>
                <w:sz w:val="4"/>
                <w:szCs w:val="4"/>
              </w:rPr>
            </w:r>
          </w:p>
        </w:tc>
      </w:tr>
      <w:tr>
        <w:trPr/>
        <w:tc>
          <w:tcPr>
            <w:tcW w:w="5337"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unaudited)</w:t>
            </w:r>
          </w:p>
        </w:tc>
        <w:tc>
          <w:tcPr>
            <w:tcW w:w="4868" w:type="dxa"/>
            <w:gridSpan w:val="28"/>
            <w:tcBorders/>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10"/>
            <w:tcBorders/>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5,292</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10,319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Postage reimbursements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4,963</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9,638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1,015</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Merger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Fiserv transformation program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Incremental executive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1,580</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31.8</w:t>
            </w: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Merchant Solutions (“Merchant”) </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2,608</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4,981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781</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w:t>
            </w: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Financial Solutions (“Financial”) </w:t>
            </w:r>
            <w:r>
              <w:rPr>
                <w:rFonts w:ascii="Arial;sans-serif" w:hAnsi="Arial;sans-serif"/>
                <w:b/>
                <w:color w:val="000000"/>
                <w:sz w:val="12"/>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2,355</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4,657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912</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w:t>
            </w: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11"/>
            <w:tcBorders/>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11"/>
            <w:tcBorders/>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11"/>
            <w:tcBorders/>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2"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466850" cy="92392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1152"/>
        <w:gridCol w:w="819"/>
        <w:gridCol w:w="746"/>
        <w:gridCol w:w="115"/>
        <w:gridCol w:w="115"/>
        <w:gridCol w:w="169"/>
        <w:gridCol w:w="169"/>
        <w:gridCol w:w="327"/>
        <w:gridCol w:w="807"/>
        <w:gridCol w:w="169"/>
        <w:gridCol w:w="115"/>
        <w:gridCol w:w="115"/>
        <w:gridCol w:w="115"/>
        <w:gridCol w:w="223"/>
        <w:gridCol w:w="537"/>
        <w:gridCol w:w="115"/>
        <w:gridCol w:w="109"/>
        <w:gridCol w:w="109"/>
        <w:gridCol w:w="109"/>
        <w:gridCol w:w="211"/>
        <w:gridCol w:w="655"/>
        <w:gridCol w:w="109"/>
        <w:gridCol w:w="109"/>
        <w:gridCol w:w="109"/>
        <w:gridCol w:w="109"/>
        <w:gridCol w:w="211"/>
        <w:gridCol w:w="655"/>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15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08"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c>
          <w:tcPr>
            <w:tcW w:w="4397" w:type="dxa"/>
            <w:gridSpan w:val="28"/>
            <w:tcBorders/>
          </w:tcPr>
          <w:p>
            <w:pPr>
              <w:pStyle w:val="TableContents"/>
              <w:bidi w:val="0"/>
              <w:spacing w:before="0" w:after="283"/>
              <w:jc w:val="left"/>
              <w:rPr>
                <w:sz w:val="4"/>
                <w:szCs w:val="4"/>
              </w:rPr>
            </w:pPr>
            <w:r>
              <w:rPr>
                <w:sz w:val="4"/>
                <w:szCs w:val="4"/>
              </w:rPr>
            </w:r>
          </w:p>
        </w:tc>
      </w:tr>
      <w:tr>
        <w:trPr/>
        <w:tc>
          <w:tcPr>
            <w:tcW w:w="5808" w:type="dxa"/>
            <w:gridSpan w:val="1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Financial Results by Segment (cont.)</w:t>
            </w:r>
          </w:p>
        </w:tc>
        <w:tc>
          <w:tcPr>
            <w:tcW w:w="4397" w:type="dxa"/>
            <w:gridSpan w:val="28"/>
            <w:tcBorders/>
          </w:tcPr>
          <w:p>
            <w:pPr>
              <w:pStyle w:val="TableContents"/>
              <w:bidi w:val="0"/>
              <w:spacing w:before="0" w:after="283"/>
              <w:jc w:val="left"/>
              <w:rPr>
                <w:sz w:val="4"/>
                <w:szCs w:val="4"/>
              </w:rPr>
            </w:pPr>
            <w:r>
              <w:rPr>
                <w:sz w:val="4"/>
                <w:szCs w:val="4"/>
              </w:rPr>
            </w:r>
          </w:p>
        </w:tc>
      </w:tr>
      <w:tr>
        <w:trPr/>
        <w:tc>
          <w:tcPr>
            <w:tcW w:w="5808"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unaudited)</w:t>
            </w:r>
          </w:p>
        </w:tc>
        <w:tc>
          <w:tcPr>
            <w:tcW w:w="4397" w:type="dxa"/>
            <w:gridSpan w:val="28"/>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10"/>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and Other</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Postage reimbursements </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revenue</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(678)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Merger and integration costs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Fiserv transformation program expenses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on sale of assets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Incremental executive compensation</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loss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See pages 3-4 for disclosures related to the use of non-GAAP financial measures.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Operating margin percentages are calculated using actual, unrounded amounts.</w:t>
      </w:r>
    </w:p>
    <w:p>
      <w:pPr>
        <w:pStyle w:val="TextBody"/>
        <w:bidi w:val="0"/>
        <w:spacing w:lineRule="auto" w:line="288" w:before="12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For all periods presented in the Merchant and Financial segments, there were no adjustments to GAAP measures presented and thus the adjusted measures are equal to the reportable segment GAAP measures presented.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24"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ind w:left="0" w:right="0" w:hanging="225"/>
        <w:jc w:val="center"/>
        <w:rPr>
          <w:rFonts w:ascii="Arial;sans-serif" w:hAnsi="Arial;sans-serif"/>
          <w:b/>
          <w:color w:val="000000"/>
          <w:sz w:val="18"/>
        </w:rPr>
      </w:pPr>
      <w:r>
        <w:rPr>
          <w:rFonts w:ascii="Arial;sans-serif" w:hAnsi="Arial;sans-serif"/>
          <w:b/>
          <w:color w:val="000000"/>
          <w:sz w:val="18"/>
        </w:rPr>
        <w:t>Fiserv, Inc.</w:t>
      </w:r>
    </w:p>
    <w:p>
      <w:pPr>
        <w:pStyle w:val="TextBody"/>
        <w:bidi w:val="0"/>
        <w:spacing w:lineRule="auto" w:line="288" w:before="0" w:after="0"/>
        <w:ind w:left="0" w:right="0" w:hanging="225"/>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ind w:left="0" w:right="0" w:hanging="225"/>
        <w:jc w:val="center"/>
        <w:rPr>
          <w:rFonts w:ascii="Arial;sans-serif" w:hAnsi="Arial;sans-serif"/>
          <w:b w:val="false"/>
          <w:color w:val="000000"/>
          <w:sz w:val="18"/>
        </w:rPr>
      </w:pPr>
      <w:r>
        <w:rPr>
          <w:rFonts w:ascii="Arial;sans-serif" w:hAnsi="Arial;sans-serif"/>
          <w:b w:val="false"/>
          <w:color w:val="000000"/>
          <w:sz w:val="18"/>
        </w:rPr>
        <w:t>(In millions, unaudited)</w:t>
      </w:r>
    </w:p>
    <w:tbl>
      <w:tblPr>
        <w:tblW w:w="9653" w:type="dxa"/>
        <w:jc w:val="center"/>
        <w:tblInd w:w="0" w:type="dxa"/>
        <w:tblLayout w:type="fixed"/>
        <w:tblCellMar>
          <w:top w:w="28" w:type="dxa"/>
          <w:left w:w="28" w:type="dxa"/>
          <w:bottom w:w="28" w:type="dxa"/>
          <w:right w:w="28" w:type="dxa"/>
        </w:tblCellMar>
      </w:tblPr>
      <w:tblGrid>
        <w:gridCol w:w="2733"/>
        <w:gridCol w:w="2402"/>
        <w:gridCol w:w="2409"/>
        <w:gridCol w:w="196"/>
        <w:gridCol w:w="571"/>
        <w:gridCol w:w="109"/>
        <w:gridCol w:w="109"/>
        <w:gridCol w:w="109"/>
        <w:gridCol w:w="109"/>
        <w:gridCol w:w="196"/>
        <w:gridCol w:w="556"/>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other amortization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acquisition-related intangible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Amortization of financing costs and debt discounts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sale of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early debt extinguishment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investments in unconsolidated affiliates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Originations of merchant cash advances,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repayments and sales of merchant cash advances, originally classified as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Distributions from unconsolidated affiliates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foreign currency exchange losses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activities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effects from acquisitions: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costs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liabilities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including capitalized software and other intangibles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Merchant cash advances, net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acquisition of businesses, net of cash acquired</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from unconsolidated affiliates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investments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investments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ind w:left="0" w:right="0" w:hanging="225"/>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2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466850" cy="92392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2139"/>
        <w:gridCol w:w="1867"/>
        <w:gridCol w:w="1882"/>
        <w:gridCol w:w="400"/>
        <w:gridCol w:w="1168"/>
        <w:gridCol w:w="223"/>
        <w:gridCol w:w="223"/>
        <w:gridCol w:w="223"/>
        <w:gridCol w:w="223"/>
        <w:gridCol w:w="400"/>
        <w:gridCol w:w="1138"/>
        <w:gridCol w:w="319"/>
      </w:tblGrid>
      <w:tr>
        <w:trPr/>
        <w:tc>
          <w:tcPr>
            <w:tcW w:w="213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Cash Flows (cont.)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unaudited)</w:t>
            </w:r>
          </w:p>
        </w:tc>
      </w:tr>
      <w:tr>
        <w:trPr/>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proceeds</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 including redemption and other costs</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(2,762)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(repayments of) borrowings from commercial paper and short-term borrowings</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(708)</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financing costs</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treasury stock</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treasury stock, including employee shares withheld for tax obligations</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(393)</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activity, net</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to acquire noncontrolling interest of consolidated subsidiary</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(2,383)</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and cash equivalents</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(799)</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beginning balance</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2,993 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ending balance</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w:t>
            </w:r>
            <w:r>
              <w:rPr>
                <w:color w:val="000000"/>
              </w:rPr>
              <w:t> </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28"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466850" cy="923925"/>
                          </a:xfrm>
                          <a:prstGeom prst="rect">
                            <a:avLst/>
                          </a:prstGeom>
                        </pic:spPr>
                      </pic:pic>
                    </a:graphicData>
                  </a:graphic>
                </wp:inline>
              </w:drawing>
            </w:r>
          </w:p>
        </w:tc>
      </w:tr>
    </w:tbl>
    <w:tbl>
      <w:tblPr>
        <w:tblW w:w="7465" w:type="dxa"/>
        <w:jc w:val="center"/>
        <w:tblInd w:w="0" w:type="dxa"/>
        <w:tblLayout w:type="fixed"/>
        <w:tblCellMar>
          <w:top w:w="28" w:type="dxa"/>
          <w:left w:w="28" w:type="dxa"/>
          <w:bottom w:w="28" w:type="dxa"/>
          <w:right w:w="28" w:type="dxa"/>
        </w:tblCellMar>
      </w:tblPr>
      <w:tblGrid>
        <w:gridCol w:w="1522"/>
        <w:gridCol w:w="1336"/>
        <w:gridCol w:w="1356"/>
        <w:gridCol w:w="278"/>
        <w:gridCol w:w="970"/>
        <w:gridCol w:w="143"/>
        <w:gridCol w:w="143"/>
        <w:gridCol w:w="143"/>
        <w:gridCol w:w="143"/>
        <w:gridCol w:w="278"/>
        <w:gridCol w:w="950"/>
        <w:gridCol w:w="203"/>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4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Fiserv, Inc.</w:t>
            </w:r>
          </w:p>
        </w:tc>
      </w:tr>
      <w:tr>
        <w:trPr/>
        <w:tc>
          <w:tcPr>
            <w:tcW w:w="74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Balance Sheets</w:t>
            </w:r>
          </w:p>
        </w:tc>
      </w:tr>
      <w:tr>
        <w:trPr/>
        <w:tc>
          <w:tcPr>
            <w:tcW w:w="74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 unaudited)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 net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3,909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assets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17,561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25,364</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24,654 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 net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3,328</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 net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4,588</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 net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5,124</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37,524</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costs – net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affiliates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2,898</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80,886</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80,133 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current liabilities</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4,707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and current maturities of long-term debt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obligations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17,561</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associated with assets held for sale</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24,307</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23,890 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26,679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contract liabilities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1,125</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53,960</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54,324 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Fiserv shareholders’ equity</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26,904</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26,926</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80,886</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80,133 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0"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Fiserv,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Non-GAAP Financial Measures and Additional Information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(In millions, unaudited)</w:t>
      </w:r>
    </w:p>
    <w:tbl>
      <w:tblPr>
        <w:tblW w:w="11694" w:type="dxa"/>
        <w:jc w:val="center"/>
        <w:tblInd w:w="0" w:type="dxa"/>
        <w:tblLayout w:type="fixed"/>
        <w:tblCellMar>
          <w:top w:w="28" w:type="dxa"/>
          <w:left w:w="28" w:type="dxa"/>
          <w:bottom w:w="28" w:type="dxa"/>
          <w:right w:w="28" w:type="dxa"/>
        </w:tblCellMar>
      </w:tblPr>
      <w:tblGrid>
        <w:gridCol w:w="546"/>
        <w:gridCol w:w="282"/>
        <w:gridCol w:w="283"/>
        <w:gridCol w:w="109"/>
        <w:gridCol w:w="109"/>
        <w:gridCol w:w="109"/>
        <w:gridCol w:w="109"/>
        <w:gridCol w:w="109"/>
        <w:gridCol w:w="109"/>
        <w:gridCol w:w="109"/>
        <w:gridCol w:w="109"/>
        <w:gridCol w:w="109"/>
        <w:gridCol w:w="211"/>
        <w:gridCol w:w="631"/>
        <w:gridCol w:w="109"/>
        <w:gridCol w:w="109"/>
        <w:gridCol w:w="109"/>
        <w:gridCol w:w="109"/>
        <w:gridCol w:w="211"/>
        <w:gridCol w:w="616"/>
        <w:gridCol w:w="109"/>
        <w:gridCol w:w="109"/>
        <w:gridCol w:w="109"/>
        <w:gridCol w:w="109"/>
        <w:gridCol w:w="255"/>
        <w:gridCol w:w="255"/>
        <w:gridCol w:w="256"/>
        <w:gridCol w:w="109"/>
        <w:gridCol w:w="109"/>
        <w:gridCol w:w="109"/>
        <w:gridCol w:w="211"/>
        <w:gridCol w:w="631"/>
        <w:gridCol w:w="109"/>
        <w:gridCol w:w="109"/>
        <w:gridCol w:w="109"/>
        <w:gridCol w:w="109"/>
        <w:gridCol w:w="211"/>
        <w:gridCol w:w="616"/>
        <w:gridCol w:w="109"/>
        <w:gridCol w:w="109"/>
        <w:gridCol w:w="109"/>
        <w:gridCol w:w="109"/>
        <w:gridCol w:w="255"/>
        <w:gridCol w:w="255"/>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left"/>
              <w:rPr/>
            </w:pPr>
            <w:r>
              <w:rPr>
                <w:rFonts w:ascii="Arial;sans-serif" w:hAnsi="Arial;sans-serif"/>
                <w:b/>
                <w:color w:val="000000"/>
                <w:sz w:val="18"/>
              </w:rPr>
              <w:t xml:space="preserve">Organic Revenue </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gridSpan w:val="20"/>
            <w:tcBorders/>
          </w:tcPr>
          <w:p>
            <w:pPr>
              <w:pStyle w:val="TableContents"/>
              <w:bidi w:val="0"/>
              <w:spacing w:before="0" w:after="283"/>
              <w:jc w:val="left"/>
              <w:rPr>
                <w:sz w:val="4"/>
                <w:szCs w:val="4"/>
              </w:rPr>
            </w:pPr>
            <w:r>
              <w:rPr>
                <w:sz w:val="4"/>
                <w:szCs w:val="4"/>
              </w:rPr>
            </w:r>
          </w:p>
        </w:tc>
      </w:tr>
      <w:tr>
        <w:trPr/>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Currency impact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Organic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Merchant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Currency impact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Organic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Financial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Currency impact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Organic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4,621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pages 3-4 for disclosures related to the use of non-GAAP financial measures.</w:t>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The change in organic revenue is calculated using actual, unrounded amounts.</w:t>
      </w:r>
    </w:p>
    <w:p>
      <w:pPr>
        <w:pStyle w:val="TextBody"/>
        <w:bidi w:val="0"/>
        <w:spacing w:lineRule="auto" w:line="288" w:before="12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 xml:space="preserve">The change in organic revenue is measured as the change in adjusted revenue (see pages 9-10) for the current period excluding the impact of foreign currency fluctuations and revenue attributable to acquisitions and any dispositions, divided by adjusted revenue from the prior period excluding revenue attributable to any dispositions. </w:t>
      </w:r>
    </w:p>
    <w:p>
      <w:pPr>
        <w:pStyle w:val="TextBody"/>
        <w:bidi w:val="0"/>
        <w:spacing w:lineRule="auto" w:line="288" w:before="120" w:after="283"/>
        <w:ind w:left="0" w:right="0" w:hanging="180"/>
        <w:jc w:val="left"/>
        <w:rPr/>
      </w:pPr>
      <w:r>
        <w:rPr>
          <w:rFonts w:ascii="Arial;sans-serif" w:hAnsi="Arial;sans-serif"/>
          <w:b w:val="false"/>
          <w:color w:val="000000"/>
          <w:sz w:val="10"/>
        </w:rPr>
        <w:t>2</w:t>
      </w:r>
      <w:r>
        <w:rPr>
          <w:rFonts w:ascii="Arial;sans-serif" w:hAnsi="Arial;sans-serif"/>
          <w:b w:val="false"/>
          <w:color w:val="000000"/>
          <w:sz w:val="16"/>
        </w:rPr>
        <w:t>Currency impact is measured as the increase or decrease in adjusted revenue for the current period by applying prior period foreign currency exchange rates to present a constant currency comparison to prior periods.</w:t>
      </w:r>
    </w:p>
    <w:p>
      <w:pPr>
        <w:pStyle w:val="TextBody"/>
        <w:bidi w:val="0"/>
        <w:spacing w:before="12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2"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Fiserv,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Non-GAAP Financial Measures and Additional Information (cont.)</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98"/>
        <w:gridCol w:w="2243"/>
        <w:gridCol w:w="2265"/>
        <w:gridCol w:w="109"/>
        <w:gridCol w:w="109"/>
        <w:gridCol w:w="146"/>
        <w:gridCol w:w="146"/>
        <w:gridCol w:w="283"/>
        <w:gridCol w:w="848"/>
        <w:gridCol w:w="146"/>
        <w:gridCol w:w="109"/>
        <w:gridCol w:w="109"/>
        <w:gridCol w:w="109"/>
        <w:gridCol w:w="211"/>
        <w:gridCol w:w="616"/>
        <w:gridCol w:w="158"/>
      </w:tblGrid>
      <w:tr>
        <w:trPr/>
        <w:tc>
          <w:tcPr>
            <w:tcW w:w="2598"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c>
          <w:tcPr>
            <w:tcW w:w="1312" w:type="dxa"/>
            <w:gridSpan w:val="6"/>
            <w:tcBorders/>
          </w:tcPr>
          <w:p>
            <w:pPr>
              <w:pStyle w:val="TableContents"/>
              <w:bidi w:val="0"/>
              <w:spacing w:before="0" w:after="283"/>
              <w:jc w:val="left"/>
              <w:rPr>
                <w:sz w:val="4"/>
                <w:szCs w:val="4"/>
              </w:rPr>
            </w:pPr>
            <w:r>
              <w:rPr>
                <w:sz w:val="4"/>
                <w:szCs w:val="4"/>
              </w:rPr>
            </w:r>
          </w:p>
        </w:tc>
      </w:tr>
      <w:tr>
        <w:trPr/>
        <w:tc>
          <w:tcPr>
            <w:tcW w:w="71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7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2,082</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Distributions from unconsolidated affiliates included in 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Severance, merger and integration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Fiserv transformation program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payments 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1,360</w:t>
            </w: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8055" w:type="dxa"/>
        <w:jc w:val="center"/>
        <w:tblInd w:w="0" w:type="dxa"/>
        <w:tblLayout w:type="fixed"/>
        <w:tblCellMar>
          <w:top w:w="28" w:type="dxa"/>
          <w:left w:w="28" w:type="dxa"/>
          <w:bottom w:w="28" w:type="dxa"/>
          <w:right w:w="28" w:type="dxa"/>
        </w:tblCellMar>
      </w:tblPr>
      <w:tblGrid>
        <w:gridCol w:w="1287"/>
        <w:gridCol w:w="1131"/>
        <w:gridCol w:w="1137"/>
        <w:gridCol w:w="211"/>
        <w:gridCol w:w="481"/>
        <w:gridCol w:w="109"/>
        <w:gridCol w:w="109"/>
        <w:gridCol w:w="109"/>
        <w:gridCol w:w="109"/>
        <w:gridCol w:w="211"/>
        <w:gridCol w:w="466"/>
        <w:gridCol w:w="109"/>
        <w:gridCol w:w="109"/>
        <w:gridCol w:w="109"/>
        <w:gridCol w:w="109"/>
        <w:gridCol w:w="211"/>
        <w:gridCol w:w="631"/>
        <w:gridCol w:w="109"/>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Amortization </w:t>
            </w:r>
            <w:r>
              <w:rPr>
                <w:rFonts w:ascii="Arial;sans-serif" w:hAnsi="Arial;sans-serif"/>
                <w:b/>
                <w:color w:val="000000"/>
                <w:sz w:val="12"/>
              </w:rPr>
              <w:t>1</w:t>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br/>
              <w:t>June 30,</w:t>
            </w:r>
          </w:p>
        </w:tc>
      </w:tr>
      <w:tr>
        <w:trPr/>
        <w:tc>
          <w:tcPr>
            <w:tcW w:w="35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3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intangible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and other intangibles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software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costs and debt discounts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commissions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conversion costs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See pages 3-4 for disclosures related to the use of non-GAAP financial measures.</w:t>
      </w:r>
    </w:p>
    <w:p>
      <w:pPr>
        <w:pStyle w:val="TextBody"/>
        <w:bidi w:val="0"/>
        <w:spacing w:lineRule="auto" w:line="288" w:before="12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 xml:space="preserve">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4"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center"/>
                        <w:rPr/>
                      </w:pPr>
                      <w:r>
                        <w:rPr/>
                      </w:r>
                    </w:p>
                  </w:txbxContent>
                </v:textbox>
                <w10:wrap type="none"/>
              </v:rect>
            </w:pict>
          </mc:Fallback>
        </mc:AlternateContent>
      </w:r>
    </w:p>
    <w:tbl>
      <w:tblPr>
        <w:tblW w:w="4882"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715"/>
        <w:gridCol w:w="715"/>
        <w:gridCol w:w="1011"/>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0"/>
              </w:rPr>
            </w:pPr>
            <w:r>
              <w:rPr>
                <w:rFonts w:ascii="Arial;sans-serif" w:hAnsi="Arial;sans-serif"/>
                <w:b/>
                <w:color w:val="000000"/>
                <w:sz w:val="30"/>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66850" cy="92392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466850" cy="923925"/>
                          </a:xfrm>
                          <a:prstGeom prst="rect">
                            <a:avLst/>
                          </a:prstGeom>
                        </pic:spPr>
                      </pic:pic>
                    </a:graphicData>
                  </a:graphic>
                </wp:inline>
              </w:drawing>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Fiserv,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Full Year Forward-Looking Non-GAAP Financial Measures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2026, including organic revenue growth and adjusted earnings per share, are designed to enhance shareholders’ ability to evaluate the company’s performance by excluding certain items to focus on factors and trends affecting its business. </w:t>
      </w:r>
    </w:p>
    <w:p>
      <w:pPr>
        <w:pStyle w:val="TextBody"/>
        <w:bidi w:val="0"/>
        <w:spacing w:lineRule="auto" w:line="288" w:before="120" w:after="180"/>
        <w:jc w:val="left"/>
        <w:rPr/>
      </w:pPr>
      <w:r>
        <w:rPr>
          <w:rFonts w:ascii="Arial;sans-serif" w:hAnsi="Arial;sans-serif"/>
          <w:b w:val="false"/>
          <w:i/>
          <w:color w:val="000000"/>
          <w:sz w:val="20"/>
        </w:rPr>
        <w:t xml:space="preserve">Organic Revenue Growth </w:t>
      </w:r>
      <w:r>
        <w:rPr>
          <w:rFonts w:ascii="Arial;sans-serif" w:hAnsi="Arial;sans-serif"/>
          <w:b w:val="false"/>
          <w:color w:val="000000"/>
          <w:sz w:val="20"/>
        </w:rPr>
        <w:t>- The company’s organic revenue growth outlook for 2026 excludes the impact of foreign currency fluctuations, acquisitions, dispositions and the impact of the company’s postage reimbursements. The currency impact is measured as the increase or decrease in the expected adjusted revenue for the period by applying prior period foreign currency exchange rates to present a constant currency comparison to prior periods.</w:t>
      </w:r>
    </w:p>
    <w:tbl>
      <w:tblPr>
        <w:tblW w:w="3981" w:type="dxa"/>
        <w:jc w:val="left"/>
        <w:tblInd w:w="0" w:type="dxa"/>
        <w:tblLayout w:type="fixed"/>
        <w:tblCellMar>
          <w:top w:w="28" w:type="dxa"/>
          <w:left w:w="28" w:type="dxa"/>
          <w:bottom w:w="28" w:type="dxa"/>
          <w:right w:w="28" w:type="dxa"/>
        </w:tblCellMar>
      </w:tblPr>
      <w:tblGrid>
        <w:gridCol w:w="831"/>
        <w:gridCol w:w="730"/>
        <w:gridCol w:w="733"/>
        <w:gridCol w:w="474"/>
        <w:gridCol w:w="474"/>
        <w:gridCol w:w="476"/>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GAAP Revenue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 (0.5%)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Postage reimbursements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Adjusted revenue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 (0.5%)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impact</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0%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adjustments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(0.5%)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 adjustments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Organic revenue</w:t>
            </w:r>
          </w:p>
        </w:tc>
        <w:tc>
          <w:tcPr>
            <w:tcW w:w="14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 - 0%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Arial;sans-serif" w:hAnsi="Arial;sans-serif"/>
          <w:b w:val="false"/>
          <w:i/>
          <w:color w:val="000000"/>
          <w:sz w:val="20"/>
        </w:rPr>
        <w:t>Adjusted Earnings Per Share</w:t>
      </w:r>
      <w:r>
        <w:rPr>
          <w:color w:val="000000"/>
        </w:rPr>
        <w:t xml:space="preserve"> </w:t>
      </w:r>
      <w:r>
        <w:rPr>
          <w:rFonts w:ascii="Arial;sans-serif" w:hAnsi="Arial;sans-serif"/>
          <w:b w:val="false"/>
          <w:color w:val="000000"/>
          <w:sz w:val="20"/>
        </w:rPr>
        <w:t xml:space="preserve">- The company’s adjusted earnings per share outlook for 2026 excludes certain non-cash or other items such as non-cash intangible asset amortization expense associated with acquisitions; non-cash impairment charges; merger and integration costs; severance costs; certain transformation related expenses associated with the company’s One Fiserv action plan; gains or losses from the sale of businesses, certain assets and investments; net gains associated with early debt extinguishments; and certain discrete tax items. </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company estimates that amortization expense in 2026 with respect to acquired intangible assets will be relatively consistent with the amount incurred in 2025. Other adjustments to the company’s financial measures that were incurred for the three and six months ended June 30, 2026 and 2025 are presented in this news release; however, they are not necessarily indicative of adjustments that may be incurred throughout the remainder of 2026 or beyond. Estimates of these impacts and adjustments on a forward-looking basis are not available due to the variability, complexity and limited visibility of these items.</w:t>
      </w:r>
    </w:p>
    <w:p>
      <w:pPr>
        <w:pStyle w:val="TextBody"/>
        <w:bidi w:val="0"/>
        <w:spacing w:before="240" w:after="180"/>
        <w:jc w:val="left"/>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5556</Words>
  <Characters>31001</Characters>
  <CharactersWithSpaces>35873</CharactersWithSpaces>
  <Paragraphs>1201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