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CASTRO HENRIQUE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09/30/2021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09/30/2021</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249</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249</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108.5</w:t>
            </w:r>
            <w:r>
              <w:rPr>
                <w:rFonts w:ascii="Arial" w:cs="Arial" w:eastAsia="Arial" w:hAnsi="Arial"/>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Arial" w:cs="Arial" w:eastAsia="Arial" w:hAnsi="Arial"/>
                <w:sz w:val="13"/>
                <w:szCs w:val="13"/>
                <w:color w:val="0000FF"/>
              </w:rPr>
              <w:t>1,176</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2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2021 in respect of $27,000 of deferred compensation. The number of notional units credited is calculated by dividing the amount of compensation that is deferred by the closing price of the company's common stock on the date of deferral, or last business day prior. On September 30, 2021, the closing price of Fiserv's common stock was $108.50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10/01/2021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2331"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2021-10-01T15:23:07Z</dcterms:created>
  <dcterms:modified xsi:type="dcterms:W3CDTF">2021-10-01T15:23:07Z</dcterms:modified>
</cp:coreProperties>
</file>