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ValueAct Holdings,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LETTERMAN DRIVE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BUILDING D,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FISV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05/02/2022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60" w:type="dxa"/>
            <w:vAlign w:val="bottom"/>
          </w:tcPr>
          <w:p>
            <w:pPr>
              <w:spacing w:after="0"/>
              <w:rPr>
                <w:sz w:val="19"/>
                <w:szCs w:val="19"/>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1420" w:type="dxa"/>
            <w:vAlign w:val="bottom"/>
          </w:tcPr>
          <w:p>
            <w:pPr>
              <w:ind w:left="32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14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10"/>
                <w:szCs w:val="10"/>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14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533"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20" w:type="dxa"/>
            <w:vAlign w:val="bottom"/>
            <w:gridSpan w:val="11"/>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3"/>
            <w:vMerge w:val="restart"/>
          </w:tcPr>
          <w:p>
            <w:pPr>
              <w:ind w:left="44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20" w:type="dxa"/>
            <w:vAlign w:val="bottom"/>
            <w:gridSpan w:val="3"/>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9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20" w:type="dxa"/>
            <w:vAlign w:val="bottom"/>
            <w:gridSpan w:val="8"/>
          </w:tcPr>
          <w:p>
            <w:pPr>
              <w:ind w:left="1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00" w:type="dxa"/>
            <w:vAlign w:val="bottom"/>
            <w:gridSpan w:val="2"/>
            <w:vMerge w:val="restart"/>
          </w:tcPr>
          <w:p>
            <w:pPr>
              <w:ind w:left="100"/>
              <w:spacing w:after="0" w:line="146" w:lineRule="exact"/>
              <w:rPr>
                <w:sz w:val="20"/>
                <w:szCs w:val="20"/>
                <w:color w:val="auto"/>
              </w:rPr>
            </w:pPr>
            <w:r>
              <w:rPr>
                <w:rFonts w:ascii="Arial" w:cs="Arial" w:eastAsia="Arial" w:hAnsi="Arial"/>
                <w:sz w:val="13"/>
                <w:szCs w:val="13"/>
                <w:color w:val="auto"/>
              </w:rPr>
              <w:t>Person</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2720" w:type="dxa"/>
            <w:vAlign w:val="bottom"/>
            <w:tcBorders>
              <w:bottom w:val="single" w:sz="8" w:color="2C2C2C"/>
            </w:tcBorders>
            <w:gridSpan w:val="8"/>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6760" w:type="dxa"/>
            <w:vAlign w:val="bottom"/>
            <w:tcBorders>
              <w:top w:val="single" w:sz="8" w:color="2C2C2C"/>
            </w:tcBorders>
            <w:gridSpan w:val="20"/>
          </w:tcPr>
          <w:p>
            <w:pPr>
              <w:jc w:val="right"/>
              <w:ind w:right="1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3"/>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8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32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Indirect</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gridSpan w:val="7"/>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Indirect (I)</w:t>
            </w:r>
          </w:p>
        </w:tc>
        <w:tc>
          <w:tcPr>
            <w:tcW w:w="240" w:type="dxa"/>
            <w:vAlign w:val="bottom"/>
          </w:tcPr>
          <w:p>
            <w:pPr>
              <w:spacing w:after="0"/>
              <w:rPr>
                <w:sz w:val="11"/>
                <w:szCs w:val="11"/>
                <w:color w:val="auto"/>
              </w:rPr>
            </w:pP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6"/>
                <w:szCs w:val="6"/>
                <w:color w:val="auto"/>
              </w:rPr>
            </w:pPr>
          </w:p>
        </w:tc>
        <w:tc>
          <w:tcPr>
            <w:tcW w:w="122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gridSpan w:val="4"/>
            <w:vMerge w:val="restart"/>
          </w:tcPr>
          <w:p>
            <w:pPr>
              <w:ind w:left="640"/>
              <w:spacing w:after="0"/>
              <w:rPr>
                <w:sz w:val="20"/>
                <w:szCs w:val="20"/>
                <w:color w:val="auto"/>
              </w:rPr>
            </w:pPr>
            <w:r>
              <w:rPr>
                <w:rFonts w:ascii="Times New Roman" w:cs="Times New Roman" w:eastAsia="Times New Roman" w:hAnsi="Times New Roman"/>
                <w:sz w:val="17"/>
                <w:szCs w:val="17"/>
                <w:color w:val="0000FF"/>
              </w:rPr>
              <w:t>05/02/2022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112,575</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0" w:type="dxa"/>
            <w:vAlign w:val="bottom"/>
          </w:tcPr>
          <w:p>
            <w:pPr>
              <w:spacing w:after="0"/>
              <w:rPr>
                <w:sz w:val="21"/>
                <w:szCs w:val="21"/>
                <w:color w:val="auto"/>
              </w:rPr>
            </w:pPr>
          </w:p>
        </w:tc>
        <w:tc>
          <w:tcPr>
            <w:tcW w:w="520" w:type="dxa"/>
            <w:vAlign w:val="bottom"/>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94.9</w:t>
            </w:r>
          </w:p>
        </w:tc>
        <w:tc>
          <w:tcPr>
            <w:tcW w:w="114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13,147,776</w:t>
            </w:r>
          </w:p>
        </w:tc>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6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5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4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52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4"/>
          </w:tcPr>
          <w:p>
            <w:pPr>
              <w:spacing w:after="0"/>
              <w:rPr>
                <w:sz w:val="7"/>
                <w:szCs w:val="7"/>
                <w:color w:val="auto"/>
              </w:rPr>
            </w:pPr>
          </w:p>
        </w:tc>
        <w:tc>
          <w:tcPr>
            <w:tcW w:w="9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6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ValueAct Holdings, L.P.</w:t>
              </w:r>
            </w:hyperlink>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ONE LETTERMAN DRIVE</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BUILDING D, 4TH FLOOR</w:t>
            </w:r>
          </w:p>
        </w:tc>
        <w:tc>
          <w:tcPr>
            <w:tcW w:w="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6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4"/>
          </w:tcPr>
          <w:p>
            <w:pPr>
              <w:spacing w:after="0"/>
              <w:rPr>
                <w:sz w:val="7"/>
                <w:szCs w:val="7"/>
                <w:color w:val="auto"/>
              </w:rPr>
            </w:pPr>
          </w:p>
        </w:tc>
        <w:tc>
          <w:tcPr>
            <w:tcW w:w="9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ValueAct Capital Master Fund,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ONE LETTERMAN DRIVE</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BUILDING D, 4TH FLOOR</w:t>
            </w:r>
          </w:p>
        </w:tc>
        <w:tc>
          <w:tcPr>
            <w:tcW w:w="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6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-5589270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VA Partners I,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200"/>
              <w:spacing w:after="0"/>
              <w:rPr>
                <w:sz w:val="20"/>
                <w:szCs w:val="20"/>
                <w:color w:val="auto"/>
              </w:rPr>
            </w:pPr>
            <w:r>
              <w:rPr>
                <w:rFonts w:ascii="Arial" w:cs="Arial" w:eastAsia="Arial" w:hAnsi="Arial"/>
                <w:sz w:val="13"/>
                <w:szCs w:val="13"/>
                <w:color w:val="auto"/>
              </w:rPr>
              <w:t>(First)</w:t>
            </w:r>
          </w:p>
        </w:tc>
        <w:tc>
          <w:tcPr>
            <w:tcW w:w="1740" w:type="dxa"/>
            <w:vAlign w:val="bottom"/>
          </w:tcPr>
          <w:p>
            <w:pPr>
              <w:ind w:left="3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ONE LETTERMAN DRIVE</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 4TH FLOOR</w:t>
            </w: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7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2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200"/>
              <w:spacing w:after="0"/>
              <w:rPr>
                <w:sz w:val="20"/>
                <w:szCs w:val="20"/>
                <w:color w:val="auto"/>
              </w:rPr>
            </w:pPr>
            <w:r>
              <w:rPr>
                <w:rFonts w:ascii="Arial" w:cs="Arial" w:eastAsia="Arial" w:hAnsi="Arial"/>
                <w:sz w:val="13"/>
                <w:szCs w:val="13"/>
                <w:color w:val="auto"/>
              </w:rPr>
              <w:t>(State)</w:t>
            </w:r>
          </w:p>
        </w:tc>
        <w:tc>
          <w:tcPr>
            <w:tcW w:w="1740" w:type="dxa"/>
            <w:vAlign w:val="bottom"/>
          </w:tcPr>
          <w:p>
            <w:pPr>
              <w:ind w:left="3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109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910907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ValueAct Capital Management,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200"/>
              <w:spacing w:after="0"/>
              <w:rPr>
                <w:sz w:val="20"/>
                <w:szCs w:val="20"/>
                <w:color w:val="auto"/>
              </w:rPr>
            </w:pPr>
            <w:r>
              <w:rPr>
                <w:rFonts w:ascii="Arial" w:cs="Arial" w:eastAsia="Arial" w:hAnsi="Arial"/>
                <w:sz w:val="13"/>
                <w:szCs w:val="13"/>
                <w:color w:val="auto"/>
              </w:rPr>
              <w:t>(First)</w:t>
            </w:r>
          </w:p>
        </w:tc>
        <w:tc>
          <w:tcPr>
            <w:tcW w:w="1740" w:type="dxa"/>
            <w:vAlign w:val="bottom"/>
          </w:tcPr>
          <w:p>
            <w:pPr>
              <w:ind w:left="3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ONE LETTERMAN DRIVE</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 4TH FLOOR</w:t>
            </w: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7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2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200"/>
              <w:spacing w:after="0"/>
              <w:rPr>
                <w:sz w:val="20"/>
                <w:szCs w:val="20"/>
                <w:color w:val="auto"/>
              </w:rPr>
            </w:pPr>
            <w:r>
              <w:rPr>
                <w:rFonts w:ascii="Arial" w:cs="Arial" w:eastAsia="Arial" w:hAnsi="Arial"/>
                <w:sz w:val="13"/>
                <w:szCs w:val="13"/>
                <w:color w:val="auto"/>
              </w:rPr>
              <w:t>(State)</w:t>
            </w:r>
          </w:p>
        </w:tc>
        <w:tc>
          <w:tcPr>
            <w:tcW w:w="1740" w:type="dxa"/>
            <w:vAlign w:val="bottom"/>
          </w:tcPr>
          <w:p>
            <w:pPr>
              <w:ind w:left="3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ValueAct Capital Management,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ONE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4TH FLOOR</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ValueAct Holdings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ONE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FOURTH FLOOR</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ValueAct Holdings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ONE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4TH FLOOR</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purchase was made pursuant to a 10b5-1 plan.</w:t>
      </w:r>
    </w:p>
    <w:p>
      <w:pPr>
        <w:spacing w:after="0" w:line="50"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reporting person listed herein disclaims beneficial ownership of the reported securities except to the extent of its pecuniary interest therein, and this report shall not be deemed an admission that such person is the beneficial owner of the securities for purposes of Section 16 of the Securities Exchange Act of 1934, as amended, or for any other purpose.</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by ValueAct Capital Master Fund, L.P. and may be deemed to be indirectly beneficially owned by (i) VA Partners I, LLC as General Partner of ValueAct Capital Master Fund, L.P., (ii) ValueAct Capital Management, L.P. as the manager of ValueAct Capital Master Fund, L.P., (iii) ValueAct Capital Management, LLC as General Partner of ValueAct Capital Management, L.P., (iv) ValueAct Holdings, L.P. as the majority owner of the membership interests of VA Partners I, LLC, (v) ValueAct Holdings II, L.P. as the sole owner of the membership interests of ValueAct Capital Management, LLC and as the majority owner of the limited partnership interests of ValueAct Capital Management, L.P., and (vi) ValueAct Holdings GP, LLC as General Partner of ValueAct Holdings, L.P. and ValueAct Holdings II, L.P.</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00"/>
          </w:cols>
          <w:pgMar w:left="480" w:top="167" w:right="619" w:bottom="0" w:gutter="0" w:footer="0" w:header="0"/>
        </w:sectPr>
      </w:pPr>
    </w:p>
    <w:p>
      <w:pPr>
        <w:spacing w:after="0" w:line="60" w:lineRule="exact"/>
        <w:rPr>
          <w:sz w:val="20"/>
          <w:szCs w:val="20"/>
          <w:color w:val="auto"/>
        </w:rPr>
      </w:pPr>
    </w:p>
    <w:p>
      <w:pPr>
        <w:ind w:left="20"/>
        <w:spacing w:after="0" w:line="272" w:lineRule="auto"/>
        <w:rPr>
          <w:sz w:val="20"/>
          <w:szCs w:val="20"/>
          <w:color w:val="auto"/>
        </w:rPr>
      </w:pPr>
      <w:r>
        <w:rPr>
          <w:rFonts w:ascii="Times New Roman" w:cs="Times New Roman" w:eastAsia="Times New Roman" w:hAnsi="Times New Roman"/>
          <w:sz w:val="13"/>
          <w:szCs w:val="13"/>
          <w:color w:val="008000"/>
        </w:rPr>
        <w:t>-The reporting persons herein may be deemed to be members of a "group" for purposes of the Securities Exchange Act of 1934, as amended. Each reporting person disclaims beneficial ownership of any securities deemed to be owned by the group that are not directly owned by such reporting person. This report shall not be deemed an admission that such reporting person is a member of a group or the</w:t>
      </w:r>
    </w:p>
    <w:p>
      <w:pPr>
        <w:sectPr>
          <w:pgSz w:w="11900" w:h="16838" w:orient="portrait"/>
          <w:cols w:equalWidth="0" w:num="1">
            <w:col w:w="10800"/>
          </w:cols>
          <w:pgMar w:left="480" w:top="167" w:right="619" w:bottom="0" w:gutter="0" w:footer="0" w:header="0"/>
          <w:type w:val="continuous"/>
        </w:sectPr>
      </w:pPr>
    </w:p>
    <w:bookmarkStart w:id="2" w:name="page3"/>
    <w:bookmarkEnd w:id="2"/>
    <w:p>
      <w:pPr>
        <w:spacing w:after="0" w:line="272" w:lineRule="auto"/>
        <w:rPr>
          <w:sz w:val="20"/>
          <w:szCs w:val="20"/>
          <w:color w:val="auto"/>
        </w:rPr>
      </w:pPr>
      <w:r>
        <w:rPr>
          <w:rFonts w:ascii="Times New Roman" w:cs="Times New Roman" w:eastAsia="Times New Roman" w:hAnsi="Times New Roman"/>
          <w:sz w:val="13"/>
          <w:szCs w:val="13"/>
          <w:color w:val="008000"/>
        </w:rPr>
        <w:t>beneficial owner of any securities not directly owned by such reporting person. -Dylan G. Haggart, a Partner at ValueAct Capital, serves on the board of directors of the Issuer. As a result, the other reporting persons herein may be deemed directors by deputization.</w:t>
      </w:r>
    </w:p>
    <w:p>
      <w:pPr>
        <w:sectPr>
          <w:pgSz w:w="11900" w:h="16838" w:orient="portrait"/>
          <w:cols w:equalWidth="0" w:num="1">
            <w:col w:w="10480"/>
          </w:cols>
          <w:pgMar w:left="500" w:top="127" w:right="919" w:bottom="144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VALUEACT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5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195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VALUEACT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1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991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HOLDINGS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6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 Breeding,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14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VALUEACT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17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MASTER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34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134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VA PARTNERS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61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 Breeding,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14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VA PARTNERS 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85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Jason B. Breeding,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VALUEACT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17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61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261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VALUEACT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17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77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61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 Breeding,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14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VALUEACT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17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MANAGEMENT,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3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Jason B. Breeding,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VALUEACT HOLDINGS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66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VALUEACT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12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991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HOLDINGS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8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61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 Breeding,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14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VALUEACT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19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Jason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31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Breeding,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31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680" w:space="60"/>
            <w:col w:w="1740"/>
          </w:cols>
          <w:pgMar w:left="500" w:top="127" w:right="9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7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480"/>
      </w:cols>
      <w:pgMar w:left="500" w:top="127" w:right="9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12" Type="http://schemas.openxmlformats.org/officeDocument/2006/relationships/hyperlink" Target="http://www.sec.gov/cgi-bin/browse-edgar?action=getcompany&amp;CIK=0001418814" TargetMode="External"/><Relationship Id="rId13" Type="http://schemas.openxmlformats.org/officeDocument/2006/relationships/hyperlink" Target="http://www.sec.gov/cgi-bin/browse-edgar?action=getcompany&amp;CIK=0000798354" TargetMode="External"/><Relationship Id="rId14" Type="http://schemas.openxmlformats.org/officeDocument/2006/relationships/hyperlink" Target="http://www.sec.gov/cgi-bin/browse-edgar?action=getcompany&amp;CIK=0001464912" TargetMode="External"/><Relationship Id="rId16" Type="http://schemas.openxmlformats.org/officeDocument/2006/relationships/hyperlink" Target="http://www.sec.gov/cgi-bin/browse-edgar?action=getcompany&amp;CIK=0001418812" TargetMode="External"/><Relationship Id="rId18" Type="http://schemas.openxmlformats.org/officeDocument/2006/relationships/hyperlink" Target="http://www.sec.gov/cgi-bin/browse-edgar?action=getcompany&amp;CIK=0001351069" TargetMode="External"/><Relationship Id="rId19" Type="http://schemas.openxmlformats.org/officeDocument/2006/relationships/hyperlink" Target="http://www.sec.gov/cgi-bin/browse-edgar?action=getcompany&amp;CIK=0001351073" TargetMode="External"/><Relationship Id="rId20" Type="http://schemas.openxmlformats.org/officeDocument/2006/relationships/hyperlink" Target="http://www.sec.gov/cgi-bin/browse-edgar?action=getcompany&amp;CIK=0001763309" TargetMode="External"/><Relationship Id="rId21" Type="http://schemas.openxmlformats.org/officeDocument/2006/relationships/hyperlink" Target="http://www.sec.gov/cgi-bin/browse-edgar?action=getcompany&amp;CIK=00014188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2022-05-04T16:48:29Z</dcterms:created>
  <dcterms:modified xsi:type="dcterms:W3CDTF">2022-05-04T16:48:29Z</dcterms:modified>
</cp:coreProperties>
</file>