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27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304165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329565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3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7"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24, 2025, there were 537,851,887 shares of common stock, $0.01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20" w:type="dxa"/>
            <w:vAlign w:val="bottom"/>
            <w:tcBorders>
              <w:top w:val="single" w:sz="8" w:color="0000FF"/>
            </w:tcBorders>
          </w:tcPr>
          <w:p>
            <w:pPr>
              <w:spacing w:after="0"/>
              <w:rPr>
                <w:sz w:val="24"/>
                <w:szCs w:val="24"/>
                <w:color w:val="auto"/>
              </w:rPr>
            </w:pPr>
          </w:p>
        </w:tc>
        <w:tc>
          <w:tcPr>
            <w:tcW w:w="76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10"/>
          </w:tcPr>
          <w:p>
            <w:pPr>
              <w:spacing w:after="0"/>
              <w:rPr>
                <w:sz w:val="18"/>
                <w:szCs w:val="18"/>
                <w:color w:val="auto"/>
              </w:rPr>
            </w:pPr>
          </w:p>
        </w:tc>
        <w:tc>
          <w:tcPr>
            <w:tcW w:w="502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2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4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12,622</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15,909</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15,205</w:t>
            </w: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gain on sales and distribution of other assets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8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10,994</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42"/>
        </w:trPr>
        <w:tc>
          <w:tcPr>
            <w:tcW w:w="5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before income taxes and income (loss) from investments in unconsolidated</w:t>
            </w: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0" w:type="dxa"/>
            <w:vAlign w:val="bottom"/>
          </w:tcPr>
          <w:p>
            <w:pPr>
              <w:spacing w:after="0"/>
              <w:rPr>
                <w:sz w:val="1"/>
                <w:szCs w:val="1"/>
                <w:color w:val="auto"/>
              </w:rPr>
            </w:pPr>
          </w:p>
        </w:tc>
      </w:tr>
      <w:tr>
        <w:trPr>
          <w:trHeight w:val="213"/>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affiliates</w:t>
            </w: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investments in unconsolidated affiliates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0" w:type="dxa"/>
            <w:vAlign w:val="bottom"/>
          </w:tcPr>
          <w:p>
            <w:pPr>
              <w:spacing w:after="0"/>
              <w:rPr>
                <w:sz w:val="1"/>
                <w:szCs w:val="1"/>
                <w:color w:val="auto"/>
              </w:rPr>
            </w:pPr>
          </w:p>
        </w:tc>
      </w:tr>
      <w:tr>
        <w:trPr>
          <w:trHeight w:val="162"/>
        </w:trPr>
        <w:tc>
          <w:tcPr>
            <w:tcW w:w="5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31"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$21 million and $35 million for the three months ended September 30, 2025 and 2024, respectively, and $77 million and $111 million for the nine months ended September 30, 2025 and 2024, respectively (see Note 19).</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300" w:type="dxa"/>
            <w:vAlign w:val="bottom"/>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84"/>
        </w:trPr>
        <w:tc>
          <w:tcPr>
            <w:tcW w:w="56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(gains) on cash flow</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cost of processing and services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84"/>
        </w:trPr>
        <w:tc>
          <w:tcPr>
            <w:tcW w:w="56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net interest expense</w:t>
            </w: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defined benefit pension plans (see Note 1)</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defined benefit pension plans</w:t>
            </w:r>
          </w:p>
        </w:tc>
        <w:tc>
          <w:tcPr>
            <w:tcW w:w="8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 impacts of foreign currency translation</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c>
          <w:tcPr>
            <w:tcW w:w="9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184"/>
        </w:trPr>
        <w:tc>
          <w:tcPr>
            <w:tcW w:w="56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64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36,584</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costs,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79,370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77,176</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23,730</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12"/>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49,490</w:t>
            </w:r>
          </w:p>
        </w:tc>
      </w:tr>
      <w:tr>
        <w:trPr>
          <w:trHeight w:val="19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18)</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w:t>
            </w:r>
          </w:p>
        </w:tc>
      </w:tr>
      <w:tr>
        <w:trPr>
          <w:trHeight w:val="21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23,575</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247 million and 220 million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(18,182)</w:t>
            </w:r>
          </w:p>
        </w:tc>
      </w:tr>
      <w:tr>
        <w:trPr>
          <w:trHeight w:val="207"/>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27,068</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07"/>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27,686</w:t>
            </w:r>
          </w:p>
        </w:tc>
      </w:tr>
      <w:tr>
        <w:trPr>
          <w:trHeight w:val="235"/>
        </w:trPr>
        <w:tc>
          <w:tcPr>
            <w:tcW w:w="7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sales and distribution of other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foreign currency exchange losses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4,410</w:t>
            </w: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acquisition of businesses, net of cash acquired</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cash advances, net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194"/>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 from commercial paper and short-term borrowings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financing costs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to acquire noncontrolling interests of consolidated subsidiaries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derivative contracts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040"/>
          </w:cols>
          <w:pgMar w:left="320" w:top="121" w:right="5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and nine months ended September 30, 2025 and 2024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Noncontrolling interests in entities of which the Company maintains a majority controlling financial interest represent the minority shareholders’ share of the net income or loss and equity in consolidated subsidiaries. The Company’s noncontrolling interests presented in the consolidated statements of income include net income (loss) attributable to noncontrolling interests and, in 2024, redeemable noncontrolling interest. Noncontrolling interests are presented as a component of equity in the consolidated balance sheets. Additional information regarding the Company’s redeemable noncontrolling interest is included in Note 11 to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 Cash and cash equivalents that are restricted from use due to contractual or legal restrictions are included in other long-term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7"/>
                <w:szCs w:val="17"/>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91"/>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311"/>
        </w:trPr>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20" w:type="dxa"/>
            <w:vAlign w:val="bottom"/>
          </w:tcPr>
          <w:p>
            <w:pPr>
              <w:spacing w:after="0"/>
              <w:rPr>
                <w:sz w:val="17"/>
                <w:szCs w:val="17"/>
                <w:color w:val="auto"/>
              </w:rPr>
            </w:pPr>
          </w:p>
        </w:tc>
        <w:tc>
          <w:tcPr>
            <w:tcW w:w="51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$82 million and $71 million at September 30, 2025 and December 31, 2024,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Capital and other merchant cash advances,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advance cash payments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64"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15).</w:t>
      </w:r>
    </w:p>
    <w:p>
      <w:pPr>
        <w:spacing w:after="0" w:line="1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offers merchants advance access to capital, primarily through its Clover Capital program. Under this program, merchants sell fixed amounts of their future credit card receivables to the Company in exchange for an up-front purchase price payment. Future credit card receivables purchased by the Company under its merchant cash advance programs, including Clover Capital, were $544 million and $397 million at September 30, 2025 and December 31, 2024, respectively. The Company maintained a reserve of $31 million and $16 million at September 30, 2025 and December 31, 2024, respectively, based on an estimate of uncollectible amounts.</w:t>
      </w:r>
    </w:p>
    <w:p>
      <w:pPr>
        <w:spacing w:after="0" w:line="1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by providing them the opportunity to receive settlement cash payments in advance in exchange for their receivables from card issuers, including when cardholders have elected to pay over time in installments. These local currency denominated arrangements are primarily associated with the Company’s operations in Latin America, the most significant of which are denominated in Argentine Peso and Brazilian Real.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08"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Although the Company does not have legal ownership of these assets, it has the right to use them to satisfy the related settlement obligations. The Company records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amount of merchant collateral available to the Company was $605 million and $598 million at September 30, 2025 and December 31, 2024, respectively.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$32 million and $24 million for the three months ended September 30, 2025 and 2024, respectively, and $93 million and $77 million for the nine months ended September 30, 2025 and 2024, respectively.</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allowance includes estimated losses from anticipated chargebacks and fraud events that have been incurred on merchant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$44 million and $40 million at September 30, 2025 and December 31, 2024,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The Company’s most recent annual impairment assessment of its reporting units in the fourth quarter of 2024 determined that its goodwill was not impaired as the estimated fair values exceeded the carrying values for each of the Company’s reporting units. However, it is reasonably possible that future developments related to the interest or currency exchange rate environments; a shift in strategic initiatives; a deterioration in financial performance within a particular reporting unit(s); or significant changes in the composition of, or assumptions used in, the quantitative test for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September 30,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of subsidiaries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Argentina, resulted in foreign currency exchange losses of $53 million and $22 million for the three months ended September 30, 2025 and 2024, respectively, and $117 million and $75 million for the nine months ended September 30, 2025 and 2024, respectively, which is included within other expense, net in the consolidated statements of income.</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as economic hedges with creditworthy institutions to limit exposure to changing interest rates and foreign currency rate fluctuations, and not to enter into such derivatives for speculative purposes. Additional information regarding the Company’s derivatives and hedging instruments is included in Note 7 to the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maintained frozen noncontributory defined benefit pension plans covering certain of its employees in the U.S. and United Kingdom (“U.K.”), which were terminated in September 2023. In March 2024, the Company entered into a group annuity insurance contract to provide for the administration of future payments to eligible plan participants of the terminated U.K. plan. In connection with the buy-in of this insurance policy, the plan’s projected benefit obligation was remeasured in the first quarter of 2024 to the value of the group annuity insurance contract, resulting in an unrecognized loss, net of tax, of approximately $63 million recorded in accumulated other comprehensive loss within the consolidated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settlement of the terminated plans, which was completed in the fourth quarter of 2024, the Company funded a plan termination liability shortfall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U.S. defined benefit pension plan of $20 million and recognized a non-cash pre-tax pension settlement charge for the U.S. and U.K. plans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 million. The Company received a refund, net of excise tax, of $43 million of residual surplus related to the U.K. plan in the second quarter of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310"/>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(Topic 280)</w:t>
      </w:r>
    </w:p>
    <w:p>
      <w:pPr>
        <w:spacing w:after="0" w:line="29"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enhances and</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06" w:lineRule="exact"/>
        <w:rPr>
          <w:rFonts w:ascii="Times New Roman" w:cs="Times New Roman" w:eastAsia="Times New Roman" w:hAnsi="Times New Roman"/>
          <w:sz w:val="18"/>
          <w:szCs w:val="18"/>
          <w:i w:val="1"/>
          <w:iCs w:val="1"/>
          <w:color w:val="auto"/>
        </w:rPr>
      </w:pPr>
    </w:p>
    <w:p>
      <w:pPr>
        <w:ind w:left="5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expands the current annual and interim requirements on segment information disclosures. Under the new disclosure requirements, entities are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 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were effective for fiscal years beginning after December 15, 2023, and for interim periods of fiscal years beginning after December 15, 2024. The Company adopted ASU 2023-07 effective for the year ended December 31, 2024, with retrospective application of the additional segment information for the years ended December 31, 2023 and 2022. Additional information regarding the Company’s reportable segments, including the application of the provisions of ASU 2023-07 for the three and nine months ended September 30, 2025 and 2024, is included in Note 20 to the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2023, the FASB issued ASU No. 2023-09</w:t>
      </w:r>
      <w:r>
        <w:rPr>
          <w:rFonts w:ascii="Times New Roman" w:cs="Times New Roman" w:eastAsia="Times New Roman" w:hAnsi="Times New Roman"/>
          <w:sz w:val="18"/>
          <w:szCs w:val="18"/>
          <w:i w:val="1"/>
          <w:iCs w:val="1"/>
          <w:color w:val="auto"/>
        </w:rPr>
        <w:t>, Income Taxes (Topic 740) - Improvement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 December 15, 2025. The Company intends to adopt the new income tax disclosure requirements in accordance with the provisions of ASU 2023-09 on a prospective basis, effective for its fiscal year ending December 31, 2025.</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2024, the FASB issued ASU No. 2024-03,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disaggregation of certain expense captions into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are effective for the first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beginning after December 15, 2026, and for interim reporting periods within annual reporting periods beginning after December 15, 2027. The provisions within ASU 2024-03 are required to be applied prospectively; however, such provisions may be applied retrospectively for all comparative periods following the effective date. The Company is currently assessing the impact the adoption of ASU 2024-03 will have on its consolidated financial statement disclosures.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2025, the FASB issued ASU No.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(“ASU 2025-06”), to modernize the accounting guidance for costs to develop software for internal use. ASU 2025-06 amends the existing standard that refers to various stages of a software development project to better align with current software development methods, such as agile programming. Under ASU 2025-06, cost capitalization begins when management has authorized and committed to funding the project, and it is probable the project will be completed and the software will be used to perform its intended function. For all entities, the provisions within ASU 2025-06 are effective for fiscal years beginning after December 15, 2027, and for interim reporting periods within those fiscal years. The provisions within ASU 2025-06 can be applied either retrospectively through a cumulative-effect adjustment, prospectively to software costs incurred after the adoption date (on existing, in-process software projects or new projects), or on a modified prospective basis. The Company is currently assessing the impact the adoption of ASU 2025-06 will have on its consolidated financial statements and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operations are comprised of the Merchant and the Financial reportable segments (see Note 20). The table below presents the Company’s revenue disaggregated by business line and includes a reconciliation with its reportable segments.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 serves its global client base by working among its geographic teams across various regions, including the U.S. and Canada; Europe, Middle East and Africa (“EMEA”); Latin America (“LATAM”); and Asia Pacific (“APAC”). The majority of the Company’s revenue is earned in the U.S., with revenue generated within its EMEA, LATAM and APAC regions comprising approximately 16% and 15% of total revenue for the three and nine months ended September 30, 2025, respectively, and approximately 15% of total revenue for each of the three and nine months ended September 30,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4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17"/>
                <w:szCs w:val="17"/>
                <w:color w:val="auto"/>
              </w:rPr>
            </w:pPr>
          </w:p>
        </w:tc>
        <w:tc>
          <w:tcPr>
            <w:tcW w:w="31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Enterprise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Merchant Solutions segment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Issuing</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Financial Solutions segment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15,909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bl>
    <w:p>
      <w:pPr>
        <w:spacing w:after="0" w:line="2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$711 million of revenue during the nine months ended September 30, 2025 that was included in the contract liabilities balance at the beginning of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September 30,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bl>
    <w:p>
      <w:pPr>
        <w:spacing w:after="0" w:line="2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applies the optional exemption under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businesses are included in the consolidated results of the Company from the respective dates of acquisition. Pro forma information for these acquired businesses is not provided because they did not have a material effect, individually or in the aggregate, on the Company’s consolidated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Payfare</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March 2, 2025, the Company acquired Payfare, Inc. (“Payfare”), a Canada-based provider of program management solutions powering instant access to earnings and banking solutions for workforces, for a purchase price of $95 million, net of $46 million of acquired cash. Payfare is included within the Financial Solutions (“Financial”) segment and expands the Company’s embedded finance capabilities.</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including acquired software and technology, of approximately $37 million with an estimated useful life of 7 years, $55 million of goodwill and $49 million of other net assets, including acquired cash. The allocation of the purchase price is preliminary and is subject to further adjustment, pending additional refinement and final completion of valuations. Goodwill, which is not deductible for tax purposes, is primarily attributed to the anticipated value created by further enhancing the Company’s finance solutions in embedded banking, payments and lending for large enterprises and financial institutions.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CCV</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18, 2025, the Company acquired CCV Group B.V. (“CCV”), a Netherlands-based supplier of point-of sale (“POS”) payment solutions, for $226 million, net of $27 million of acquired cash. CCV is included within the Merchant Solutions (“Merchant”) segment and expands the Company’s network of payment solutions.</w:t>
      </w:r>
    </w:p>
    <w:p>
      <w:pPr>
        <w:spacing w:after="0" w:line="12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including customer relationships, of approximately $96 million with an estimated useful life of 5 years, $123 million of goodwill and $34 million of other net assets, including acquired cash. The allocation of the purchase price is preliminary and is subject to further adjustment, pending additional refinement and final completion of valuations. Goodwill, which is not deductible for tax purposes, is primarily attributed to the anticipated value created by enabling the Company’s ability to accelerate the deployment of its Clover</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xml:space="preserve"> POS and business management platform, providing enhanced capabilities and innovation to an expansive combined merchant and partner base across Europe.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On April 4, 2025, the Company acquired Pinch Payments NZ Limited (together with Zootive Pty Ltd, “Pinch Payments”), an Australia-based payment facilitator. Pinch Payments is included within the Merchant segment and expands the Company’s flexible payment services for its partners and clients, and presence within the Asia-Pacific region. On June 4, 2025, the Company acquired Money Money Serviços Financeiros S.A. (“Money Money”), a Brazil-based provider of risk analysis and credit decisioning solutions. Money Money is included within the Merchant segment and expands the Company’s payment and financial service capabilities, enabling access to working capital and other payment solutions for small and medium-sized businesses. On September 4, 2025, the Company acquired CardFree Inc. (“CardFree”), an all-in-one platform delivering integrated order, payment and loyalty solutions for merchants. CardFree is included within the Merchant segment and further expands the capabilities of the Company’s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across the hospitality, restaurant and lodging industries. On September 25, 2025, the Company acquired the Smith Consulting Group, LLC business (“SCG”), an operational consulting service utilized by community banks and credit unions across the U.S. SCG is included within the Financial segment and supports the Company’s ability to provide consultative engagement to enhance community banks’ and credit unions’ strategic investments.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 acquired these businesses for an aggregate purchase price, including deferred payments, of $76 million, including earn-out provisions estimated at a fair value of $27 million (see Note 8). The allocation of purchase price for these acquisitions resulted in the recognition of identifiable intangible assets, including software and technology, of approximately $31 million with an estimated weighted average useful life of 7 years, $53 million of goodwill and $8 million of other net liabilities. The purchase price allocations for Pinch Payments and Money Money were finalized in the third quarter of 2025, and the measurement period adjustments did not have a material impact on the Company’s consolidated statements of income. The purchase price allocations for CardFree and SCG are preliminary and are subject to further adjustment, pending additional refinement and final completion of valuations. Goodwill for these acquisitions is primarily attributed to the anticipated value created by expanding the reach of the Company’s payment solutions and financial service capabilities, as well as enhancing the capabilities of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the expansion of advisory services for financial institutions. For tax purposes, goodwill related to the SCG acquisition is deductible; however, goodwill is not deductible in relation to the respective Pinch Payments, Money Money or CardFree acquisitions.</w:t>
      </w:r>
    </w:p>
    <w:p>
      <w:pPr>
        <w:spacing w:after="0" w:line="14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On September 26, 2025, the Company entered into definitive agreements to acquire StoneCastle Cash Management, LLC, INDX Processing, LLC and StoneCastle Trust Co. (collectively, “StoneCastle”). StoneCastle enables its network of depository institutions to easily access stable, cost-efficient deposit funding. StoneCastle will be included within the Financial segment and enables the Company to become a technology-enabled source of institutional deposits, helping financial institutions strengthen their balance sheets. This transaction is expected to close by the first quarter of 2026, subject to regulatory approval and other customary closing conditions. On October 1, 2025, the Company acquired a portion of The Toronto-Dominion Bank’s (“TD Bank”) merchant processing business in Canada. This business will be included within the Merchant segment and expands the footprint of the Company’s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The Company expects to acquire these businesses for an aggregate purchase price of approximately $460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17, 2025, the Company acquired the remaining 19% ownership interest in ICICI Merchant Services Private Limited, an India-based merchant acceptance business, for $22 million. The Company previously held a majority controlling financial interest in this subsidiary, which continues to be consolidated and reported within the Merchant segment. On September 5, 2025, the Company acquired the remaining 49.9% ownership interest, including cash held of $195 million, in AIB Merchant Services (“AIBMS”), an Ireland-based payments solution provider, for $420 million. The Company previously held a majority controlling financial interest in this subsidiary, which continues to be consolidated and reported within the Merchant segment.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$561 million and $566 million for the three months ended September 30, 2025 and 2024, respectively, and $1.7 billion for both the nine months ended September 30,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any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ownership interests in certain merchant alliances. A merchant alliance is an agreement between the Company and a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that combines the processing capabilities and management expertise of the Company with the visibility and distribution channel of the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A merchant alliance acquires credit and debit card transactions from merchants. The Company provides processing and other services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merchant alliance and charges fees to the alliance based on contractual pricing (see Note 19). The Company’s investment in its merchant alliances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$762 million and $1.2 billion at September 30, 2025 and December 31, 2024, respectively, and is reported within investments in unconsolidated affiliates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balance sheets.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maintained a 40% ownership interest in the Wells Fargo Merchant Services merchant alliance (“WFMS”), which was accounted for as an equity method investment. The Company acquired its ownership, at fair value, in WFMS through its 2019 acquisition of First Data Corporation. In the third quarter of 2024, Wells Fargo Bank, National Association (“Wells Fargo”) provided the Company with a notice of non-renewal for WFMS. Upon the expiration of the joint venture on April 1, 2025, the Company received an initial cash payment of $453 million. Completion of the contractual valuation and separation process during the third quarter of 2025 did not result in a significant adjustment to the initial cash payment received.</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$595 million non-cash impairment as a result of an other-than-temporary decline in the fair value of its equity method investment in WFMS within income (loss) from investments in unconsolidated affiliates, with the related tax benefit of $129 million recorded through the income tax provision, in the consolidated statement of income. The Company recorded an initial pre-tax impairment charge of $570 million in the third quarter of 2024 based upon the Company’s estimate of the fair value of its portion of WFMS, and an additional $25 million pre-tax impairment charge in the fourth quarter of 2024 based upon the expected cash payment as described above. An additional $4 million pre-tax impairment charge was recorded in the first nine months of 2025 upon completion of the contractual valuation and separation process.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$254 million and $250 million at September 30, 2025 and December 31, 2024,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net gains from sales of equity securities were not significant during the three and nine months ended September 30, 2025, and were $2 million and $29 million during the three and nine months ended September 30, 2024,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Instruments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Derivative instruments maintained by the Company are measured on a recurring basis and are recorded at fair value either as an asset or liability in the consolidated balance sheets (see Note 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$325 million and $481 million at September 30, 2025 and December 31, 2024, respectively. Based on the amounts recorded in accumulated other comprehensive loss at September 30, 2025, the Company estimates that it will recognize losses of approximately $9 million in cost of processing and services during the next twelve months as foreign exchange forward contracts settle.</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The unamortized balance recorded in accumulated other comprehensive loss related to the Treasury Locks was</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$91 million and $101 million at September 30, 2025 and December 31, 2024, respectively. Based on the amounts recorded in accumulated other comprehensive loss at September 30, 2025, the Company estimates that it will recognize approximately $13 million in net interest expense during the next twelve months related to settled interest rate hedge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310"/>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30"/>
              <w:spacing w:after="0" w:line="185"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(82)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1"/>
        </w:trPr>
        <w:tc>
          <w:tcPr>
            <w:tcW w:w="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recorded income tax impacts of $(6) million and $56 million during the three months ended September 30, 2025 and 2024, respectively, and $132 million and $17 million during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line="185" w:lineRule="auto"/>
        <w:framePr w:w="260" w:h="160" w:wrap="auto" w:vAnchor="page" w:hAnchor="page" w:x="5820" w:y="124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196" w:lineRule="auto"/>
        <w:framePr w:w="1960" w:h="160" w:wrap="auto" w:vAnchor="page" w:hAnchor="page" w:x="3500" w:y="1138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long-term liabilities</w:t>
      </w:r>
    </w:p>
    <w:p>
      <w:pPr>
        <w:spacing w:after="0" w:line="196" w:lineRule="auto"/>
        <w:framePr w:w="3340" w:h="160" w:wrap="auto" w:vAnchor="page" w:hAnchor="page" w:x="3500" w:y="1106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payable and other current liabilities</w:t>
      </w:r>
    </w:p>
    <w:p>
      <w:pPr>
        <w:spacing w:after="0" w:line="226" w:lineRule="auto"/>
        <w:framePr w:w="3340" w:h="390" w:wrap="auto" w:vAnchor="page" w:hAnchor="page" w:x="3500" w:y="1051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other current liabilities Other long-term liabilities</w:t>
      </w:r>
    </w:p>
    <w:p>
      <w:pPr>
        <w:spacing w:after="0" w:line="196" w:lineRule="auto"/>
        <w:framePr w:w="1960" w:h="160" w:wrap="auto" w:vAnchor="page" w:hAnchor="page" w:x="3500" w:y="1018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long-term liabilities</w:t>
      </w:r>
    </w:p>
    <w:p>
      <w:pPr>
        <w:spacing w:after="0" w:line="196" w:lineRule="auto"/>
        <w:framePr w:w="6420" w:h="336" w:wrap="auto" w:vAnchor="page" w:hAnchor="page" w:x="420" w:y="9254"/>
        <w:rPr>
          <w:rFonts w:ascii="Times New Roman" w:cs="Times New Roman" w:eastAsia="Times New Roman" w:hAnsi="Times New Roman"/>
          <w:sz w:val="14"/>
          <w:szCs w:val="14"/>
          <w:color w:val="auto"/>
        </w:rPr>
      </w:pPr>
      <w:r>
        <w:rPr>
          <w:rFonts w:ascii="Times New Roman" w:cs="Times New Roman" w:eastAsia="Times New Roman" w:hAnsi="Times New Roman"/>
          <w:sz w:val="24"/>
          <w:szCs w:val="24"/>
          <w:color w:val="auto"/>
          <w:vertAlign w:val="superscript"/>
        </w:rPr>
        <w:t>Forward exchange contracts designated as</w:t>
      </w:r>
      <w:r>
        <w:rPr>
          <w:rFonts w:ascii="Times New Roman" w:cs="Times New Roman" w:eastAsia="Times New Roman" w:hAnsi="Times New Roman"/>
          <w:sz w:val="14"/>
          <w:szCs w:val="14"/>
          <w:color w:val="auto"/>
        </w:rPr>
        <w:t xml:space="preserve"> Accounts payable and other current liabilities cash flow hedges</w:t>
      </w:r>
    </w:p>
    <w:p>
      <w:pPr>
        <w:spacing w:after="0" w:line="184" w:lineRule="auto"/>
        <w:framePr w:w="5040" w:h="336" w:wrap="auto" w:vAnchor="page" w:hAnchor="page" w:x="420" w:y="9673"/>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Forward exchange contracts designated as </w:t>
      </w:r>
      <w:r>
        <w:rPr>
          <w:rFonts w:ascii="Times New Roman" w:cs="Times New Roman" w:eastAsia="Times New Roman" w:hAnsi="Times New Roman"/>
          <w:sz w:val="24"/>
          <w:szCs w:val="24"/>
          <w:color w:val="auto"/>
          <w:vertAlign w:val="subscript"/>
        </w:rPr>
        <w:t>Other long-term liabilities</w:t>
      </w:r>
      <w:r>
        <w:rPr>
          <w:rFonts w:ascii="Times New Roman" w:cs="Times New Roman" w:eastAsia="Times New Roman" w:hAnsi="Times New Roman"/>
          <w:sz w:val="14"/>
          <w:szCs w:val="14"/>
          <w:color w:val="auto"/>
        </w:rPr>
        <w:t xml:space="preserve"> cash flow hedges</w:t>
      </w:r>
    </w:p>
    <w:p>
      <w:pPr>
        <w:spacing w:after="0" w:line="206" w:lineRule="auto"/>
        <w:framePr w:w="2760" w:h="336" w:wrap="auto" w:vAnchor="page" w:hAnchor="page" w:x="420" w:y="1009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Cross-currency rate swap contracts designated as net investment hedges</w:t>
      </w:r>
    </w:p>
    <w:p>
      <w:pPr>
        <w:spacing w:after="0" w:line="239" w:lineRule="auto"/>
        <w:framePr w:w="1880" w:h="390" w:wrap="auto" w:vAnchor="page" w:hAnchor="page" w:x="420" w:y="1051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Contingent consideration</w:t>
      </w:r>
    </w:p>
    <w:p>
      <w:pPr>
        <w:spacing w:after="0" w:line="206" w:lineRule="auto"/>
        <w:framePr w:w="2580" w:h="336" w:wrap="auto" w:vAnchor="page" w:hAnchor="page" w:x="420" w:y="1096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 to purchase redeemable noncontrolling interest</w:t>
      </w:r>
    </w:p>
    <w:p>
      <w:pPr>
        <w:spacing w:after="0" w:line="196" w:lineRule="auto"/>
        <w:framePr w:w="1980" w:h="160" w:wrap="auto" w:vAnchor="page" w:hAnchor="page" w:x="420" w:y="1138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debt guarantee</w:t>
      </w:r>
    </w:p>
    <w:p>
      <w:pPr>
        <w:spacing w:after="0" w:line="196" w:lineRule="auto"/>
        <w:framePr w:w="1120" w:h="160" w:wrap="auto" w:vAnchor="page" w:hAnchor="page" w:x="4740" w:y="689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Classification</w:t>
      </w:r>
    </w:p>
    <w:p>
      <w:pPr>
        <w:spacing w:after="0" w:line="335" w:lineRule="auto"/>
        <w:framePr w:w="3060" w:h="579" w:wrap="auto" w:vAnchor="page" w:hAnchor="page" w:x="3500" w:y="7445"/>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 Other long-term assets</w:t>
      </w:r>
    </w:p>
    <w:p>
      <w:pPr>
        <w:spacing w:after="0" w:line="355" w:lineRule="auto"/>
        <w:framePr w:w="3340" w:h="579" w:wrap="auto" w:vAnchor="page" w:hAnchor="page" w:x="3500" w:y="851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other current liabilities Accounts payable and other current liabilities</w:t>
      </w: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rFonts w:ascii="Times New Roman" w:cs="Times New Roman" w:eastAsia="Times New Roman" w:hAnsi="Times New Roman"/>
          <w:sz w:val="17"/>
          <w:szCs w:val="17"/>
          <w:b w:val="1"/>
          <w:bCs w:val="1"/>
          <w:color w:val="auto"/>
        </w:rPr>
      </w:pPr>
    </w:p>
    <w:p>
      <w:pPr>
        <w:spacing w:after="0" w:line="363" w:lineRule="exact"/>
        <w:rPr>
          <w:rFonts w:ascii="Times New Roman" w:cs="Times New Roman" w:eastAsia="Times New Roman" w:hAnsi="Times New Roman"/>
          <w:sz w:val="17"/>
          <w:szCs w:val="17"/>
          <w:b w:val="1"/>
          <w:bCs w:val="1"/>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respectively, in other comprehensive income (loss) from the translation of foreign currency-denominated senior notes, Euro commercial paper notes and fixed-to-fixed cross-currency rate swap contracts.</w:t>
      </w:r>
    </w:p>
    <w:p>
      <w:pPr>
        <w:spacing w:after="0" w:line="106"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rFonts w:ascii="Times New Roman" w:cs="Times New Roman" w:eastAsia="Times New Roman" w:hAnsi="Times New Roman"/>
          <w:sz w:val="17"/>
          <w:szCs w:val="17"/>
          <w:b w:val="1"/>
          <w:bCs w:val="1"/>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previously maintained a fixed-to-fixed cross-currency rate swap contract in the notional amount of 525 million British Pounds, designated as a fair value hedge, to mitigate the spot foreign exchange rate risk on the principal amount of its British Pound-denominated 2.250% senior notes, which matured in July 2025, as well as fixed-to-fixed cross-currency rate swap contracts on the principal amount of a Euro-denominated intercompany note, which was repaid in 2024. Net changes in the fair value of the cross-currency rate swaps ($0.3 million loss and $33 million gain for the three months ended September 30, 2025 and 2024, respectively, and $60 million and $33 million gain for the nine months ended September 30, 2025 and 2024, respectively), along with the offsetting change in the fair value of the hedged notes, attributable to fluctuations in the respective foreign currency spot rates were recognized in other expense, net within the consolidated statements of income.</w:t>
      </w:r>
    </w:p>
    <w:p>
      <w:pPr>
        <w:spacing w:after="0" w:line="131"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rFonts w:ascii="Times New Roman" w:cs="Times New Roman" w:eastAsia="Times New Roman" w:hAnsi="Times New Roman"/>
          <w:sz w:val="17"/>
          <w:szCs w:val="17"/>
          <w:b w:val="1"/>
          <w:bCs w:val="1"/>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foreign currency spot rates and forwards quoted by banks and foreign currency dealers and are marked to market each period. Contingent consideration related to certain of the Company’s acquisitions (see Note 4) is estimated using a probability-weighted assessment approach based on the likelihood of achieving the earn-out criteria. The Company’s obligation to satisfy the purchase of a redeemable noncontrolling interest in a previously terminated merchant alliance joint venture was measured at the estimated fair value of the minority interest. Such obligation was settled in the third quarter of 2025 through the distribution of certain merchant contracts to the minority partner (see Note 11).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ectPr>
          <w:pgSz w:w="11900" w:h="16838" w:orient="portrait"/>
          <w:cols w:equalWidth="0" w:num="1">
            <w:col w:w="11240"/>
          </w:cols>
          <w:pgMar w:left="320" w:top="121" w:right="339" w:bottom="1440" w:gutter="0" w:footer="0" w:header="0"/>
        </w:sectPr>
      </w:pPr>
    </w:p>
    <w:p>
      <w:pPr>
        <w:spacing w:after="0" w:line="134"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60" w:lineRule="exact"/>
        <w:rPr>
          <w:rFonts w:ascii="Times New Roman" w:cs="Times New Roman" w:eastAsia="Times New Roman" w:hAnsi="Times New Roman"/>
          <w:sz w:val="17"/>
          <w:szCs w:val="17"/>
          <w:b w:val="1"/>
          <w:bCs w:val="1"/>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millions)</w:t>
      </w:r>
    </w:p>
    <w:p>
      <w:pPr>
        <w:spacing w:after="0" w:line="28" w:lineRule="exact"/>
        <w:rPr>
          <w:rFonts w:ascii="Times New Roman" w:cs="Times New Roman" w:eastAsia="Times New Roman" w:hAnsi="Times New Roman"/>
          <w:sz w:val="17"/>
          <w:szCs w:val="17"/>
          <w:b w:val="1"/>
          <w:bCs w:val="1"/>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rFonts w:ascii="Times New Roman" w:cs="Times New Roman" w:eastAsia="Times New Roman" w:hAnsi="Times New Roman"/>
          <w:sz w:val="17"/>
          <w:szCs w:val="17"/>
          <w:b w:val="1"/>
          <w:bCs w:val="1"/>
          <w:color w:val="auto"/>
        </w:rPr>
      </w:pPr>
    </w:p>
    <w:p>
      <w:pPr>
        <w:ind w:left="220" w:right="3800" w:hanging="80"/>
        <w:spacing w:after="0" w:line="253" w:lineRule="auto"/>
        <w:rPr>
          <w:sz w:val="20"/>
          <w:szCs w:val="20"/>
          <w:color w:val="auto"/>
        </w:rPr>
      </w:pPr>
      <w:r>
        <w:rPr>
          <w:rFonts w:ascii="Times New Roman" w:cs="Times New Roman" w:eastAsia="Times New Roman" w:hAnsi="Times New Roman"/>
          <w:sz w:val="17"/>
          <w:szCs w:val="17"/>
          <w:color w:val="auto"/>
        </w:rPr>
        <w:t>Cross-currency rate swap contract designated as net investment hedge</w:t>
      </w:r>
    </w:p>
    <w:p>
      <w:pPr>
        <w:spacing w:after="0" w:line="2" w:lineRule="exact"/>
        <w:rPr>
          <w:rFonts w:ascii="Times New Roman" w:cs="Times New Roman" w:eastAsia="Times New Roman" w:hAnsi="Times New Roman"/>
          <w:sz w:val="17"/>
          <w:szCs w:val="17"/>
          <w:b w:val="1"/>
          <w:bCs w:val="1"/>
          <w:color w:val="auto"/>
        </w:rPr>
      </w:pPr>
    </w:p>
    <w:p>
      <w:pPr>
        <w:ind w:left="220" w:right="3740" w:hanging="80"/>
        <w:spacing w:after="0" w:line="254" w:lineRule="auto"/>
        <w:rPr>
          <w:sz w:val="20"/>
          <w:szCs w:val="20"/>
          <w:color w:val="auto"/>
        </w:rPr>
      </w:pPr>
      <w:r>
        <w:rPr>
          <w:rFonts w:ascii="Times New Roman" w:cs="Times New Roman" w:eastAsia="Times New Roman" w:hAnsi="Times New Roman"/>
          <w:sz w:val="17"/>
          <w:szCs w:val="17"/>
          <w:color w:val="auto"/>
        </w:rPr>
        <w:t>Cross-currency rate swap contracts designated as net investment hedges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1" w:lineRule="exact"/>
        <w:rPr>
          <w:rFonts w:ascii="Times New Roman" w:cs="Times New Roman" w:eastAsia="Times New Roman" w:hAnsi="Times New Roman"/>
          <w:sz w:val="17"/>
          <w:szCs w:val="17"/>
          <w:b w:val="1"/>
          <w:bCs w:val="1"/>
          <w:color w:val="auto"/>
        </w:rPr>
      </w:pPr>
    </w:p>
    <w:p>
      <w:pPr>
        <w:ind w:left="220" w:right="3980" w:hanging="80"/>
        <w:spacing w:after="0" w:line="253" w:lineRule="auto"/>
        <w:rPr>
          <w:sz w:val="20"/>
          <w:szCs w:val="20"/>
          <w:color w:val="auto"/>
        </w:rPr>
      </w:pPr>
      <w:r>
        <w:rPr>
          <w:rFonts w:ascii="Times New Roman" w:cs="Times New Roman" w:eastAsia="Times New Roman" w:hAnsi="Times New Roman"/>
          <w:sz w:val="17"/>
          <w:szCs w:val="17"/>
          <w:color w:val="auto"/>
        </w:rPr>
        <w:t>Cross-currency rate swap contract designated as fair value hedge</w:t>
      </w:r>
    </w:p>
    <w:p>
      <w:pPr>
        <w:spacing w:after="0" w:line="2" w:lineRule="exact"/>
        <w:rPr>
          <w:rFonts w:ascii="Times New Roman" w:cs="Times New Roman" w:eastAsia="Times New Roman" w:hAnsi="Times New Roman"/>
          <w:sz w:val="17"/>
          <w:szCs w:val="17"/>
          <w:b w:val="1"/>
          <w:bCs w:val="1"/>
          <w:color w:val="auto"/>
        </w:rPr>
      </w:pPr>
    </w:p>
    <w:p>
      <w:pPr>
        <w:ind w:left="220" w:right="3740" w:hanging="80"/>
        <w:spacing w:after="0" w:line="256" w:lineRule="auto"/>
        <w:rPr>
          <w:sz w:val="20"/>
          <w:szCs w:val="20"/>
          <w:color w:val="auto"/>
        </w:rPr>
      </w:pPr>
      <w:r>
        <w:rPr>
          <w:rFonts w:ascii="Times New Roman" w:cs="Times New Roman" w:eastAsia="Times New Roman" w:hAnsi="Times New Roman"/>
          <w:sz w:val="17"/>
          <w:szCs w:val="17"/>
          <w:color w:val="auto"/>
        </w:rPr>
        <w:t>Cross-currency rate swap contracts designated as net investment hedges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-6985</wp:posOffset>
            </wp:positionH>
            <wp:positionV relativeFrom="paragraph">
              <wp:posOffset>2211705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946785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1358265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br w:type="column"/>
      </w:r>
    </w:p>
    <w:p>
      <w:pPr>
        <w:spacing w:after="0" w:line="200" w:lineRule="exact"/>
        <w:rPr>
          <w:rFonts w:ascii="Times New Roman" w:cs="Times New Roman" w:eastAsia="Times New Roman" w:hAnsi="Times New Roman"/>
          <w:sz w:val="17"/>
          <w:szCs w:val="17"/>
          <w:b w:val="1"/>
          <w:bCs w:val="1"/>
          <w:color w:val="auto"/>
        </w:rPr>
      </w:pPr>
    </w:p>
    <w:p>
      <w:pPr>
        <w:spacing w:after="0" w:line="329" w:lineRule="exact"/>
        <w:rPr>
          <w:rFonts w:ascii="Times New Roman" w:cs="Times New Roman" w:eastAsia="Times New Roman" w:hAnsi="Times New Roman"/>
          <w:sz w:val="17"/>
          <w:szCs w:val="17"/>
          <w:b w:val="1"/>
          <w:bCs w:val="1"/>
          <w:color w:val="auto"/>
        </w:rPr>
      </w:pPr>
    </w:p>
    <w:p>
      <w:pPr>
        <w:spacing w:after="0" w:line="1" w:lineRule="exact"/>
        <w:rPr>
          <w:rFonts w:ascii="Times New Roman" w:cs="Times New Roman" w:eastAsia="Times New Roman" w:hAnsi="Times New Roman"/>
          <w:sz w:val="1"/>
          <w:szCs w:val="1"/>
          <w:b w:val="1"/>
          <w:b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12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3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53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4"/>
                <w:szCs w:val="2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2">
            <w:col w:w="6560" w:space="300"/>
            <w:col w:w="438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and commercial paper notes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$28.0 billion and $23.2 billion at September 30, 2025 and December 31, 2024, respectively, and the carrying value was $28.2 billion and $23.9 billion at September 30, 2025 and December 31,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and defi SOLUTIONS Group, LLC (collectively the “Lending Joint Ventures”), which are accounted for under the equity method. The Company’s net investment in the Lending Joint Ventures was $94 million and $49 million at September 30, 2025 and December 31, 2024, respectively. The Lending Joint Ventures maintain variable-rate term loan facilities with aggregate outstanding borrowings of $404 million in senior unsecured debt at September 30, 2025 and variable-rate revolving credit facilities with an aggregate borrowing capacity of $83 million with a syndicate of banks, which mature in April 2027. There were $21 million of aggregate outstanding borrowings on the revolving credit facilities at September 30, 2025. The Company has guaranteed the debt of the Lending Joint Ventures.</w:t>
      </w:r>
    </w:p>
    <w:p>
      <w:pPr>
        <w:spacing w:after="0" w:line="1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which are reported within other long-term liabilities in the consolidated balance sheets. The Company has provided aggregate guarantees of $487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$14 million and $21 million approximates the fair value at September 30, 2025 and December 31, 2024,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$5 million and $4 million during the three months ended September 30, 2025 and 2024, respectively, and $14 million and $13 million during the nine months ended September 30, 2025 and 2024, respectively, within other expense,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90"/>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Other Current Liabilities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71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40" w:type="dxa"/>
            <w:vAlign w:val="bottom"/>
          </w:tcPr>
          <w:p>
            <w:pPr>
              <w:spacing w:after="0"/>
              <w:rPr>
                <w:sz w:val="19"/>
                <w:szCs w:val="19"/>
                <w:color w:val="auto"/>
              </w:rPr>
            </w:pPr>
          </w:p>
        </w:tc>
        <w:tc>
          <w:tcPr>
            <w:tcW w:w="7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Client deposits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9"/>
        </w:trPr>
        <w:tc>
          <w:tcPr>
            <w:tcW w:w="40" w:type="dxa"/>
            <w:vAlign w:val="bottom"/>
          </w:tcPr>
          <w:p>
            <w:pPr>
              <w:spacing w:after="0"/>
              <w:rPr>
                <w:sz w:val="19"/>
                <w:szCs w:val="19"/>
                <w:color w:val="auto"/>
              </w:rPr>
            </w:pPr>
          </w:p>
        </w:tc>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Transferable federal tax credits (see Note 15)</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40" w:type="dxa"/>
            <w:vAlign w:val="bottom"/>
          </w:tcPr>
          <w:p>
            <w:pPr>
              <w:spacing w:after="0"/>
              <w:rPr>
                <w:sz w:val="19"/>
                <w:szCs w:val="19"/>
                <w:color w:val="auto"/>
              </w:rPr>
            </w:pPr>
          </w:p>
        </w:tc>
        <w:tc>
          <w:tcPr>
            <w:tcW w:w="7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40" w:type="dxa"/>
            <w:vAlign w:val="bottom"/>
          </w:tcPr>
          <w:p>
            <w:pPr>
              <w:spacing w:after="0"/>
              <w:rPr>
                <w:sz w:val="19"/>
                <w:szCs w:val="19"/>
                <w:color w:val="auto"/>
              </w:rPr>
            </w:pPr>
          </w:p>
        </w:tc>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40" w:type="dxa"/>
            <w:vAlign w:val="bottom"/>
          </w:tcPr>
          <w:p>
            <w:pPr>
              <w:spacing w:after="0"/>
              <w:rPr>
                <w:sz w:val="19"/>
                <w:szCs w:val="19"/>
                <w:color w:val="auto"/>
              </w:rPr>
            </w:pPr>
          </w:p>
        </w:tc>
        <w:tc>
          <w:tcPr>
            <w:tcW w:w="7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40" w:type="dxa"/>
            <w:vAlign w:val="bottom"/>
          </w:tcPr>
          <w:p>
            <w:pPr>
              <w:spacing w:after="0"/>
              <w:rPr>
                <w:sz w:val="19"/>
                <w:szCs w:val="19"/>
                <w:color w:val="auto"/>
              </w:rPr>
            </w:pPr>
          </w:p>
        </w:tc>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40" w:type="dxa"/>
            <w:vAlign w:val="bottom"/>
          </w:tcPr>
          <w:p>
            <w:pPr>
              <w:spacing w:after="0"/>
              <w:rPr>
                <w:sz w:val="19"/>
                <w:szCs w:val="19"/>
                <w:color w:val="auto"/>
              </w:rPr>
            </w:pPr>
          </w:p>
        </w:tc>
        <w:tc>
          <w:tcPr>
            <w:tcW w:w="7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40" w:type="dxa"/>
            <w:vAlign w:val="bottom"/>
          </w:tcPr>
          <w:p>
            <w:pPr>
              <w:spacing w:after="0"/>
              <w:rPr>
                <w:sz w:val="19"/>
                <w:szCs w:val="19"/>
                <w:color w:val="auto"/>
              </w:rPr>
            </w:pPr>
          </w:p>
        </w:tc>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40" w:type="dxa"/>
            <w:vAlign w:val="bottom"/>
          </w:tcPr>
          <w:p>
            <w:pPr>
              <w:spacing w:after="0"/>
              <w:rPr>
                <w:sz w:val="19"/>
                <w:szCs w:val="19"/>
                <w:color w:val="auto"/>
              </w:rPr>
            </w:pPr>
          </w:p>
        </w:tc>
        <w:tc>
          <w:tcPr>
            <w:tcW w:w="7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Obligation to purchase redeemable noncontrolling interest (see Note 11)</w:t>
            </w:r>
          </w:p>
        </w:tc>
        <w:tc>
          <w:tcPr>
            <w:tcW w:w="16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0" w:type="dxa"/>
            <w:vAlign w:val="bottom"/>
          </w:tcPr>
          <w:p>
            <w:pPr>
              <w:spacing w:after="0"/>
              <w:rPr>
                <w:sz w:val="19"/>
                <w:szCs w:val="19"/>
                <w:color w:val="auto"/>
              </w:rPr>
            </w:pPr>
          </w:p>
        </w:tc>
        <w:tc>
          <w:tcPr>
            <w:tcW w:w="7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0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4.550% senior notes due February 2031</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nine months ended September 30,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11, 2025, the Company completed the public offering and issuance of $2.0 billion of senior notes, comprised of $1.0 billion aggregate principal amount of 4.550% senior notes due in February 2031 and $1.0 billion aggregate principal amount of 5.250% senior notes due in August 2035. Interest on these senior notes is paid semi-annually. The Company used the net proceeds from this senior notes offering for general corporate purposes, including the repayment of a portion of the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commercial paper notes and for share repurchases.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May 7, 2025, Fiserv Funding Unlimited Company, an indirect wholly owned subsidiary of the Company, completed the public offering and issuance of €2.175 billion of senior notes, comprised of €750 million aggregate principal amount of 2.875% senior notes due in June 2028, €775 million aggregate principal amount of 3.500% senior notes due in June 2032 and €650 million aggregate principal amount of 4.000% senior notes due in June 2036. These notes are fully and unconditionally guaranteed on a senior unsecured basis by the Company. Interest on these senior notes is paid annually. The Company used the net proceeds from this senior notes offering for general corporate purposes, including the repayment of a portion of the Company’s commercial paper notes, 3.850% senior notes due in June 2025 and 2.250% senior notes due in July 2025.</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the Company completed the public offering and issuance of $1.75 billion of senior notes, comprised of $850 million aggregate principal amount of 4.750% senior notes due in March 2030 and $900 million aggregate principal amount of 5.150% senior notes due in August 2034. Interest on these senior notes is paid semi-annually. The Company used the net proceeds from this senior notes offering for general corporate purposes, including the repayment of a portion of the Company’s commercial paper notes and for share repurchases.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Interest on these senior notes is paid semi-annually. The Company used the net proceeds from this senior notes offering for general corporate purposes, including the repayment of a portion of the Company’s commercial paper notes and for share repurchases, and in July 2024, the repayment of a portion of its 2.750% senior notes.</w:t>
      </w:r>
    </w:p>
    <w:p>
      <w:pPr>
        <w:spacing w:after="0" w:line="1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September 30, 2025, the 3.200% senior notes due July 2026 were classified in the consolidated balance sheet as long-term, as the Company has the ability to refinance such debt under its revolving credit facility.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 commercial paper with maturities of up to 397 days from the date of issuance and Euro commercial paper with maturities of up to 183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date of issuance. Outstanding borrowings under the U.S. dollar program were $1.2 billion and $221 million at September 30,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with weighted average interest rates of 4.301% and 4.534%, respectively. Outstanding borrowings under the Euro program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billion and $1.2 billion at September 30, 2025 and December 31, 2024, with weighted average interest rates of 2.135% and 3.115%, respectively.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intends to maintain available capacity under its revolving credit facility, as described below, in an amount at least equal to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its commercial paper programs. Outstanding borrowings under the commercial paper programs are classified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long-term as the Company has the intent to refinance this commercial paper on a long-term basis through the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new commercial paper upon maturity, and the Company also has the ability to refinance such commercial paper under its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August 12, 2025, the Company entered into a new senior unsecured multicurrency revolving credit facility with substantially the same syndicate of banks that were lenders under its prior revolving credit facility, which the Company voluntarily terminated and replaced. The new credit facility matures in August 2030 and provides for a maximum aggregate principal amount of availability of $8.0 billion. Borrowings under the credit facility bear interest at a variable base rate, determined by the term and currency of the borrowing, plus a specified margin based on the Company’s long-term debt rating. There were no outstanding borrowings under the revolving credit facility at September 30, 2025. Outstanding borrowings under the previous revolving credit facility were $115 million at December 31, 2024, with a corresponding interest rate of 5.440%.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the Company’s foreign lines of credit and other borrowing arrangements by country: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80" w:type="dxa"/>
            <w:vAlign w:val="bottom"/>
          </w:tcPr>
          <w:p>
            <w:pPr>
              <w:spacing w:after="0"/>
              <w:rPr>
                <w:sz w:val="20"/>
                <w:szCs w:val="20"/>
                <w:color w:val="auto"/>
              </w:rPr>
            </w:pPr>
          </w:p>
        </w:tc>
        <w:tc>
          <w:tcPr>
            <w:tcW w:w="46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19"/>
                <w:szCs w:val="19"/>
                <w:color w:val="auto"/>
              </w:rPr>
            </w:pP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55.552 %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38.470 %</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15.603 %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12.976 %</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 and Other</w:t>
            </w: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7.014 %</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36.887 %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31.695 %</w:t>
            </w:r>
          </w:p>
        </w:tc>
      </w:tr>
      <w:tr>
        <w:trPr>
          <w:trHeight w:val="20"/>
        </w:trPr>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Noncontrolling Interest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minority partner in one of the Company’s merchant alliance joint ventures maintained a redeemable 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was not solely within the Company’s control.</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redeemable noncontrolling interest was adjusted in the second quarter of 2024 to reflect the estimated redemption value, with a corresponding adjustment recorded to additional paid-in capital. Additionally, as the redeemable noncontrolling interest became mandatorily redeemable, the Company’s obligation to satisfy the purchase of the interest was classified as a current liability in the consolidated balance sheet. The distribution of certain merchant contracts for the redemption of the minority partner’s membership interest was settled in the third quarter of 2025, resulting in a gain of $89 million within net gain on sales and distribution of other assets in the consolidated statements of income. There was no associated tax impact on this gain. The Company maintains an ongoing relationship with the former minority partner to provide processing and other support services following the termination of the joint venture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 activity during the nine months ended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estimated redemption value of redeemable noncontrolling interest</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to current liability</w:t>
            </w:r>
          </w:p>
        </w:tc>
        <w:tc>
          <w:tcPr>
            <w:tcW w:w="8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and nine months ended September 30,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0" w:right="102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September 30, 2025</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ind w:left="180" w:hanging="161"/>
        <w:spacing w:after="0" w:line="239" w:lineRule="auto"/>
        <w:rPr>
          <w:sz w:val="20"/>
          <w:szCs w:val="20"/>
          <w:color w:val="auto"/>
        </w:rPr>
      </w:pPr>
      <w:r>
        <w:rPr>
          <w:rFonts w:ascii="Times New Roman" w:cs="Times New Roman" w:eastAsia="Times New Roman" w:hAnsi="Times New Roman"/>
          <w:sz w:val="14"/>
          <w:szCs w:val="14"/>
          <w:color w:val="auto"/>
        </w:rPr>
        <w:t xml:space="preserve">Acquisition of noncontrolling interest of consolidated subsidiary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23,004</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25,763</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91"/>
        </w:trPr>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23,219</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25,144</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-1165225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-899795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-642620</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-385445</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0"/>
            <w:col w:w="8860"/>
          </w:cols>
          <w:pgMar w:left="320" w:top="121" w:right="339" w:bottom="1440" w:gutter="0" w:footer="0" w:header="0"/>
          <w:type w:val="continuous"/>
        </w:sectPr>
      </w:pPr>
    </w:p>
    <w:p>
      <w:pPr>
        <w:spacing w:after="0" w:line="43" w:lineRule="exact"/>
        <w:rPr>
          <w:sz w:val="20"/>
          <w:szCs w:val="20"/>
          <w:color w:val="auto"/>
        </w:rPr>
      </w:pPr>
    </w:p>
    <w:p>
      <w:pPr>
        <w:ind w:left="660" w:right="720" w:hanging="328"/>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49.9% ownership interest in AIBMS, an Ireland-based payment solutions provider, during the three months ended September 30, 2025. The Company previously held a majority controlling financial interest in this consolidated subsidiary (see Note 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88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0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0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17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88"/>
              <w:spacing w:after="0" w:line="13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vMerge w:val="continue"/>
          </w:tcPr>
          <w:p>
            <w:pPr>
              <w:spacing w:after="0"/>
              <w:rPr>
                <w:sz w:val="12"/>
                <w:szCs w:val="12"/>
                <w:color w:val="auto"/>
              </w:rPr>
            </w:pPr>
          </w:p>
        </w:tc>
        <w:tc>
          <w:tcPr>
            <w:tcW w:w="86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0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940" w:type="dxa"/>
            <w:vAlign w:val="bottom"/>
          </w:tcPr>
          <w:p>
            <w:pPr>
              <w:jc w:val="right"/>
              <w:ind w:right="248"/>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260" w:type="dxa"/>
            <w:vAlign w:val="bottom"/>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70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4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60" w:type="dxa"/>
            <w:vAlign w:val="bottom"/>
          </w:tcPr>
          <w:p>
            <w:pPr>
              <w:jc w:val="right"/>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2"/>
                <w:szCs w:val="12"/>
                <w:color w:val="auto"/>
              </w:rPr>
            </w:pPr>
          </w:p>
        </w:tc>
        <w:tc>
          <w:tcPr>
            <w:tcW w:w="60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4"/>
        </w:trPr>
        <w:tc>
          <w:tcPr>
            <w:tcW w:w="76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23,080</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27,686</w:t>
            </w:r>
          </w:p>
        </w:tc>
        <w:tc>
          <w:tcPr>
            <w:tcW w:w="0" w:type="dxa"/>
            <w:vAlign w:val="bottom"/>
          </w:tcPr>
          <w:p>
            <w:pPr>
              <w:spacing w:after="0"/>
              <w:rPr>
                <w:sz w:val="1"/>
                <w:szCs w:val="1"/>
                <w:color w:val="auto"/>
              </w:rPr>
            </w:pPr>
          </w:p>
        </w:tc>
      </w:tr>
      <w:tr>
        <w:trPr>
          <w:trHeight w:val="195"/>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0" w:type="dxa"/>
            <w:vAlign w:val="bottom"/>
          </w:tcPr>
          <w:p>
            <w:pPr>
              <w:spacing w:after="0"/>
              <w:rPr>
                <w:sz w:val="1"/>
                <w:szCs w:val="1"/>
                <w:color w:val="auto"/>
              </w:rPr>
            </w:pPr>
          </w:p>
        </w:tc>
      </w:tr>
      <w:tr>
        <w:trPr>
          <w:trHeight w:val="210"/>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95"/>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10"/>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5"/>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0" w:type="dxa"/>
            <w:vAlign w:val="bottom"/>
          </w:tcPr>
          <w:p>
            <w:pPr>
              <w:spacing w:after="0"/>
              <w:rPr>
                <w:sz w:val="1"/>
                <w:szCs w:val="1"/>
                <w:color w:val="auto"/>
              </w:rPr>
            </w:pPr>
          </w:p>
        </w:tc>
      </w:tr>
      <w:tr>
        <w:trPr>
          <w:trHeight w:val="146"/>
        </w:trPr>
        <w:tc>
          <w:tcPr>
            <w:tcW w:w="2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Capital contribution from</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07"/>
        </w:trPr>
        <w:tc>
          <w:tcPr>
            <w:tcW w:w="23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noncontrolling interest</w:t>
            </w:r>
          </w:p>
        </w:tc>
        <w:tc>
          <w:tcPr>
            <w:tcW w:w="8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340" w:type="dxa"/>
            <w:vAlign w:val="bottom"/>
            <w:gridSpan w:val="2"/>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Acquisition of noncontrolling interests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01"/>
        </w:trPr>
        <w:tc>
          <w:tcPr>
            <w:tcW w:w="2340" w:type="dxa"/>
            <w:vAlign w:val="bottom"/>
            <w:tcBorders>
              <w:bottom w:val="single" w:sz="8" w:color="CCEEFF"/>
            </w:tcBorders>
            <w:gridSpan w:val="2"/>
          </w:tcPr>
          <w:p>
            <w:pPr>
              <w:ind w:left="160"/>
              <w:spacing w:after="0" w:line="201" w:lineRule="exact"/>
              <w:rPr>
                <w:sz w:val="20"/>
                <w:szCs w:val="20"/>
                <w:color w:val="auto"/>
              </w:rPr>
            </w:pPr>
            <w:r>
              <w:rPr>
                <w:rFonts w:ascii="Times New Roman" w:cs="Times New Roman" w:eastAsia="Times New Roman" w:hAnsi="Times New Roman"/>
                <w:sz w:val="14"/>
                <w:szCs w:val="14"/>
                <w:color w:val="auto"/>
              </w:rPr>
              <w:t xml:space="preserve">of consolidated subsidiaries </w:t>
            </w:r>
            <w:r>
              <w:rPr>
                <w:rFonts w:ascii="Times New Roman" w:cs="Times New Roman" w:eastAsia="Times New Roman" w:hAnsi="Times New Roman"/>
                <w:sz w:val="18"/>
                <w:szCs w:val="18"/>
                <w:color w:val="auto"/>
                <w:vertAlign w:val="superscript"/>
              </w:rPr>
              <w:t>(1)</w:t>
            </w:r>
          </w:p>
        </w:tc>
        <w:tc>
          <w:tcPr>
            <w:tcW w:w="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25,144</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660" w:right="100" w:hanging="328"/>
        <w:spacing w:after="0" w:line="231"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19% ownership interest in ICICI Merchant Services Private Limited, an India-based merchant acceptance business, and the remaining 49.9% ownership interest in AIBMS, an Ireland-based payment solutions provider, during the nine months ended September 30, 2025. The Company previously held a majority controlling financial interest in each of these consolidated subsidiaries (see Note 4).</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7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48"/>
              <w:spacing w:after="0" w:line="14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8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Change in estimated redemption value</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color w:val="auto"/>
              </w:rPr>
              <w:t>of redeemable noncontrolling</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 (see Note 11)</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300" w:hanging="328"/>
        <w:spacing w:after="0" w:line="23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nine months ended September 30, 2024 is different than the amount presented in the consolidated statement of income due to the net income attributable to redeemable noncontrolling interest of $13 million not included in equity.</w:t>
      </w:r>
    </w:p>
    <w:p>
      <w:pPr>
        <w:spacing w:after="0" w:line="142" w:lineRule="exact"/>
        <w:rPr>
          <w:rFonts w:ascii="Times New Roman" w:cs="Times New Roman" w:eastAsia="Times New Roman" w:hAnsi="Times New Roman"/>
          <w:sz w:val="21"/>
          <w:szCs w:val="21"/>
          <w:color w:val="auto"/>
          <w:vertAlign w:val="superscript"/>
        </w:rPr>
      </w:pPr>
    </w:p>
    <w:p>
      <w:pPr>
        <w:ind w:left="660" w:right="120" w:hanging="328"/>
        <w:spacing w:after="0" w:line="23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nine months ended September 30, 2024 excludes $13 million in distributions paid to redeemable noncontrolling interest not included in equity.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5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June 30, 2024</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180" w:right="168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(72)</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(96)</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760" w:type="dxa"/>
            <w:vAlign w:val="bottom"/>
          </w:tcPr>
          <w:p>
            <w:pPr>
              <w:spacing w:after="0"/>
              <w:rPr>
                <w:sz w:val="20"/>
                <w:szCs w:val="20"/>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-496570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31"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2024</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180" w:right="168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(79)</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80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-642620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-351155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4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2023</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80" w:right="660" w:hanging="161"/>
        <w:spacing w:after="0" w:line="234" w:lineRule="auto"/>
        <w:rPr>
          <w:sz w:val="20"/>
          <w:szCs w:val="20"/>
          <w:color w:val="auto"/>
        </w:rPr>
      </w:pPr>
      <w:r>
        <w:rPr>
          <w:rFonts w:ascii="Times New Roman" w:cs="Times New Roman" w:eastAsia="Times New Roman" w:hAnsi="Times New Roman"/>
          <w:sz w:val="18"/>
          <w:szCs w:val="18"/>
          <w:color w:val="auto"/>
        </w:rPr>
        <w:t>Other comprehensive loss before reclassifications (see Note 1)</w:t>
      </w:r>
    </w:p>
    <w:p>
      <w:pPr>
        <w:spacing w:after="0" w:line="10" w:lineRule="exact"/>
        <w:rPr>
          <w:sz w:val="20"/>
          <w:szCs w:val="20"/>
          <w:color w:val="auto"/>
        </w:rPr>
      </w:pPr>
    </w:p>
    <w:p>
      <w:pPr>
        <w:ind w:left="180" w:right="1680" w:hanging="161"/>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(78)</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32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tcPr>
          <w:p>
            <w:pPr>
              <w:spacing w:after="0"/>
              <w:rPr>
                <w:sz w:val="24"/>
                <w:szCs w:val="24"/>
                <w:color w:val="auto"/>
              </w:rPr>
            </w:pP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(79)</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418"/>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-616585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132320" cy="266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recognized $87 million and $88 million of share-based compensation expense during the three months ended September 30, 2025 and 2024, respectively, and $302 million and $273 million of share-based compensation during the nine months ended September 30, 2025 and 2024, respectively. The Company’s share-based compensation awards are typically granted in the first quarter of the year; however, grants may also occur throughout the year. At September 30, 2025, the total remaining unrecognized compensation cost for restricted stock units and awards and performance share units, net of estimated forfeitures, of $452 million is expected to be recognized over a weighted-average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nine months ended September 30, 2025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227.11</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September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nine months ended September 30, 2025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 (In millions)</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September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exercisable - September 30,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7"/>
                <w:szCs w:val="17"/>
                <w:color w:val="auto"/>
              </w:rPr>
            </w:pPr>
          </w:p>
        </w:tc>
        <w:tc>
          <w:tcPr>
            <w:tcW w:w="70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100" w:type="dxa"/>
            <w:vAlign w:val="bottom"/>
            <w:tcBorders>
              <w:bottom w:val="single" w:sz="8" w:color="auto"/>
            </w:tcBorders>
          </w:tcPr>
          <w:p>
            <w:pPr>
              <w:spacing w:after="0"/>
              <w:rPr>
                <w:sz w:val="20"/>
                <w:szCs w:val="20"/>
                <w:color w:val="auto"/>
              </w:rPr>
            </w:pPr>
          </w:p>
        </w:tc>
      </w:tr>
      <w:tr>
        <w:trPr>
          <w:trHeight w:val="183"/>
        </w:trPr>
        <w:tc>
          <w:tcPr>
            <w:tcW w:w="414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448</w:t>
            </w:r>
          </w:p>
        </w:tc>
      </w:tr>
      <w:tr>
        <w:trPr>
          <w:trHeight w:val="234"/>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bl>
    <w:p>
      <w:pPr>
        <w:spacing w:after="0" w:line="2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income (loss) from investments in unconsolidated affiliates was 17.9% and 5.8% for the three months ended September 30, 2025 and 2024, and 18.4% and 13.5% for the nine months ended September 30, 2025 and 2024, respectively. The effective income tax rate for each of the nine months ended September 30, 2025 and 2024 included discrete tax benefits from equity compensation, resulting in a lower effective income tax rate compared to the statutory income tax rate. The effective income tax rate for the three and nine months ended September 30, 2024 included a deferred tax benefit of $142 million recorded within the income tax provision associated with a non-cash impairment charge of $570 million recorded within income (loss) from investments in unconsolidated affiliates.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provisions under the Inflation Reduction Act, the Company purchased transferable federal tax credits from various counterparties. Such federal tax credits were purchased at negotiated discounts, resulting in an income tax benefit during both the nine months ended September 30, 2025 and 2024.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 at September 30, 2025 and December 31, 2024.</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4, 2025, the U.S. enacted tax legislation referred to as the One Big Beautiful Bill Act (the “Act”). The Act includes various provisions, such as the permanent extension of certain expiring provisions of the Tax Cuts and Jobs Act, modifications to the international tax framework and the restoration of favorable tax treatment for certain business provisions. The Act contains multiple effective dates between 2025 and 2027. Provisions of the Act relevant to the Company are effective beginning in 2026. The Company is currently assessing the impact that these provisions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$82 million at September 30, 2025. The Company believes it is reasonably possible that the liability for unrecognized tax benefits may decrease by up to $6 million over the next twelve months as a result of possible closure of tax audits, audit settlements, and the lapse of the statutes of limitations in various jurisdictions.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U.S. federal income tax returns for 2023 and 2024, and tax returns in certain states and foreign jurisdictions for 2017 through 2024,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4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5"/>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Borders>
              <w:top w:val="single" w:sz="8" w:color="auto"/>
            </w:tcBorders>
          </w:tcPr>
          <w:p>
            <w:pPr>
              <w:ind w:left="38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8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-7620</wp:posOffset>
            </wp:positionV>
            <wp:extent cx="705485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54850" cy="26543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ind w:left="240" w:hanging="161"/>
        <w:spacing w:after="0" w:line="226"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 per share - basic</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5485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54850" cy="265430"/>
                    </a:xfrm>
                    <a:prstGeom prst="rect">
                      <a:avLst/>
                    </a:prstGeom>
                    <a:noFill/>
                  </pic:spPr>
                </pic:pic>
              </a:graphicData>
            </a:graphic>
          </wp:anchor>
        </w:drawing>
      </w:r>
    </w:p>
    <w:p>
      <w:pPr>
        <w:spacing w:after="0" w:line="7" w:lineRule="exact"/>
        <w:rPr>
          <w:sz w:val="20"/>
          <w:szCs w:val="20"/>
          <w:color w:val="auto"/>
        </w:rPr>
      </w:pPr>
    </w:p>
    <w:p>
      <w:pPr>
        <w:ind w:left="240" w:hanging="161"/>
        <w:spacing w:after="0" w:line="234"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 per share - diluted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34"/>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72"/>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160"/>
            <w:col w:w="4860"/>
          </w:cols>
          <w:pgMar w:left="320" w:top="121" w:right="359" w:bottom="1440" w:gutter="0" w:footer="0" w:header="0"/>
          <w:type w:val="continuous"/>
        </w:sectPr>
      </w:pPr>
    </w:p>
    <w:p>
      <w:pPr>
        <w:spacing w:after="0" w:line="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restricted stock units for 1.3 million and 956 thousand shares, respectively, were excluded from the calculation of weighted-average outstanding shares - diluted because their impact was anti-dilutive. For both the three and nine months ended September 30, 2024, restricted stock units excluded from the calculation of weighted-average outstanding shares - diluted were not significant.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tcBorders>
              <w:bottom w:val="single" w:sz="8" w:color="auto"/>
            </w:tcBorders>
          </w:tcPr>
          <w:p>
            <w:pPr>
              <w:spacing w:after="0"/>
              <w:rPr>
                <w:sz w:val="20"/>
                <w:szCs w:val="20"/>
                <w:color w:val="auto"/>
              </w:rPr>
            </w:pPr>
          </w:p>
        </w:tc>
      </w:tr>
      <w:tr>
        <w:trPr>
          <w:trHeight w:val="185"/>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July 24, 2025, a federal securities law complaint was filed by the City of Hollywood Police Officers’ Retirement System against the Company and Messrs. Bisignano, Lyons, Hau, and Best in the United States District Court for the Southern District of New York. The complaint is brought on behalf of a putative class of purchasers of Company securities from July 22, 2024 to July 24, 2025 and alleges violations of Section 10(b) of the Securities Exchange Act of 1934 (the “Exchange Act”), and Rule 10b-5 thereunder, and Section 20(a) of the Exchange Act. The complaint alleges, among other things, that certain statements made by the Company about Clover’s growth were false and/or misleading and led to a decline in the Company’s stock price over the purported class period. The defendants have not yet answered or otherwise responded to the complaint in this action. We intend to vigorously defend this case. We cannot predict with any degree of certainty the outcome of the suit or determine the extent of any potential liability or damages. The Company has also received demands on the board of directors from purported Company shareholders that the Company pursue certain litigation against certain of its current and former directors and officers alleging, among other things, supposed breaches of duty based on the factual allegations made in the securities class action complaint. Such demands may precede derivative actions which name the Company as a nominal defendant. To date, no such litigation has been filed and the Company cannot predict with any degree of certainty whether derivative actions will be filed in the future.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$38 million and $43 million at September 30, 2025 and December 31, 2024, respectively, related to its various legal proceedings. The Company’s estimate of the possible range of exposure for various legal proceedings in excess of amounts accrued is $0 million to approximately $120 million. In the opinion of management, the liabilities, if any, which may ultimately result from such legal proceedings are not expected to have a material adverse effect on the Company’s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$1.4 billion and $1.3 billion at September 30, 2025 and December 31,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A portion of the Company’s business is conducted through merchant alliances between the Company and certain financial institutions (see Note 6).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$21 million and $36 million for the three months ended September 30, 2025 and 2024, respectively, and $72 million and $113 million for the nine months ended September 30, 2025 and 2024,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$7 million and $21 million of amounts due from unconsolidated merchant alliances included within trade accounts receivable, net in the Company’s consolidated balance sheets at September 30, 2025 and December 31, 2024,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 lines (operating segments) aggregated within the Merchant segment consist of the following:</w:t>
      </w:r>
    </w:p>
    <w:p>
      <w:pPr>
        <w:spacing w:after="0" w:line="122" w:lineRule="exact"/>
        <w:rPr>
          <w:sz w:val="20"/>
          <w:szCs w:val="20"/>
          <w:color w:val="auto"/>
        </w:rPr>
      </w:pPr>
    </w:p>
    <w:p>
      <w:pPr>
        <w:ind w:left="660" w:right="240" w:hanging="328"/>
        <w:spacing w:after="0" w:line="23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management platform for small business clients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12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the Company’s integrated omnichannel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50"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spacing w:after="0" w:line="66" w:lineRule="exact"/>
        <w:rPr>
          <w:sz w:val="20"/>
          <w:szCs w:val="20"/>
          <w:color w:val="auto"/>
        </w:rPr>
      </w:pPr>
    </w:p>
    <w:p>
      <w:pPr>
        <w:ind w:left="660" w:right="16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who is also the Company’s CODM, assesses segment performance and makes strategic decisions on the allocation of resources. Additionally, the Company’s Chief Executive Officer provides oversight on business leadership and corporate strategy to the executive leadership team, who manages the day to day operations of the various business lines.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CODM uses reportable segment operating income to evaluate segment performance and allocate resources, primarily during the annual budget and forecasting processes. The CODM regularly reviews variances between forecasted and actual results in assessing earnings, operational efficiency and growth performance, and allocating resources including personnel and capital allocations, to each reportable segment. There are no intersegment revenues contained within the respective reportable segment revenues.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postage reimbursements.</w:t>
      </w:r>
    </w:p>
    <w:p>
      <w:pPr>
        <w:spacing w:after="0" w:line="10" w:lineRule="exact"/>
        <w:rPr>
          <w:rFonts w:ascii="Times New Roman" w:cs="Times New Roman" w:eastAsia="Times New Roman" w:hAnsi="Times New Roman"/>
          <w:sz w:val="21"/>
          <w:szCs w:val="21"/>
          <w:color w:val="auto"/>
          <w:vertAlign w:val="superscript"/>
        </w:rPr>
      </w:pPr>
    </w:p>
    <w:p>
      <w:pPr>
        <w:ind w:left="660" w:right="320" w:hanging="328"/>
        <w:spacing w:after="0" w:line="213"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compensation and benefit costs of Company employees, as well as expenses paid to third parties for consulting and temporary help, net of capitalized software costs.</w:t>
      </w:r>
    </w:p>
    <w:p>
      <w:pPr>
        <w:ind w:left="640" w:hanging="308"/>
        <w:spacing w:after="0" w:line="191"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 of goods sold, residual payments to channel partners and other reselling costs.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data processing, facility, and marketing costs that are directly charged to the reportable segments. Includes in the Merchant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right="200"/>
        <w:spacing w:after="0" w:line="260" w:lineRule="auto"/>
        <w:rPr>
          <w:sz w:val="20"/>
          <w:szCs w:val="20"/>
          <w:color w:val="auto"/>
        </w:rPr>
      </w:pPr>
      <w:r>
        <w:rPr>
          <w:rFonts w:ascii="Times New Roman" w:cs="Times New Roman" w:eastAsia="Times New Roman" w:hAnsi="Times New Roman"/>
          <w:sz w:val="16"/>
          <w:szCs w:val="16"/>
          <w:color w:val="auto"/>
        </w:rPr>
        <w:t>segment a gain of $89 million related to the distribution of certain merchant contracts for the redemption of a minority partner’s membership interest in the third quarter and first nine months of 2025 (see Note 11).</w:t>
      </w:r>
    </w:p>
    <w:p>
      <w:pPr>
        <w:spacing w:after="0" w:line="1" w:lineRule="exact"/>
        <w:rPr>
          <w:sz w:val="20"/>
          <w:szCs w:val="20"/>
          <w:color w:val="auto"/>
        </w:rPr>
      </w:pPr>
    </w:p>
    <w:p>
      <w:pPr>
        <w:ind w:left="660" w:right="300" w:hanging="328"/>
        <w:spacing w:after="0" w:line="220"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centrally-managed costs, including sales, technology and administrative expenses, that are allocated to the reportable segments from Corporate and Other and are considered in the CODM’s evaluation of segment performance.</w:t>
      </w:r>
    </w:p>
    <w:p>
      <w:pPr>
        <w:spacing w:after="0" w:line="1" w:lineRule="exact"/>
        <w:rPr>
          <w:rFonts w:ascii="Times New Roman" w:cs="Times New Roman" w:eastAsia="Times New Roman" w:hAnsi="Times New Roman"/>
          <w:sz w:val="21"/>
          <w:szCs w:val="21"/>
          <w:color w:val="auto"/>
          <w:vertAlign w:val="superscript"/>
        </w:rPr>
      </w:pPr>
    </w:p>
    <w:p>
      <w:pPr>
        <w:ind w:left="660" w:right="120" w:hanging="328"/>
        <w:spacing w:after="0" w:line="218"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acquisition-related intangible assets; costs associated with acquisition and divestiture activity; unallocated corporate expenses; and gains or losses on sales of businesses.</w:t>
      </w:r>
    </w:p>
    <w:p>
      <w:pPr>
        <w:spacing w:after="0" w:line="1" w:lineRule="exact"/>
        <w:rPr>
          <w:rFonts w:ascii="Times New Roman" w:cs="Times New Roman" w:eastAsia="Times New Roman" w:hAnsi="Times New Roman"/>
          <w:sz w:val="21"/>
          <w:szCs w:val="21"/>
          <w:color w:val="auto"/>
          <w:vertAlign w:val="superscript"/>
        </w:rPr>
      </w:pPr>
    </w:p>
    <w:p>
      <w:pPr>
        <w:ind w:left="660" w:right="180" w:hanging="328"/>
        <w:spacing w:after="0" w:line="222"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foreign currency transaction gains and losses, gains or losses from a sale or change in fair value of investments in certain equity securities, and amounts related to debt guarantee arrangements of certain equity method investments.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significant items include: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8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47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Merchant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Financial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 and other</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Merchant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340" w:hanging="328"/>
        <w:spacing w:after="0" w:line="225"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associated with commissions, residual buyouts and deferred conversion costs included within personnel expenses, direct costs and other operating expenses, respectively, in the segment operating results tables above.</w:t>
      </w:r>
    </w:p>
    <w:p>
      <w:pPr>
        <w:ind w:left="640" w:hanging="308"/>
        <w:spacing w:after="0" w:line="201" w:lineRule="auto"/>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amortization of acquisition-related intangible assets, such as customer relationships, software/technology and trade names.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evaluate the performance of or allocate resources to its reportable segments using asset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successfully implement the One Fiserv action plan; our ability to attract and retain key personnel; adverse impacts from currency exchange rates or currency controls; changes in corporate tax and interest rates; and other factors identified in “Risk Factors” in our Annual Report on Form 10-K for the year ended December 31, 2024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0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560" w:hanging="328"/>
        <w:spacing w:after="0" w:line="31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contains an analysis of our results of operations presented in the accompanying unaudited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income by comparing the results for the three and nine months ended September 30, 2025 to the comparable periods in 2024.</w:t>
      </w:r>
    </w:p>
    <w:p>
      <w:pPr>
        <w:spacing w:after="0" w:line="80" w:lineRule="exact"/>
        <w:rPr>
          <w:rFonts w:ascii="Times New Roman" w:cs="Times New Roman" w:eastAsia="Times New Roman" w:hAnsi="Times New Roman"/>
          <w:sz w:val="17"/>
          <w:szCs w:val="17"/>
          <w:color w:val="auto"/>
        </w:rPr>
      </w:pPr>
    </w:p>
    <w:p>
      <w:pPr>
        <w:ind w:left="660" w:right="36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Background</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corporate and public sector clients. We help clients achieve best-in-class results through a commitment to innovation and excellence in areas including account processing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move more than money, with a purpose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investing for organic growth through innovation. Our long-term focus is to meet our financial commitments; continue to build high-quality revenue; deepen client relationships with an emphasis on digital solutions and value-added services; deliver innovation and integration enabling differentiated value for our clients; and generate integration value, including cost and revenue synergies from acquisitions.</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businesses in our Merchant Solutions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POS devices; and pay-by-bank solutions. The business lines aggregated within the Merchant segment consist of the following:</w:t>
      </w:r>
    </w:p>
    <w:p>
      <w:pPr>
        <w:spacing w:after="0" w:line="122" w:lineRule="exact"/>
        <w:rPr>
          <w:sz w:val="20"/>
          <w:szCs w:val="20"/>
          <w:color w:val="auto"/>
        </w:rPr>
      </w:pPr>
    </w:p>
    <w:p>
      <w:pPr>
        <w:ind w:left="660" w:right="140" w:hanging="328"/>
        <w:spacing w:after="0" w:line="230"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(“ISV”),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management platform for small business clients</w:t>
      </w:r>
    </w:p>
    <w:p>
      <w:pPr>
        <w:spacing w:after="0" w:line="8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our integrated omnichannel operating system for enterprise clients</w:t>
      </w:r>
    </w:p>
    <w:p>
      <w:pPr>
        <w:spacing w:after="0" w:line="117"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our Merchant segment businesses through a variety of channels, including direct sales teams, strategic partnerships with agent sales forces, ISV’s, financial institutions and other strategic partners in the form of joint venture alliances, revenue sharing alliances and referral agreements.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Solutions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66" w:lineRule="exact"/>
        <w:rPr>
          <w:sz w:val="20"/>
          <w:szCs w:val="20"/>
          <w:color w:val="auto"/>
        </w:rPr>
      </w:pPr>
    </w:p>
    <w:p>
      <w:pPr>
        <w:ind w:left="660" w:right="14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and postage reimbursements.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Dispositions and Other Transactions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 following acquired businesses are included in our consolidated results from the respective dates of acquisition.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March 2, 2025, we acquired Payfare, Inc. (“Payfare”), a provider of program management solutions powering instant access to earnings and banking solutions for workforces. Payfare is included within the Financial segment and expands our embedded finance capabilities for large enterprises and financial institutions. On March 18, 2025, we acquired CCV Group B.V. (“CCV”), a supplier of POS payment solutions. CCV is included within the Merchant segment and expands our network of payment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solutions, enabling our ability to accelerate the deployment of our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POS and business management platform across Europe. On April 4, 2025, we acquired Pinch Payments NZ Limited (together with Zootive Pty Ltd, “Pinch Payments”), a payment facilitator. Pinch Payments is included within the Merchant segment and expands our flexible payment services for our partners and clients, and presence within the Asia-Pacific region. On June 4, 2025, we acquired Money Money Serviços Financeiros S.A. (“Money Money”), a provider of risk analysis and credit decisioning solutions. Money Money is included within the Merchant segment and expands our payment and financial service capabilities, enabling access to working capital and other payment solutions for small and medium-sized businesses. On September 4, 2025, we acquired CardFree Inc. (“CardFree”), an all-in-one platform delivering integrated order, payment and loyalty solutions for merchants. CardFree is included within the Merchant segment and further expands the capabilities of our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across the hospitality, restaurant and lodging industries. On September 25, 2025, we acquired the Smith Consulting Group, LLC business (“SCG”), an operational consulting service utilized by community banks and credit unions across the U.S. SCG is included within the Financial segment and supports our ability to provide consultative engagement to enhance community banks’ and credit unions’ strategic investments.</w:t>
      </w:r>
    </w:p>
    <w:p>
      <w:pPr>
        <w:spacing w:after="0" w:line="15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acquired these businesses for an aggregate purchase price, including deferred payments, of $397 million, net of $73 million of acquired cash and including earn-out provisions estimated at a fair value of $27 million.</w:t>
      </w:r>
    </w:p>
    <w:p>
      <w:pPr>
        <w:spacing w:after="0" w:line="10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September 26, 2025, we entered into definitive agreements to acquire StoneCastle Cash Management, LLC, INDX Processing, LLC and StoneCastle Trust Co. (collectively, “StoneCastle”). StoneCastle enables its network of depository institutions to easily access stable, cost-efficient deposit funding. StoneCastle will be included within the Financial segment and enables us to become a technology-enabled source of institutional deposits, helping financial institutions strengthen their balance sheets. This transaction is expected to close by the first quarter of 2026, subject to regulatory approval and other customary closing conditions. On October 1, 2025, we acquired a portion of The Toronto-Dominion Bank’s (“TD Bank”) merchant processing business in Canada. This business will be included within the Merchant segment and expands the footprint of our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In connection with this transaction, we signed a multi-year strategic managed services program agreement with TD Bank to utilize our technology,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within the TD Bank Merchant Solutions business. We expect to acquire these businesses for an aggregate purchase price of approximately $460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third quarter of 2024, Wells Fargo Bank, National Association (“Wells Fargo”) provided us with a notice of non-renewal for the Wells Fargo Merchant Services merchant alliance (“WFMS”), which was accounted for as an equity method investment. Upon the expiration of the joint venture on April 1, 2025, we received an initial cash payment of $453 million. Completion of the contractual valuation and separation process during the third quarter of 2025 did not result in a significant adjustment to the initial cash payment received. In connection with the non-renewal of WFMS, we entered into a multi-year agreement with Wells Fargo to provide processing for current and future merchant clients as well as other services to Wells Fargo’s merchant business.</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17, 2025, we acquired the remaining 19% ownership interest in ICICI Merchant Services Private Limited, a merchant acceptance business, for $22 million. We previously held a majority controlling financial interest in this subsidiary, which continues to be consolidated and reported within the Merchant segment. On September 5, 2025, we acquired the remaining 49.9% ownership interest, including cash held of $195 million, in AIB Merchant Services (“AIBMS”), a payments solution provider, for $420 million. We previously held a majority controlling financial interest in this subsidiary, which continues to be consolidated and reported within the Merchant segment.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Industry Trends</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now search, discover, compare, purchase and even install a new system through direct, digital-only experiences. This direct, digital-only channel is a source of new merchant acquisition opportunities, especially with respect to smaller merchants.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want. In addition, financial institutions are striving for a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We believe that our sizable and diverse client base, combined with our value-added software and services-led model, and our position as a leading provider of non-discretionary, recurring revenue-based products and services, gives us a solid foundation for growth.</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customers can use multiple solutions that span our merchant and financial institutions offerings. Our Merchant and Financial businesses put us at the intersection of commerce and banking, which allows these businesses to work together and create long-term growth opportunities for all parties.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Market Conditions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changing interest rates, inflation, disruptions in the global supply chain, changes in consumer spending, the effects of international hostilities, political conditions, regulations restricting trade or impacting our ability to offer products or services, and trade policies and tariffs, could have a material adverse effect on our business, results of operations and financial condition. A decline in personal consumption and consumer savings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interest rates and exchange rates for currencies other than the U.S. dollar, including the Euro, British Pound,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interest rate and foreign exchange rate environment and may enter into derivative instruments and utilize other non-derivative hedging instruments with creditworthy institutions in an effort to manage these risks.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 Fiserv Action Plan</w:t>
      </w:r>
    </w:p>
    <w:p>
      <w:pPr>
        <w:spacing w:after="0" w:line="17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In the third quarter of 2025, we launched a multi-year transformation program, which we refer to as the One Fiserv action plan, designed to prioritize and enhance client focus across five strategic pillars. The One Fiserv action plan is designed to center our investments in areas that build on Fiserv’s strengths, including: operating with a client-first mindset to win new enterprise clients and grow average revenue per client; building the pre-eminent small business operating platform through Clover</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creating differentiated, innovative platforms in finance and commerce, including embedded finance and stablecoin; delivering operational excellence enabled by artificial intelligence (“AI”); and employing disciplined capital allocation for the long-term. This action plan involves using emerging technology, including generative and agentic AI, to enhance our solutions, modernize our gateways and orchestration layers, facilitate embedded finance, and improve our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and accompanying notes have been prepared in accordance with accounting principles generally accepted in the United States of America, which require management to make estimates, judgments and assumptions that affect the reported amount of assets, liabilities, revenue and expenses. In our Annual Report on Form 10-K for the year ended December 31, 2024,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of businesses and may record purchase accounting adjustments during the measurement period, which may be up to one year from the acquisition date. Additionally, we review the carrying value of goodwill for impairment by comparing the estimated fair values of our reporting units to their respective carrying values.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non-cash impairment charges, net gain on sales and distribution of other assets, and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80" w:type="dxa"/>
            <w:vAlign w:val="bottom"/>
          </w:tcPr>
          <w:p>
            <w:pPr>
              <w:spacing w:after="0"/>
              <w:rPr>
                <w:sz w:val="18"/>
                <w:szCs w:val="18"/>
                <w:color w:val="auto"/>
              </w:rPr>
            </w:pPr>
          </w:p>
        </w:tc>
        <w:tc>
          <w:tcPr>
            <w:tcW w:w="202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gain on sales and distribution of other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Income (loss) from investments in unconsolidated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60" w:right="240" w:hanging="328"/>
        <w:spacing w:after="0" w:line="225"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8"/>
                <w:szCs w:val="18"/>
                <w:color w:val="auto"/>
              </w:rPr>
            </w:pPr>
          </w:p>
        </w:tc>
        <w:tc>
          <w:tcPr>
            <w:tcW w:w="204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on sales and distribution of other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w:t>
            </w: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300" w:hanging="328"/>
        <w:spacing w:after="0" w:line="232"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10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2,586</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 (decline)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(decline) percentage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 (decline)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growth (decline) percentage</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Operating margin growth (decline)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6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(50) bps</w:t>
            </w: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(490) 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 bps</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(decline) in operating margin.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8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7,602</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2,686</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Operating margin growth (decline)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6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(90) bps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bps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(decline) in operating margin.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revenue increased $48 million, or 1%, in the third quarter of 2025 compared to 2024, with 5% growth in our Merchant segment and 3% decline in our Financial segment. Total revenue increased $704 million, or 5%, in the first nine months of 2025 compared to 2024, with 7% growth in our Merchant segment and 3% growth in our Financial segment.</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in our Merchant segment increased $117 million, or 5%, in the third quarter of 2025 and increased $470 million, or 7%, in the first nine months of 2025 compared to 2024. Small Business contributed 5% to Merchant segment revenue growth in both the third quarter and first nine months of 2025, primarily driven by our Clover POS and business management platform, including increased payment volumes and the expansion of our merchant relationships through value-added services in both periods. Additionally, Enterprise contributed 1% to Merchant segment revenue growth in both the third quarter and first nine months of 2025, primarily driven by transaction growth, as well as an increase in data and analytics sales in both periods. A decrease in Processing’s revenue partially offset Merchant segment revenue growth in the third quarter of 2025.</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 in our Financial segment decreased $79 million, or 3%, in the third quarter of 2025 and increased $226 million, or 3%, in the first nine months of 2025 compared to 2024. A decrease in license and termination fee revenue of $49 million, primarily within Banking and Digital Payments, negatively impacted Financial segment revenue by 2% in the third quarter of 2025. The remaining decrease in the third quarter of 2025 was due to lower processing revenue within Digital Payments. The 3% increase in Financial segment revenue in the first nine months of 2025 was driven by an increase in data and analytics sales and license revenue within Digital Payments and Issuing.</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$10 million in the third quarter of 2025 and increased $8 million in the first nine months of 2025 compared to 2024, due to increased postage revenue in both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Total expenses increased $214 million, or 6%, in the third quarter of 2025 and increased $388 million, or 4%, in the first nine months of 2025 compared to 2024. Total expenses as a percentage of total revenue increased 340 basis points to 72.7% in the third quarter of 2025 and decreased 80 basis points to 71.5% in the first nine months of 2025 compared to 2024. Total expenses as a percentage of total revenue in the third quarter of 2025 were negatively impacted by higher residual payments to channel partners of approximately 150 basis points; higher data processing costs of approximately 150 basis points; and an increase in severance, acquisition and integration related expenses of approximately 70 basis points. Total expenses as a percentage of total revenue in the first nine months of 2025 were favorably impacted by a reduction in amortization of acquisition-related intangible assets of approximately 90 basis points, partially offset by higher residual payments to channel partners. Total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expenses as a percentage of total revenue in the third quarter and first nine months of 2025 were also favorably impacted by an $89 million gain related to the distribution of certain merchant contracts for the redemption of a minority partner’s membership interest.</w:t>
      </w:r>
    </w:p>
    <w:p>
      <w:pPr>
        <w:spacing w:after="0" w:line="10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increased to 34.8% in the third quarter of 2025 compared to 31.8% in the third quarter of 2024 and increased to 34.0% in the first nine months of 2025 compared to 32.7% in the first nine months of 2024. Cost of processing and services as a percentage of processing and services revenue in both the third quarter and first nine months of 2025 was impacted by a lower level of processing revenue growth and higher data processing costs.</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Cost of product as a percentage of product revenue increased to 68.6% in the third quarter of 2025 compared to 67.6% in the third quarter of 2024 and decreased to 62.6% in the first nine months of 2025 compared to 69.0% in the first nine months of 2024. Cost of product as a percentage of product revenue was relatively consistent in the third quarter of 2025 compared to the third quarter of 2024, and decreased in the first nine months of 2025 due to an increase in high margin data and analytics sales and license revenue.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increased to 33.5% in the third quarter of 2025 compared to 30.8% in the third quarter of 2024 and decreased to 32.4% in the first nine months of 2025 compared to 32.9% in the first nine months of 2024. Selling, general and administrative expenses as a percentage of total revenue in the third quarter of 2025 was primarily impacted by higher residual payments to channel partners of approximately 150 basis points and an increase in severance, acquisition and integration related expenses of approximately 70 basis points, along with various other slight increases. Selling, general and administrative expenses as a percentage of total revenue in the first nine months of 2025 was impacted by a reduction in amortization of acquisition related-intangible assets of approximately 90 basis points, partially offset by higher residual payments to channel partners.</w:t>
      </w:r>
    </w:p>
    <w:p>
      <w:pPr>
        <w:spacing w:after="0" w:line="13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net gain on sales and distribution of other assets in the third quarter and first nine months of 2025 includes an $89 million gain related to the distribution of certain merchant contracts for the redemption of a minority partner’s membership interest.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Total operating income decreased $166 million, or 10%, in the third quarter of 2025 and increased $316 million, or 8%, in the first nine months of 2025 compared to 2024. Total operating margin decreased 340 basis points to 27.3% in the third quarter of 2025 and increased 80 basis points to 28.5% in the first nine months of 2025 compared to 2024.</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Operating income in our Merchant segment increased $31 million, or 3%, in the third quarter of 2025 and increased $104 million, or 4%, in the first nine months of 2025 compared to 2024. Operating margin decreased 50 basis points to 37.2% in the third quarter of 2025 and decreased 90 basis points to</w:t>
      </w:r>
    </w:p>
    <w:p>
      <w:pPr>
        <w:ind w:right="380"/>
        <w:spacing w:after="0" w:line="253" w:lineRule="auto"/>
        <w:rPr>
          <w:sz w:val="20"/>
          <w:szCs w:val="20"/>
          <w:color w:val="auto"/>
        </w:rPr>
      </w:pPr>
      <w:r>
        <w:rPr>
          <w:rFonts w:ascii="Times New Roman" w:cs="Times New Roman" w:eastAsia="Times New Roman" w:hAnsi="Times New Roman"/>
          <w:sz w:val="18"/>
          <w:szCs w:val="18"/>
          <w:color w:val="auto"/>
        </w:rPr>
        <w:t>35.3% in the first nine months of 2025 compared to 2024. Operating margin decreased in our Merchant segment in both the third quarter and first nine months of 2025 primarily due to higher residual payments to channel partners and data processing costs. Operating income in the Merchant segment benefited from a gain of $89 million in the third quarter and first nine months of 2025 related to the distribution of certain merchant contracts for the redemption of a minority partner’s membership interest.</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in our Financial segment decreased $152 million, or 13%, in the third quarter of 2025 and increased $139 million, or 4%, in the first nine months of 2025 compared to 2024. Operating margin decreased 490 basis points to 42.5% in the third quarter of 2025 and increased 50 basis points to</w:t>
      </w:r>
    </w:p>
    <w:p>
      <w:pPr>
        <w:ind w:right="120"/>
        <w:spacing w:after="0" w:line="253" w:lineRule="auto"/>
        <w:rPr>
          <w:sz w:val="20"/>
          <w:szCs w:val="20"/>
          <w:color w:val="auto"/>
        </w:rPr>
      </w:pPr>
      <w:r>
        <w:rPr>
          <w:rFonts w:ascii="Times New Roman" w:cs="Times New Roman" w:eastAsia="Times New Roman" w:hAnsi="Times New Roman"/>
          <w:sz w:val="18"/>
          <w:szCs w:val="18"/>
          <w:color w:val="auto"/>
        </w:rPr>
        <w:t>46.3% in the first nine months of 2025 compared to 2024. The decreases in operating income and operating margin in our Financial segment in the third quarter of 2025 were primarily due to a decrease in high margin license revenue, along with higher data processing costs. Operating income and operating margin growth in our Financial segment in the first nine months of 2025 were primarily due to an increase in high margin data and analytics sales and license revenue.</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operating loss in Corporate and Other increased $45 million in the third quarter of 2025 and decreased $73 million in the first nine months of 2025 compared to 2024. The operating loss in the third quarter of 2025 was primarily impacted by increased severance, acquisition and integration related expenses of $37 million. The operating loss in the first nine months of 2025 was primarily impacted by a reduction in amortization of acquisition-related intangible assets of $91 million.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Interest expense, net increased $96 million, or 29%, in the third quarter of 2025 compared to 2024 and increased $246 million, or 28%, in the first nine months of 2025 compared to 2024 due to debt financing activities, including our public offering and issuances of $2.0 billion, €2.175 billion and $1.75 billion of senior notes in August 2025, May 2025 and August 2024, respectively, as well as higher outstanding borrowings under our U.S. dollar commercial paper program. Interest expense, net was also impacted by an increase in borrowing costs from higher interest rates in Argentina in the third quarter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expense, net increased $45 million in the third quarter of 2025 and increased $90 million in the first nine months of 2025 compared to 2024. Other expense, net includes the remeasurement of monetary assets and liabilities for subsidiaries located in highly inflationary economies, gains or losses from a sale or change in fair value of investments in certain equity securities, and amounts related to debt guarantee arrangements of certain joint ventures. The remeasurement of monetary assets and liabilities in highly inflationary economies, including Argentina, resulted in foreign currency exchange losses of $53 million and $22 million for the three months ended September 30, 2025 and 2024, and $117 million and $75 million for the nine months ended September 30, 2025 and 2024, respectively. Other expense, net in the third quarter and first nine months of 2024 included $2 million and $29 million, respectively, related to gains on the sale and remeasurement of certain equity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income (loss) from investments in unconsolidated affiliates was 17.9% and 5.8% for the three months ended September 30, 2025 and 2024, and 18.4% and 13.5% for the nine months ended September 30, 2025 and 2024, respectively. The effective income tax rate for each of the nine months ended September 30, 2025 and 2024 included discrete tax benefits from equity compensation, resulting in a lower effective income tax rate compared to the statutory income tax rate. The effective income tax rate for the three and nine months ended September 30, 2024 included a deferred tax benefit of $142 million recorded within the income tax provision associated with a non-cash impairment charge of $570 million recorded within income (loss) from investments in unconsolidated affiliates.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Investments in Unconsolidated Affiliates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share of income (loss) from unconsolidated affiliates accounted for using the equity method is reported as income (loss) from investments in unconsolidated affiliates, and the related tax benefit is reported within the income tax provision in the consolidated statements of income. Income (loss) from investments in unconsolidated affiliates, including non-cash impairment charges and acquired intangible asset amortization from valuations in purchase accounting, was $8 million and $(626) million in the third quarter of 2025 and 2024, and $(16) million and $(642) million in the first nine months of 2025 and 2024, respectively. The third quarter and first nine months of 2024 included a $570 million non-cash impairment related to the Wells Fargo Merchant Services merchant alliance.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 relates to the minority partners’ share of the net income in our consolidated subsidiaries. Net income attributable to noncontrolling interests, including acquired intangible asset amortization from valuations in purchase accounting, was $7 million in both the third quarter of 2025 and 2024, and $8 million and $39 million in the first nine months of 2025 and 2024, respectively. Effective June 2024, we mutually agreed to terminate a joint venture agreement with a merchant alliance joint venture minority partner, resulting in lower net income attributable to noncontrolling interests for the first nine months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$1.46 and $0.98 in the third quarter of 2025 and 2024, and $4.83 and $3.74 in the first nine months of 2025 and 2024, respectively. In addition to the impacts to net income attributable to Fiserv, Inc. described above, our diluted weighted average outstanding shares were reduced by 6% in both the third quarter and first nine months of 2025 compared to the third quarter and first nine months of 2024, due to our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 and other financing obligations; and (iii) fund capital expenditures and operating lease payments. We believe these needs will be satisfied in both the short and long term</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using cash flow generated by our operations, along with our cash and cash equivalents of $1.1 billion, proceeds from the issuance of U.S. dollar and Euro commercial paper, and available capacity under our revolving credit facility of $3.4 billion (net of $4.6 billion of capacity designated for outstanding borrowings under our commercial paper programs, senior notes due within the next twelve months and letters of credit) at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60" w:type="dxa"/>
            <w:vAlign w:val="bottom"/>
          </w:tcPr>
          <w:p>
            <w:pPr>
              <w:spacing w:after="0"/>
              <w:rPr>
                <w:sz w:val="21"/>
                <w:szCs w:val="21"/>
                <w:color w:val="auto"/>
              </w:rPr>
            </w:pPr>
          </w:p>
        </w:tc>
        <w:tc>
          <w:tcPr>
            <w:tcW w:w="26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sales and distribution of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w:t>
            </w:r>
          </w:p>
        </w:tc>
        <w:tc>
          <w:tcPr>
            <w:tcW w:w="16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cash flow was $4.1 billion in the first nine months of 2025, a decrease of 7% compared with $4.4 billion in the first nine months of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attributed to lower cash conversion on profitability.</w:t>
      </w:r>
    </w:p>
    <w:p>
      <w:pPr>
        <w:spacing w:after="0" w:line="15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merchant cash advances, share repurchases, acquisitions and to repay debt rather than to pay dividends. Net merchant cash advances, primarily associated with our operations in Latin America, were $614 million during the first nine months of 2025. These cash advances are funded through a combination of operating cash and various short-term lines of credit. Our capital expenditures were approximately 8% of our total revenue for both the first nine months of 2025 and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repurchased 29.1 million shares of our common stock for $5.4 billion and 27.8 million shares of our common stock for $4.3 billion during the first nine months of 2025 and 2024, respectively. On February 19, 2025, our board of directors authorized the purchase of up to 60.0 million of our common stock. As of September 30, 2025, we had approximately 48.9 million shares remaining under our existing share repurchase authorization. Shares repurchased are generally held for issuance in connection with our equity plans.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acquired Payfare, CCV, Pinch Payments, Money Money, CardFree, and SCG in the first nine months of 2025 for an aggregate purchase price, including deferred payments, of $397 million, net of $73 million of acquired cash and including earn-out provisions estimated at a fair value of $27 million. We funded these acquisitions by utilizing a combination of available cash and commercial paper. The results of operations for these acquired businesses are included in our consolidated results from the respective dates of acquisition.</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2025, we entered into definitive agreements to acquire StoneCastle, which transaction is expected to close by the first quarter of 2026, subject to regulatory approval and other customary closing conditions. In October 2025, we acquired a portion of TD Bank’s merchant processing business in Canada. We expect to acquire these businesses for an aggregate purchase price of approximately $460 million. We funded the TD Bank transaction and intend to fund the acquisition of StoneCastle by utilizing a combination of available cash and commercial paper.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third quarter of 2024, Wells Fargo provided us with a notice of non-renewal for WFMS. Upon the expiration of the joint venture in April 2025, we received an initial cash payment of $453 million. Completion of the contractual valuation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process during the third quarter of 2025 did not result in a significant adjustment to the initial cash payment received.</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2025, we acquired the remaining 19% ownership interest in ICICI Merchant Services Private Limited for $22 million. We previously held a majority controlling financial interest in this consolidated subsidiary and funded this transaction with available cash. In September 2025, we acquired the remaining 49.9% ownership interest, including cash held of $195 million, in AIBMS for $420 million. We previously held a majority controlling financial interest in this consolidated subsidiary and funded this transaction utilizing a combination of available cash and commercial paper.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49"/>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9"/>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0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4.550% senior notes due February 2031</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2025, we completed the public offering and issuance of $2.0 billion of senior notes, comprised of $1.0 billion aggregate principal amount of 4.550% senior notes due in February 2031 and $1.0 billion aggregate principal amount of 5.250% senior notes due in August 2035. We used the net proceeds from this senior notes offering for general corporate purposes, including the repayment of a portion of our commercial paper notes and for share repurchases.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Fiserv Funding Unlimited Company, an indirect wholly owned subsidiary of Fiserv, Inc., completed the public offering and issuance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€2.175 billion of senior notes, comprised of €750 million aggregate principal amount of 2.875% senior notes due in June 2028 (the “2028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€775 million aggregate principal amount of 3.500% senior notes due in June 2032 (the “2032 notes”) and €650 million aggregate principal amount of</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4.000% senior notes due in June 2036 (the “2036 notes”). Fiserv, Inc. has fully and unconditionally guaranteed these notes on a senior unsecured basis. We used the net proceeds from this senior notes offering for general corporate purposes, including the repayment of a portion of our commercial paper notes, the 3.850% senior notes due in June 2025 and 2.250% senior notes due in July 2025.</w:t>
      </w:r>
    </w:p>
    <w:p>
      <w:pPr>
        <w:spacing w:after="0" w:line="13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we completed the public offering and issuance of $1.75 billion of senior notes, comprised of $850 million aggregate principal amount of 4.750% senior notes due in March 2030 and $900 million aggregate principal amount of 5.150% senior notes due in August 2034. We used the net proceeds from this senior notes offering for general corporate purposes, including the repayment of a portion of our commercial paper notes and for share repurchases.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 used the net proceeds from this senior notes offering for general corporate purposes, including the repayment of a portion of our commercial paper notes and for share repurchases, and in July 2024, the repayment of a portion of our 2.750% senior notes.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September 30, 2025, our debt consisted primarily of $24.9 billion of fixed-rate senior notes and $2.5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September 30, 2025, the 3.200% senior notes due July 2026 were classified in the consolidated balance sheet as long-term, as we have the ability to refinance such debt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September 30, 2025: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0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36.887%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4.301%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2.135%</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11.800%</w:t>
            </w: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our foreign lines of credit and other borrowing arrangements by country at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 Interest</w:t>
            </w:r>
          </w:p>
        </w:tc>
      </w:tr>
      <w:tr>
        <w:trPr>
          <w:trHeight w:val="241"/>
        </w:trPr>
        <w:tc>
          <w:tcPr>
            <w:tcW w:w="6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55.552 %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15.603 %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 and Other</w:t>
            </w:r>
          </w:p>
        </w:tc>
        <w:tc>
          <w:tcPr>
            <w:tcW w:w="3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9.152 %</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36.887 %</w:t>
            </w:r>
          </w:p>
        </w:tc>
      </w:tr>
      <w:tr>
        <w:trPr>
          <w:trHeight w:val="20"/>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merchant cash advances, including our Clover Capital program and advanced funding of settlement activity, during the first nine months of 2025 were $614 million. We offer advanced funding of settlement activity associated with operations in Latin America by utilizing local operating cash and various short-term lines of credit. We collect a portion of the corresponding receivables from card issuers over several months. Therefore, in the event we are unable to continue to borrow in the Latin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America overnight markets, we may fund future advances with our consolidated cash and cash equivalents and available capacity under our revolving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August 2025, we entered into a new senior unsecured multicurrency revolving credit facility with substantially the same syndicate of banks that were lenders under our prior revolving credit facility, which we voluntarily terminated and replaced. The new credit facility matures in August 2030 and provides for a maximum aggregate principal amount of availability of $8.0 billion. Borrowings under the credit facility bear interest at a variable base rate, determined by the term and currency of the borrowing, plus a specified margin based on our long-term debt rating. There were no outstanding borrowings under the revolving credit facility at September 30, 2025. We are required to pay a facility fee based on the aggregate commitments in effect under the credit agreement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 and Compliance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2025,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Guarantees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variable-rate term loan facilities with aggregate outstanding borrowings of $404 million in senior unsecured debt at September 30, 2025 and variable-rate revolving credit facilities with an aggregate borrowing capacity of $83 million with a syndicate of banks, which mature in April 2027. There were $21 million of aggregate outstanding borrowings on the revolving credit facilities at September 30, 2025. We have guaranteed the debt of the Lending Joint Ventures. We maintained a liability of $14 million at September 30, 2025 for the estimated fair value of our non-contingent obligations to stand ready to perform over the term of the guarantee arrangements. Such guarantees will be amortized in future periods over the contractual term of the debt. In addition, we maintained a contingent liability of $8 million at September 30, 2025,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Guarantor Information</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Fiserv, Inc. has fully, unconditionally and solely guaranteed on a senior unsecured basis the 2028 notes, 2032 notes and 2036 notes (the “Guaranteed Notes”) issued by Fiserv Funding Unlimited Company (the “Issuer”), an indirect wholly owned subsidiary of Fiserv, Inc. No other subsidiary of Fiserv, Inc. or the Issuer has guaranteed the Guaranteed Notes. The Guaranteed Notes are the Issuer’s unsecured senior obligations and rank equally with other unsecured senior indebtedness of the Issuer from time to time outstanding. The guarantees of Fiserv, Inc. are unsecured senior obligations of Fiserv, Inc. and rank equally with other unsecured senior indebtedness of Fiserv, Inc. from time to time outstanding.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790"/>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Available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40" w:type="dxa"/>
            <w:vAlign w:val="bottom"/>
          </w:tcPr>
          <w:p>
            <w:pPr>
              <w:spacing w:after="0"/>
              <w:rPr>
                <w:sz w:val="19"/>
                <w:szCs w:val="19"/>
                <w:color w:val="auto"/>
              </w:rPr>
            </w:pPr>
          </w:p>
        </w:tc>
        <w:tc>
          <w:tcPr>
            <w:tcW w:w="692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60" w:hanging="328"/>
        <w:spacing w:after="0" w:line="225"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2025, available cash includes $252 million of cash related to AIBMS due to our acquisition of the remaining 49.9% ownership interest in the third quarter of 2025, which was previously classified as unavailable.</w:t>
      </w:r>
    </w:p>
    <w:p>
      <w:pPr>
        <w:spacing w:after="0" w:line="33" w:lineRule="exact"/>
        <w:rPr>
          <w:rFonts w:ascii="Times New Roman" w:cs="Times New Roman" w:eastAsia="Times New Roman" w:hAnsi="Times New Roman"/>
          <w:sz w:val="21"/>
          <w:szCs w:val="21"/>
          <w:color w:val="auto"/>
          <w:vertAlign w:val="superscript"/>
        </w:rPr>
      </w:pPr>
    </w:p>
    <w:p>
      <w:pPr>
        <w:ind w:left="660" w:right="40" w:hanging="328"/>
        <w:spacing w:after="0" w:line="232"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approved by the board of directors of the relevant entity, as well as cash held by other entities that are subject to foreign exchange controls in certain countries or regulatory capital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arises from our international operations to the extent they are conducted in local currency. The major currencies to which our revenues are exposed are the Argentine Peso, Brazilian Real, British Pound, Euro and Indian Rupee. Changes in the value of underlying monetary assets and liabilities of our non-U.S. dollar-denominated foreign investments and foreign currency transactions in highly inflationary economies may result in foreign currency exchange losses.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In April 2025, the Argentine government announced economic policy changes, including the removal of certain currency controls, resulting in a significant devaluation of the Argentine Peso. Additionally, the Argentine Peso experienced significant volatility during the third quarter of 2025 due to the recent economic landscape in Argentina. The remeasurement of monetary assets and liabilities in highly inflationary economies, including Argentina, resulted in foreign currency exchange losses of $53 million and $117 million for the three and nine months ended September 30, 2025, respectively, which is included within other expense, net in the consolidated statements of income.</w:t>
      </w:r>
    </w:p>
    <w:p>
      <w:pPr>
        <w:spacing w:after="0" w:line="1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2024. There were no significant changes to our quantitative and qualitative analyses about market risk during the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effectiveness of our disclosure controls and procedures (as defined in Rules 13a-15(e) and 15d-15(e) under the Exchange Act). Based on this evaluation, our chief executive officer and chief financial officer concluded that our disclosure controls and procedures were effective as of September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September 30, 2025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information set forth in Note 18. Commitments and Contingencies – Litigation Matters, which is incorporated by reference in response to this item.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September 30,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3,354,088</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52,752,891</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1-31,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3,823,957</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48,928,934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48,928,934</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7,178,045</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80" w:hanging="328"/>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19, 2025, our board of directors authorized the purchase of up to 60.0 million shares of our common stock. This authorization does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520" w:firstLine="8"/>
        <w:spacing w:after="0" w:line="282"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during the three months ended September 30, 2025, none of the Company’s directors or Section 16 officers adopted or terminated a “Rule 10b5-1 trading arrangement” or “non-Rule 10b5-1 trading arrangement,” each as defined in Item 408(a) of Regulation S-K.</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August 20, 2025, Adam L. Rosman, Chief Administrative Officer and Chief Legal Officer of the Company, terminated a Rule 10b5-1 trading arrangement that he adopted on November 11, 2024 for the sale of up to 17,906 shares of the Company’s common stock. The trading arrangement was intended to satisfy the affirmative defense conditions of Exchange Act Rule 10b5-1(c) and was scheduled to be effective until February 27,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60" w:type="dxa"/>
            <w:vAlign w:val="bottom"/>
            <w:gridSpan w:val="14"/>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34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34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tcPr>
          <w:p>
            <w:pPr>
              <w:spacing w:after="0"/>
              <w:rPr>
                <w:sz w:val="22"/>
                <w:szCs w:val="22"/>
                <w:color w:val="auto"/>
              </w:rPr>
            </w:pPr>
          </w:p>
        </w:tc>
        <w:tc>
          <w:tcPr>
            <w:tcW w:w="9340" w:type="dxa"/>
            <w:vAlign w:val="bottom"/>
            <w:gridSpan w:val="1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Thirty-Seventh Supplemental Indenture, dated as of August 11, 2025, between Fiserv, Inc. and U.S. Bank Trust Company,</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7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National Association (including Form of 4.550% Senior Notes due 2031) (incorporated by reference to Exhibit 4.1 to the</w:t>
              </w:r>
            </w:hyperlink>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Company’s Current Report on Form 8-K filed on August 11, 2025).</w:t>
              </w:r>
            </w:hyperlink>
          </w:p>
        </w:tc>
        <w:tc>
          <w:tcPr>
            <w:tcW w:w="3840" w:type="dxa"/>
            <w:vAlign w:val="bottom"/>
            <w:tcBorders>
              <w:top w:val="single" w:sz="8" w:color="0000FF"/>
            </w:tcBorders>
            <w:gridSpan w:val="5"/>
          </w:tcPr>
          <w:p>
            <w:pPr>
              <w:spacing w:after="0"/>
              <w:rPr>
                <w:sz w:val="14"/>
                <w:szCs w:val="14"/>
                <w:color w:val="auto"/>
              </w:rPr>
            </w:pPr>
          </w:p>
        </w:tc>
        <w:tc>
          <w:tcPr>
            <w:tcW w:w="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tcPr>
          <w:p>
            <w:pPr>
              <w:spacing w:after="0"/>
              <w:rPr>
                <w:sz w:val="22"/>
                <w:szCs w:val="22"/>
                <w:color w:val="auto"/>
              </w:rPr>
            </w:pPr>
          </w:p>
        </w:tc>
        <w:tc>
          <w:tcPr>
            <w:tcW w:w="9340" w:type="dxa"/>
            <w:vAlign w:val="bottom"/>
            <w:gridSpan w:val="18"/>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Thirty-Eighth Supplemental Indenture, dated as of August 11, 2025, between Fiserv, Inc. and U.S. Bank Trust Company,</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National Association (including Form of 5.250% Senior Notes due 2035) (incorporated by reference to Exhibit 4.2 to the</w:t>
              </w:r>
            </w:hyperlink>
          </w:p>
        </w:tc>
        <w:tc>
          <w:tcPr>
            <w:tcW w:w="20" w:type="dxa"/>
            <w:vAlign w:val="bottom"/>
            <w:tcBorders>
              <w:bottom w:val="single" w:sz="8" w:color="0000FF"/>
            </w:tcBorders>
          </w:tcPr>
          <w:p>
            <w:pPr>
              <w:spacing w:after="0"/>
              <w:rPr>
                <w:sz w:val="13"/>
                <w:szCs w:val="13"/>
                <w:color w:val="auto"/>
              </w:rPr>
            </w:pPr>
          </w:p>
        </w:tc>
        <w:tc>
          <w:tcPr>
            <w:tcW w:w="3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700" w:type="dxa"/>
            <w:vAlign w:val="bottom"/>
            <w:gridSpan w:val="10"/>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Company’s Current Report on Form 8-K filed on August 11, 2025)</w:t>
              </w:r>
              <w:r>
                <w:rPr>
                  <w:rFonts w:ascii="Times New Roman" w:cs="Times New Roman" w:eastAsia="Times New Roman" w:hAnsi="Times New Roman"/>
                  <w:sz w:val="18"/>
                  <w:szCs w:val="18"/>
                  <w:u w:val="single" w:color="auto"/>
                  <w:color w:val="0000FF"/>
                </w:rPr>
                <w:t>.</w:t>
              </w:r>
            </w:hyperlink>
          </w:p>
        </w:tc>
        <w:tc>
          <w:tcPr>
            <w:tcW w:w="3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tcPr>
          <w:p>
            <w:pPr>
              <w:spacing w:after="0"/>
              <w:rPr>
                <w:sz w:val="24"/>
                <w:szCs w:val="24"/>
                <w:color w:val="auto"/>
              </w:rPr>
            </w:pPr>
          </w:p>
        </w:tc>
        <w:tc>
          <w:tcPr>
            <w:tcW w:w="9340" w:type="dxa"/>
            <w:vAlign w:val="bottom"/>
            <w:gridSpan w:val="18"/>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Credit Agreement, dated as of August 12, 2025, among Fiserv, Inc., Fiserv Funding Unlimited Company, the other subsidiary</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92">
              <w:r>
                <w:rPr>
                  <w:rFonts w:ascii="Times New Roman" w:cs="Times New Roman" w:eastAsia="Times New Roman" w:hAnsi="Times New Roman"/>
                  <w:sz w:val="18"/>
                  <w:szCs w:val="18"/>
                  <w:color w:val="0000FF"/>
                  <w:w w:val="98"/>
                </w:rPr>
                <w:t>borrowers party thereto from time to time, the financial institutions party thereto from time to time and JPMorgan Chase Bank,</w:t>
              </w:r>
            </w:hyperlink>
          </w:p>
        </w:tc>
        <w:tc>
          <w:tcPr>
            <w:tcW w:w="4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14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N.A. as Administrative Agent (incorporated by reference to Exhibit 4.1 to the Company’s Current Report on Form 8-K filed on</w:t>
              </w:r>
            </w:hyperlink>
          </w:p>
        </w:tc>
        <w:tc>
          <w:tcPr>
            <w:tcW w:w="20" w:type="dxa"/>
            <w:vAlign w:val="bottom"/>
            <w:tcBorders>
              <w:bottom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0" w:type="dxa"/>
            <w:vAlign w:val="bottom"/>
            <w:gridSpan w:val="7"/>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August 12, 2025)</w:t>
              </w:r>
              <w:r>
                <w:rPr>
                  <w:rFonts w:ascii="Times New Roman" w:cs="Times New Roman" w:eastAsia="Times New Roman" w:hAnsi="Times New Roman"/>
                  <w:sz w:val="18"/>
                  <w:szCs w:val="18"/>
                  <w:u w:val="single" w:color="auto"/>
                  <w:color w:val="0000FF"/>
                </w:rPr>
                <w:t>.</w:t>
              </w:r>
            </w:hyperlink>
          </w:p>
        </w:tc>
        <w:tc>
          <w:tcPr>
            <w:tcW w:w="40" w:type="dxa"/>
            <w:vAlign w:val="bottom"/>
          </w:tcPr>
          <w:p>
            <w:pPr>
              <w:spacing w:after="0"/>
              <w:rPr>
                <w:sz w:val="13"/>
                <w:szCs w:val="13"/>
                <w:color w:val="auto"/>
              </w:rPr>
            </w:pPr>
          </w:p>
        </w:tc>
        <w:tc>
          <w:tcPr>
            <w:tcW w:w="162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spacing w:after="0"/>
              <w:rPr>
                <w:sz w:val="24"/>
                <w:szCs w:val="24"/>
                <w:color w:val="auto"/>
              </w:rPr>
            </w:pPr>
          </w:p>
        </w:tc>
        <w:tc>
          <w:tcPr>
            <w:tcW w:w="9340" w:type="dxa"/>
            <w:vAlign w:val="bottom"/>
            <w:gridSpan w:val="18"/>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Subsidiary Issuers of Guaranteed Securities (incorporated by reference to Exhibit 22 to the Company’s Quarterly Report on Form</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3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10-Q filed on July 24,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9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8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3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1"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right="100" w:hanging="8"/>
        <w:spacing w:after="0" w:line="253" w:lineRule="auto"/>
        <w:tabs>
          <w:tab w:leader="none" w:pos="5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Income for the three and nine months ended September 30, 2025 and 2024, (ii) the Consolidated Statements of Comprehensive Income for the three and nine months ended September 30, 2025 and 2024, (iii) the Consolidated Balance Sheets at September 30, 2025 and December 31, 2024, (iv) the Consolidated Statements of Cash Flows for the nine months ended September 30, 2025 and 2024, (v) Notes to Consolidated Financial Statements, and (vi) the information included in Part II, Item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30, 2025</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30, 2025</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Lyons,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P.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1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Michael P. Lyons</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43180</wp:posOffset>
            </wp:positionV>
            <wp:extent cx="23317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September 30, 2025 as filed with the Securities and Exchange Commission on the date hereof (the “Report”), Michael P. Lyons, as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Lyons</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Lyons</w:t>
            </w:r>
          </w:p>
        </w:tc>
      </w:tr>
      <w:tr>
        <w:trPr>
          <w:trHeight w:val="229"/>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2025</w:t>
            </w:r>
          </w:p>
        </w:tc>
      </w:tr>
      <w:tr>
        <w:trPr>
          <w:trHeight w:val="8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5"/>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
      <w:numFmt w:val="bullet"/>
      <w:start w:val="1"/>
    </w:lvl>
    <w:lvl w:ilvl="1">
      <w:lvlJc w:val="left"/>
      <w:lvlText w:val="(%2)"/>
      <w:numFmt w:val="lowerRoman"/>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0" Type="http://schemas.openxmlformats.org/officeDocument/2006/relationships/hyperlink" Target="https://www.sec.gov/Archives/edgar/data/798354/000119312525177920/d14327dex41.htm" TargetMode="External"/><Relationship Id="rId91" Type="http://schemas.openxmlformats.org/officeDocument/2006/relationships/hyperlink" Target="https://www.sec.gov/Archives/edgar/data/798354/000119312525177920/d14327dex42.htm" TargetMode="External"/><Relationship Id="rId92" Type="http://schemas.openxmlformats.org/officeDocument/2006/relationships/hyperlink" Target="https://www.sec.gov/Archives/edgar/data/798354/000119312525179106/d12309dex41.htm" TargetMode="External"/><Relationship Id="rId93" Type="http://schemas.openxmlformats.org/officeDocument/2006/relationships/hyperlink" Target="https://www.sec.gov/Archives/edgar/data/798354/000079835425000163/ex220630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2025-10-30T06:17:35Z</dcterms:created>
  <dcterms:modified xsi:type="dcterms:W3CDTF">2025-10-30T06:17:35Z</dcterms:modified>
</cp:coreProperties>
</file>