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337738108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David J. Sorkin,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Kohlberg Kravis Roberts &amp; Co. L.P.</w:t>
      </w:r>
    </w:p>
    <w:p>
      <w:pPr>
        <w:jc w:val="center"/>
        <w:ind w:right="-59"/>
        <w:spacing w:after="0" w:line="230" w:lineRule="auto"/>
        <w:rPr>
          <w:sz w:val="20"/>
          <w:szCs w:val="20"/>
          <w:color w:val="auto"/>
        </w:rPr>
      </w:pPr>
      <w:r>
        <w:rPr>
          <w:rFonts w:ascii="Arial" w:cs="Arial" w:eastAsia="Arial" w:hAnsi="Arial"/>
          <w:sz w:val="22"/>
          <w:szCs w:val="22"/>
          <w:b w:val="1"/>
          <w:bCs w:val="1"/>
          <w:color w:val="auto"/>
        </w:rPr>
        <w:t>9 West 57th Street, Suite 4200</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New York 10019</w:t>
      </w:r>
    </w:p>
    <w:p>
      <w:pPr>
        <w:jc w:val="center"/>
        <w:ind w:right="-59"/>
        <w:spacing w:after="0"/>
        <w:rPr>
          <w:sz w:val="20"/>
          <w:szCs w:val="20"/>
          <w:color w:val="auto"/>
        </w:rPr>
      </w:pPr>
      <w:r>
        <w:rPr>
          <w:rFonts w:ascii="Arial" w:cs="Arial" w:eastAsia="Arial" w:hAnsi="Arial"/>
          <w:sz w:val="22"/>
          <w:szCs w:val="22"/>
          <w:b w:val="1"/>
          <w:bCs w:val="1"/>
          <w:color w:val="auto"/>
        </w:rPr>
        <w:t>Telephone: (212) 750-8300</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with a copy to:</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Richard A. Fenyes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Kathryn King Sudol</w:t>
      </w:r>
    </w:p>
    <w:p>
      <w:pPr>
        <w:jc w:val="center"/>
        <w:ind w:right="-59"/>
        <w:spacing w:after="0" w:line="230" w:lineRule="auto"/>
        <w:rPr>
          <w:sz w:val="20"/>
          <w:szCs w:val="20"/>
          <w:color w:val="auto"/>
        </w:rPr>
      </w:pPr>
      <w:r>
        <w:rPr>
          <w:rFonts w:ascii="Arial" w:cs="Arial" w:eastAsia="Arial" w:hAnsi="Arial"/>
          <w:sz w:val="22"/>
          <w:szCs w:val="22"/>
          <w:b w:val="1"/>
          <w:bCs w:val="1"/>
          <w:color w:val="auto"/>
        </w:rPr>
        <w:t>Simpson Thacher &amp; Bartlett LLP</w:t>
      </w:r>
    </w:p>
    <w:p>
      <w:pPr>
        <w:jc w:val="center"/>
        <w:ind w:right="-59"/>
        <w:spacing w:after="0" w:line="231" w:lineRule="auto"/>
        <w:rPr>
          <w:sz w:val="20"/>
          <w:szCs w:val="20"/>
          <w:color w:val="auto"/>
        </w:rPr>
      </w:pPr>
      <w:r>
        <w:rPr>
          <w:rFonts w:ascii="Arial" w:cs="Arial" w:eastAsia="Arial" w:hAnsi="Arial"/>
          <w:sz w:val="22"/>
          <w:szCs w:val="22"/>
          <w:b w:val="1"/>
          <w:bCs w:val="1"/>
          <w:color w:val="auto"/>
        </w:rPr>
        <w:t>425 Lexington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August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right="4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Fund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Associates 2006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KKR Group Partnership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Group Holdings Corp.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KKR &amp; Co. Inc.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Management LLP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8"/>
              </w:rPr>
              <w:t>Henry R. Kravis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George R. Roberts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105,425,667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105,425,667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t>Explanatory Note</w:t>
      </w:r>
    </w:p>
    <w:p>
      <w:pPr>
        <w:spacing w:after="0" w:line="23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Amendment No. 2 (“Amendment No. 2”) to Schedule 13D relates to the shares of common stock, par value $0.01 per share (the “Common Stock”), of Fiserv, Inc., a Wisconsin corporation (the “Issuer”), and amends the initial statement on Schedule 13D filed by the Reporting Persons on August 7, 2019, as amended by Amendment No. 1 to Schedule 13D filed on September 9, 2019 (as amended, the “Schedule 13D”). Except as specifically provided herein, this Amendment No. 2 does not modify any of the information previously reported in the Schedule 13D. Capitalized terms used but not defined in this Amendment No. 2 shall have the same meanings herein as are ascribed to such terms in the Initial Statement.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and restated as follows:</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(a), (f) This Schedule 13D is being filed pursuant to Rule 13d-1(a) under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by:</w:t>
      </w:r>
    </w:p>
    <w:p>
      <w:pPr>
        <w:spacing w:after="0" w:line="209" w:lineRule="exact"/>
        <w:rPr>
          <w:sz w:val="20"/>
          <w:szCs w:val="20"/>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L.P., a Delaware limited partnership;</w:t>
      </w:r>
    </w:p>
    <w:p>
      <w:pPr>
        <w:spacing w:after="0" w:line="23"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LLC, a Delaware limited liability company;</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Fund L.P., a Delaware limited partnership;</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Associates 2006 L.P., a Delaware limited partnership;</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GP LLC, a Delaware limited liability company;</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Partnership L.P., a Cayman Islands exempted limited partnership;</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Holdings Corp., a Delaware corporation;</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&amp; Co. Inc., a Delaware corporation;</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Management LLP, a Delaware limited liability partnership;</w:t>
      </w:r>
    </w:p>
    <w:p>
      <w:pPr>
        <w:spacing w:after="0" w:line="9" w:lineRule="exact"/>
        <w:rPr>
          <w:rFonts w:ascii="Arial" w:cs="Arial" w:eastAsia="Arial" w:hAnsi="Arial"/>
          <w:sz w:val="18"/>
          <w:szCs w:val="18"/>
          <w:color w:val="auto"/>
        </w:rPr>
      </w:pPr>
    </w:p>
    <w:p>
      <w:pPr>
        <w:ind w:left="1460" w:hanging="642"/>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Henry R. Kravis, a United States citizen; and</w:t>
      </w:r>
    </w:p>
    <w:p>
      <w:pPr>
        <w:spacing w:after="0" w:line="9" w:lineRule="exact"/>
        <w:rPr>
          <w:rFonts w:ascii="Arial" w:cs="Arial" w:eastAsia="Arial" w:hAnsi="Arial"/>
          <w:sz w:val="18"/>
          <w:szCs w:val="18"/>
          <w:color w:val="auto"/>
        </w:rPr>
      </w:pPr>
    </w:p>
    <w:p>
      <w:pPr>
        <w:ind w:left="1460" w:right="120" w:hanging="642"/>
        <w:spacing w:after="0" w:line="260"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George R. Roberts, a United States citizen (the persons and entities listed in items (i) through (xi) are collectively referred to herein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05" w:lineRule="exact"/>
        <w:rPr>
          <w:sz w:val="20"/>
          <w:szCs w:val="20"/>
          <w:color w:val="auto"/>
        </w:rPr>
      </w:pPr>
    </w:p>
    <w:p>
      <w:pPr>
        <w:ind w:left="820" w:right="80"/>
        <w:spacing w:after="0" w:line="234" w:lineRule="auto"/>
        <w:rPr>
          <w:sz w:val="20"/>
          <w:szCs w:val="20"/>
          <w:color w:val="auto"/>
        </w:rPr>
      </w:pPr>
      <w:r>
        <w:rPr>
          <w:rFonts w:ascii="Arial" w:cs="Arial" w:eastAsia="Arial" w:hAnsi="Arial"/>
          <w:sz w:val="22"/>
          <w:szCs w:val="22"/>
          <w:color w:val="auto"/>
        </w:rPr>
        <w:t>New Omaha Holdings LLC is the general partner of New Omaha Holdings L.P. KKR 2006 Fund L.P. is the sole member of New Omaha Holdings LLC. KKR Associates 2006 L.P. is the general partner of KKR 2006 Fund L.P. KKR 2006 GP LLC is the general partner of KKR Associates 2006 L.P. KKR Group Partnership L.P. is the designated member of KKR 2006 GP LLC.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218" w:lineRule="exact"/>
        <w:rPr>
          <w:sz w:val="20"/>
          <w:szCs w:val="20"/>
          <w:color w:val="auto"/>
        </w:rPr>
      </w:pPr>
    </w:p>
    <w:p>
      <w:pPr>
        <w:ind w:left="820" w:right="60"/>
        <w:spacing w:after="0"/>
        <w:rPr>
          <w:sz w:val="20"/>
          <w:szCs w:val="20"/>
          <w:color w:val="auto"/>
        </w:rPr>
      </w:pPr>
      <w:r>
        <w:rPr>
          <w:rFonts w:ascii="Arial" w:cs="Arial" w:eastAsia="Arial" w:hAnsi="Arial"/>
          <w:sz w:val="22"/>
          <w:szCs w:val="22"/>
          <w:color w:val="auto"/>
        </w:rPr>
        <w:t>Each of Messrs. Scott Nuttall, Joseph Bae, Robert Lewin, and David Sorkin is a director of KKR Group Holdings Corp. The executive officers of KKR Group Holdings Corp. and KKR &amp; Co. Inc. are Messrs. Kravis, Roberts, Nuttall, Bae, Lewin and Sorkin.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820"/>
        <w:spacing w:after="0"/>
        <w:rPr>
          <w:sz w:val="20"/>
          <w:szCs w:val="20"/>
          <w:color w:val="auto"/>
        </w:rPr>
      </w:pPr>
      <w:r>
        <w:rPr>
          <w:rFonts w:ascii="Arial" w:cs="Arial" w:eastAsia="Arial" w:hAnsi="Arial"/>
          <w:sz w:val="21"/>
          <w:szCs w:val="21"/>
          <w:color w:val="auto"/>
        </w:rPr>
        <w:t>directors of KKR &amp; Co. Inc. are listed on Annex A attached hereto, which is incorporated herein by reference.</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Each of Messrs. Nuttall, Bae and Sorkin is a United States citizen. Mr. Lewin is a Canadian citizen.</w:t>
      </w:r>
    </w:p>
    <w:p>
      <w:pPr>
        <w:spacing w:after="0" w:line="233" w:lineRule="exact"/>
        <w:rPr>
          <w:sz w:val="20"/>
          <w:szCs w:val="20"/>
          <w:color w:val="auto"/>
        </w:rPr>
      </w:pPr>
    </w:p>
    <w:p>
      <w:pPr>
        <w:ind w:left="820" w:right="660"/>
        <w:spacing w:after="0" w:line="250" w:lineRule="auto"/>
        <w:rPr>
          <w:sz w:val="20"/>
          <w:szCs w:val="20"/>
          <w:color w:val="auto"/>
        </w:rPr>
      </w:pPr>
      <w:r>
        <w:rPr>
          <w:rFonts w:ascii="Arial" w:cs="Arial" w:eastAsia="Arial" w:hAnsi="Arial"/>
          <w:sz w:val="22"/>
          <w:szCs w:val="22"/>
          <w:color w:val="auto"/>
        </w:rPr>
        <w:t>The Reporting Persons have entered into a joint filing agreement, a copy of which is attached as Exhibit A to the Schedule 13D filed on August 7, 2019.</w:t>
      </w:r>
    </w:p>
    <w:p>
      <w:pPr>
        <w:spacing w:after="0" w:line="202" w:lineRule="exact"/>
        <w:rPr>
          <w:sz w:val="20"/>
          <w:szCs w:val="20"/>
          <w:color w:val="auto"/>
        </w:rPr>
      </w:pPr>
    </w:p>
    <w:p>
      <w:pPr>
        <w:ind w:right="140" w:firstLine="8"/>
        <w:spacing w:after="0" w:line="250"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address of the business office of each of the Reporting Persons, except for Mr. Roberts, and Messrs. Nuttall, Bae, Lewin and Sorkin and the other individuals named in this Item 2 is: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 Kohlberg Kravis Roberts &amp; Co. L.P.</w:t>
      </w:r>
    </w:p>
    <w:p>
      <w:pPr>
        <w:ind w:left="820"/>
        <w:spacing w:after="0" w:line="238" w:lineRule="auto"/>
        <w:rPr>
          <w:sz w:val="20"/>
          <w:szCs w:val="20"/>
          <w:color w:val="auto"/>
        </w:rPr>
      </w:pPr>
      <w:r>
        <w:rPr>
          <w:rFonts w:ascii="Arial" w:cs="Arial" w:eastAsia="Arial" w:hAnsi="Arial"/>
          <w:sz w:val="22"/>
          <w:szCs w:val="22"/>
          <w:color w:val="auto"/>
        </w:rPr>
        <w:t>9 West 57th Street, Suite 4200</w:t>
      </w:r>
    </w:p>
    <w:p>
      <w:pPr>
        <w:ind w:left="820"/>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address of the principal business office of Mr. Roberts is: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 Kohlberg Kravis Roberts &amp; Co. L.P.</w:t>
      </w:r>
    </w:p>
    <w:p>
      <w:pPr>
        <w:ind w:left="820"/>
        <w:spacing w:after="0" w:line="238" w:lineRule="auto"/>
        <w:rPr>
          <w:sz w:val="20"/>
          <w:szCs w:val="20"/>
          <w:color w:val="auto"/>
        </w:rPr>
      </w:pPr>
      <w:r>
        <w:rPr>
          <w:rFonts w:ascii="Arial" w:cs="Arial" w:eastAsia="Arial" w:hAnsi="Arial"/>
          <w:sz w:val="22"/>
          <w:szCs w:val="22"/>
          <w:color w:val="auto"/>
        </w:rPr>
        <w:t>2800 Sand Hill Road, Suite 200</w:t>
      </w:r>
    </w:p>
    <w:p>
      <w:pPr>
        <w:ind w:left="820"/>
        <w:spacing w:after="0"/>
        <w:rPr>
          <w:sz w:val="20"/>
          <w:szCs w:val="20"/>
          <w:color w:val="auto"/>
        </w:rPr>
      </w:pPr>
      <w:r>
        <w:rPr>
          <w:rFonts w:ascii="Arial" w:cs="Arial" w:eastAsia="Arial" w:hAnsi="Arial"/>
          <w:sz w:val="22"/>
          <w:szCs w:val="22"/>
          <w:color w:val="auto"/>
        </w:rPr>
        <w:t>Menlo Park, CA 94025</w:t>
      </w:r>
    </w:p>
    <w:p>
      <w:pPr>
        <w:spacing w:after="0" w:line="215" w:lineRule="exact"/>
        <w:rPr>
          <w:sz w:val="20"/>
          <w:szCs w:val="20"/>
          <w:color w:val="auto"/>
        </w:rPr>
      </w:pPr>
    </w:p>
    <w:p>
      <w:pPr>
        <w:ind w:firstLine="8"/>
        <w:spacing w:after="0" w:line="279" w:lineRule="auto"/>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Each of KKR Group Partnership L.P., KKR Group Holdings Corp., KKR &amp; Co. Inc. and KKR Management LLP is principally engaged as a holding company. New Omaha Holdings L.P. is engaged in the business of making and holding investments in securities and New Omaha Holdings LLC is principally engaged in the business of being the general partner of New Omaha Holdings L.P. KKR 2006 Fund L.P. is principally engaged in the business of making investments and KKR Associates 2006 L.P. and KKR 2006 GP LLC are each principally engaged in the business of being a general partner, directly and indirectly, of KKR 2006 Fund L.P. and managing investments through other partnerships and limited liability companies.</w:t>
      </w:r>
    </w:p>
    <w:p>
      <w:pPr>
        <w:spacing w:after="0" w:line="177" w:lineRule="exact"/>
        <w:rPr>
          <w:sz w:val="20"/>
          <w:szCs w:val="20"/>
          <w:color w:val="auto"/>
        </w:rPr>
      </w:pPr>
    </w:p>
    <w:p>
      <w:pPr>
        <w:ind w:right="140" w:firstLine="810"/>
        <w:spacing w:after="0"/>
        <w:rPr>
          <w:sz w:val="20"/>
          <w:szCs w:val="20"/>
          <w:color w:val="auto"/>
        </w:rPr>
      </w:pPr>
      <w:r>
        <w:rPr>
          <w:rFonts w:ascii="Arial" w:cs="Arial" w:eastAsia="Arial" w:hAnsi="Arial"/>
          <w:sz w:val="22"/>
          <w:szCs w:val="22"/>
          <w:color w:val="auto"/>
        </w:rPr>
        <w:t>The present principal occupation or employment of each of Messrs. Kravis, Roberts, Nuttall, Bae, Lewin and Sorkin is as an executive of Kohlberg Kravis Roberts &amp; Co. L.P. (“</w:t>
      </w:r>
      <w:r>
        <w:rPr>
          <w:rFonts w:ascii="Arial" w:cs="Arial" w:eastAsia="Arial" w:hAnsi="Arial"/>
          <w:sz w:val="22"/>
          <w:szCs w:val="22"/>
          <w:u w:val="single" w:color="auto"/>
          <w:color w:val="auto"/>
        </w:rPr>
        <w:t>KKR</w:t>
      </w:r>
      <w:r>
        <w:rPr>
          <w:rFonts w:ascii="Arial" w:cs="Arial" w:eastAsia="Arial" w:hAnsi="Arial"/>
          <w:sz w:val="22"/>
          <w:szCs w:val="22"/>
          <w:color w:val="auto"/>
        </w:rPr>
        <w:t>”) and/or one or more of its affiliates. The present principal occupation of each of the other individuals named in Item 2 is listed on Annex A.</w:t>
      </w:r>
    </w:p>
    <w:p>
      <w:pPr>
        <w:spacing w:after="0" w:line="213" w:lineRule="exact"/>
        <w:rPr>
          <w:sz w:val="20"/>
          <w:szCs w:val="20"/>
          <w:color w:val="auto"/>
        </w:rPr>
      </w:pPr>
    </w:p>
    <w:p>
      <w:pPr>
        <w:ind w:right="120" w:firstLine="8"/>
        <w:spacing w:after="0"/>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or, to the best knowledge of the Reporting Persons, any of the other individuals named in this Item 2, has been convicted in a criminal proceeding (excluding traffic violations or similar misdemeanors).</w:t>
      </w:r>
    </w:p>
    <w:p>
      <w:pPr>
        <w:spacing w:after="0" w:line="213" w:lineRule="exact"/>
        <w:rPr>
          <w:rFonts w:ascii="Arial" w:cs="Arial" w:eastAsia="Arial" w:hAnsi="Arial"/>
          <w:sz w:val="22"/>
          <w:szCs w:val="22"/>
          <w:color w:val="auto"/>
        </w:rPr>
      </w:pPr>
    </w:p>
    <w:p>
      <w:pPr>
        <w:ind w:right="100" w:firstLine="8"/>
        <w:spacing w:after="0" w:line="236" w:lineRule="auto"/>
        <w:tabs>
          <w:tab w:leader="none" w:pos="294"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or, to the best knowledge of the Reporting Persons, any of the other individuals named in this Item 2,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hereby amended and supplemented as follows:</w:t>
      </w:r>
    </w:p>
    <w:p>
      <w:pPr>
        <w:spacing w:after="0" w:line="233" w:lineRule="exact"/>
        <w:rPr>
          <w:sz w:val="20"/>
          <w:szCs w:val="20"/>
          <w:color w:val="auto"/>
        </w:rPr>
      </w:pPr>
    </w:p>
    <w:p>
      <w:pPr>
        <w:ind w:right="20" w:firstLine="810"/>
        <w:spacing w:after="0" w:line="277" w:lineRule="auto"/>
        <w:rPr>
          <w:sz w:val="20"/>
          <w:szCs w:val="20"/>
          <w:color w:val="auto"/>
        </w:rPr>
      </w:pPr>
      <w:r>
        <w:rPr>
          <w:rFonts w:ascii="Arial" w:cs="Arial" w:eastAsia="Arial" w:hAnsi="Arial"/>
          <w:sz w:val="19"/>
          <w:szCs w:val="19"/>
          <w:color w:val="auto"/>
        </w:rPr>
        <w:t>On August 18, 2020, New Omaha Holdings L.P., as selling stockholder, and the Issuer entered into an underwriting agreement (the “Underwriting Agreement”) with KKR Capital Markets LLC, as representative, and the other several underwriters named therein (the “Underwriters”), providing for the offer and sale of 5,000,000 shares of Common Stock by New Omaha Holdings L.P. (the “August 2020 Offering”), and purchase by the Underwriters of the shares of Common Stock at a price of $98.00 per share of Common Stock. The August 2020 Offering closed on August 21, 2020. The August 2020 Offering was made pursuant to the Issuer’s shelf registration statement on Form S-3 (File No. 333-227436), as supplemented by a prospectus supplement dated August 18, 2020 (the “August 2020 Prospectus Supplement”).</w:t>
      </w:r>
    </w:p>
    <w:p>
      <w:pPr>
        <w:spacing w:after="0" w:line="179" w:lineRule="exact"/>
        <w:rPr>
          <w:sz w:val="20"/>
          <w:szCs w:val="20"/>
          <w:color w:val="auto"/>
        </w:rPr>
      </w:pPr>
    </w:p>
    <w:p>
      <w:pPr>
        <w:ind w:right="100" w:firstLine="810"/>
        <w:spacing w:after="0" w:line="275" w:lineRule="auto"/>
        <w:rPr>
          <w:sz w:val="20"/>
          <w:szCs w:val="20"/>
          <w:color w:val="auto"/>
        </w:rPr>
      </w:pPr>
      <w:r>
        <w:rPr>
          <w:rFonts w:ascii="Arial" w:cs="Arial" w:eastAsia="Arial" w:hAnsi="Arial"/>
          <w:sz w:val="19"/>
          <w:szCs w:val="19"/>
          <w:color w:val="auto"/>
        </w:rPr>
        <w:t>Pursuant to the Underwriting Agreement, New Omaha Holdings L.P. has entered into a lock-up agreement (the “Lock-Up Agreement”) with the Underwriters pursuant to which it has agreed with the Underwriters, subject to customary exceptions, not to 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Common Stock during the period from August 18, 2020 continuing through the date 30 days thereafter, except with the prior written consent of the Underwriters. The foregoing description of the Lock-Up Agreement set forth in this Item 4 does not purport to be complete and is qualified in its entirety by reference to the full text of the Lock-Up Agreement, which has been filed as Exhibit F hereto and is incorporated herein by reference.</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Items 5(a), (b) and (c) of the Schedule 13D are hereby amended and restated as follows:</w:t>
      </w:r>
    </w:p>
    <w:p>
      <w:pPr>
        <w:spacing w:after="0" w:line="233" w:lineRule="exact"/>
        <w:rPr>
          <w:sz w:val="20"/>
          <w:szCs w:val="20"/>
          <w:color w:val="auto"/>
        </w:rPr>
      </w:pPr>
    </w:p>
    <w:p>
      <w:pPr>
        <w:ind w:right="420" w:firstLine="810"/>
        <w:spacing w:after="0" w:line="250" w:lineRule="auto"/>
        <w:rPr>
          <w:sz w:val="20"/>
          <w:szCs w:val="20"/>
          <w:color w:val="auto"/>
        </w:rPr>
      </w:pPr>
      <w:r>
        <w:rPr>
          <w:rFonts w:ascii="Arial" w:cs="Arial" w:eastAsia="Arial" w:hAnsi="Arial"/>
          <w:sz w:val="22"/>
          <w:szCs w:val="22"/>
          <w:color w:val="auto"/>
        </w:rPr>
        <w:t>The information set forth in Item 2 and Annex A of this Schedule 13D and the cover pages of this Schedule 13D is hereby incorporated by reference into this Item 5.</w:t>
      </w:r>
    </w:p>
    <w:p>
      <w:pPr>
        <w:spacing w:after="0" w:line="202" w:lineRule="exact"/>
        <w:rPr>
          <w:sz w:val="20"/>
          <w:szCs w:val="20"/>
          <w:color w:val="auto"/>
        </w:rPr>
      </w:pPr>
    </w:p>
    <w:p>
      <w:pPr>
        <w:ind w:firstLine="818"/>
        <w:spacing w:after="0" w:line="328" w:lineRule="auto"/>
        <w:tabs>
          <w:tab w:leader="none" w:pos="1104" w:val="left"/>
        </w:tabs>
        <w:numPr>
          <w:ilvl w:val="0"/>
          <w:numId w:val="6"/>
        </w:numPr>
        <w:rPr>
          <w:rFonts w:ascii="Arial" w:cs="Arial" w:eastAsia="Arial" w:hAnsi="Arial"/>
          <w:sz w:val="19"/>
          <w:szCs w:val="19"/>
          <w:color w:val="auto"/>
        </w:rPr>
      </w:pPr>
      <w:r>
        <w:rPr>
          <w:rFonts w:ascii="Arial" w:cs="Arial" w:eastAsia="Arial" w:hAnsi="Arial"/>
          <w:sz w:val="19"/>
          <w:szCs w:val="19"/>
          <w:color w:val="auto"/>
        </w:rPr>
        <w:t>and (b). The Reporting Persons may be deemed to beneficially own an aggregate of 105,425,667 shares of Common Stock, which represents, in the aggregate, approximately 15.7% of the outstanding shares of the Issuer’s Common Stock.</w:t>
      </w:r>
    </w:p>
    <w:p>
      <w:pPr>
        <w:spacing w:after="0" w:line="132" w:lineRule="exact"/>
        <w:rPr>
          <w:sz w:val="20"/>
          <w:szCs w:val="20"/>
          <w:color w:val="auto"/>
        </w:rPr>
      </w:pPr>
    </w:p>
    <w:p>
      <w:pPr>
        <w:ind w:right="340" w:firstLine="810"/>
        <w:spacing w:after="0" w:line="274" w:lineRule="auto"/>
        <w:rPr>
          <w:sz w:val="20"/>
          <w:szCs w:val="20"/>
          <w:color w:val="auto"/>
        </w:rPr>
      </w:pPr>
      <w:r>
        <w:rPr>
          <w:rFonts w:ascii="Arial" w:cs="Arial" w:eastAsia="Arial" w:hAnsi="Arial"/>
          <w:sz w:val="21"/>
          <w:szCs w:val="21"/>
          <w:color w:val="auto"/>
        </w:rPr>
        <w:t>The aggregate percentage of beneficial ownership in this Schedule 13D is based on 669,649,953 shares of Common Stock outstanding as of July 31, 2020, as set forth in the August 2020 Prospectus Supplement.</w:t>
      </w:r>
    </w:p>
    <w:p>
      <w:pPr>
        <w:spacing w:after="0" w:line="178" w:lineRule="exact"/>
        <w:rPr>
          <w:sz w:val="20"/>
          <w:szCs w:val="20"/>
          <w:color w:val="auto"/>
        </w:rPr>
      </w:pPr>
    </w:p>
    <w:p>
      <w:pPr>
        <w:ind w:firstLine="810"/>
        <w:spacing w:after="0" w:line="297" w:lineRule="auto"/>
        <w:rPr>
          <w:sz w:val="20"/>
          <w:szCs w:val="20"/>
          <w:color w:val="auto"/>
        </w:rPr>
      </w:pPr>
      <w:r>
        <w:rPr>
          <w:rFonts w:ascii="Arial" w:cs="Arial" w:eastAsia="Arial" w:hAnsi="Arial"/>
          <w:sz w:val="19"/>
          <w:szCs w:val="19"/>
          <w:color w:val="auto"/>
        </w:rPr>
        <w:t>Each of New Omaha Holdings LLC (as the general partner of New Omaha Holdings L.P.), KKR 2006 Fund L.P. (as the sole member of New Omaha Holdings LLC), KKR Associates 2006 L.P. (as the general partner of KKR 2006 Fund L.P.), KKR 2006 GP LLC (as the general partner of KKR Associates 2006 L.P.), KKR Group Partnership L.P. (as the</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5" w:name="page16"/>
    <w:bookmarkEnd w:id="15"/>
    <w:p>
      <w:pPr>
        <w:spacing w:after="0" w:line="236" w:lineRule="auto"/>
        <w:rPr>
          <w:sz w:val="20"/>
          <w:szCs w:val="20"/>
          <w:color w:val="auto"/>
        </w:rPr>
      </w:pPr>
      <w:r>
        <w:rPr>
          <w:rFonts w:ascii="Arial" w:cs="Arial" w:eastAsia="Arial" w:hAnsi="Arial"/>
          <w:sz w:val="22"/>
          <w:szCs w:val="22"/>
          <w:color w:val="auto"/>
        </w:rPr>
        <w:t>designated member of KKR 2006 GP LLC), KKR Group Holdings Corp. (as the general partner of KKR Group Partnership L.P.), KKR &amp; Co. Inc. (as the sole shareholder of KKR Group Holdings Corp.), KKR Management LLP (as the Series I preferred stockholder of KKR &amp; Co. Inc.), and Messrs. Kravis and Roberts (as the founding partners of KKR Management LLP) may be deemed to be the beneficial owner of the securities beneficially owned directly by New Omaha Holdings L.P., in each case, as described more fully in this Schedule 13D.</w:t>
      </w:r>
    </w:p>
    <w:p>
      <w:pPr>
        <w:spacing w:after="0" w:line="215" w:lineRule="exact"/>
        <w:rPr>
          <w:sz w:val="20"/>
          <w:szCs w:val="20"/>
          <w:color w:val="auto"/>
        </w:rPr>
      </w:pPr>
    </w:p>
    <w:p>
      <w:pPr>
        <w:ind w:right="980" w:firstLine="810"/>
        <w:spacing w:after="0" w:line="250" w:lineRule="auto"/>
        <w:rPr>
          <w:sz w:val="20"/>
          <w:szCs w:val="20"/>
          <w:color w:val="auto"/>
        </w:rPr>
      </w:pPr>
      <w:r>
        <w:rPr>
          <w:rFonts w:ascii="Arial" w:cs="Arial" w:eastAsia="Arial" w:hAnsi="Arial"/>
          <w:sz w:val="22"/>
          <w:szCs w:val="22"/>
          <w:color w:val="auto"/>
        </w:rPr>
        <w:t>The filing of this Schedule 13D shall not be construed as an admission that any of the above-listed entities or individuals is the beneficial owner of any securities covered by this Schedule 13D.</w:t>
      </w:r>
    </w:p>
    <w:p>
      <w:pPr>
        <w:spacing w:after="0" w:line="202" w:lineRule="exact"/>
        <w:rPr>
          <w:sz w:val="20"/>
          <w:szCs w:val="20"/>
          <w:color w:val="auto"/>
        </w:rPr>
      </w:pPr>
    </w:p>
    <w:p>
      <w:pPr>
        <w:ind w:right="160" w:firstLine="810"/>
        <w:spacing w:after="0" w:line="250" w:lineRule="auto"/>
        <w:rPr>
          <w:sz w:val="20"/>
          <w:szCs w:val="20"/>
          <w:color w:val="auto"/>
        </w:rPr>
      </w:pPr>
      <w:r>
        <w:rPr>
          <w:rFonts w:ascii="Arial" w:cs="Arial" w:eastAsia="Arial" w:hAnsi="Arial"/>
          <w:sz w:val="22"/>
          <w:szCs w:val="22"/>
          <w:color w:val="auto"/>
        </w:rPr>
        <w:t>To the best knowledge of the Reporting Persons, none of the individuals named in Item 2 beneficially owns any shares of Common Stock except as described herein.</w:t>
      </w:r>
    </w:p>
    <w:p>
      <w:pPr>
        <w:spacing w:after="0" w:line="202" w:lineRule="exact"/>
        <w:rPr>
          <w:sz w:val="20"/>
          <w:szCs w:val="20"/>
          <w:color w:val="auto"/>
        </w:rPr>
      </w:pPr>
    </w:p>
    <w:p>
      <w:pPr>
        <w:ind w:right="640" w:firstLine="818"/>
        <w:spacing w:after="0"/>
        <w:tabs>
          <w:tab w:leader="none" w:pos="1104"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as otherwise described in Item 4 of this Schedule 13D, none of the Reporting Persons, or, to the best knowledge of the Reporting Persons, any other individual named in Item 2 has engaged in any transaction in any shares of Common Stock during the past 60 days.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6 of the Schedule 13D is hereby amended and supplemented as follows: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information set forth in Items 3, 4 and 5 hereof is hereby incorporated by reference into this Item 6.</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disclosure under caption” Loan Facility” in Item 6 of the Schedule 13D is hereby amended and restated as follows: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Loan Facility</w:t>
      </w:r>
    </w:p>
    <w:p>
      <w:pPr>
        <w:spacing w:after="0" w:line="233" w:lineRule="exact"/>
        <w:rPr>
          <w:sz w:val="20"/>
          <w:szCs w:val="20"/>
          <w:color w:val="auto"/>
        </w:rPr>
      </w:pPr>
    </w:p>
    <w:p>
      <w:pPr>
        <w:ind w:right="40" w:firstLine="810"/>
        <w:spacing w:after="0" w:line="244" w:lineRule="auto"/>
        <w:rPr>
          <w:sz w:val="20"/>
          <w:szCs w:val="20"/>
          <w:color w:val="auto"/>
        </w:rPr>
      </w:pPr>
      <w:r>
        <w:rPr>
          <w:rFonts w:ascii="Arial" w:cs="Arial" w:eastAsia="Arial" w:hAnsi="Arial"/>
          <w:sz w:val="21"/>
          <w:szCs w:val="21"/>
          <w:color w:val="auto"/>
        </w:rPr>
        <w:t>As previously disclosed, on September 9, 2019, New Omaha Holdings L.P. (“New Omaha”) entered into a Loan Agreement (the “Loan Agreement”) with Citibank, N.A., as administrative agent and lender, and the lenders party thereto from time to time (each, a “Lender”). Pursuant to one or more Pledge and Security Agreements, in the form which has been filed as Exhibit G hereto (the “Pledge Agreements”, and together with the Loan Agreement, the “Loan Documents”), as of August 21, 2020, New Omaha has borrowings of $1.65 billion (exclusive of capitalized interest) outstanding under the Loan Agreement and has pledged an aggregate of 55.2 million shares (the “Initial Pledged Shares”, and together with any subsequent shares pledged, the “Pledged Shares”) of Common Stock as collateral to secure repayment of amounts outstanding under the Loan Agreement. New Omaha may voluntarily post additional collateral (including in connection with an exercise of the Accordion described below) or be required to post additional collateral, in either case in cash or with additional shares of Common Stock up to the full number of shares of Common Stock owned by New Omaha. Further, subject to satisfaction of certain conditions, New Omaha may request the release of collateral that was previously posted. Subject to the satisfaction of certain conditions, including the maintenance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right="260"/>
        <w:spacing w:after="0" w:line="329" w:lineRule="auto"/>
        <w:rPr>
          <w:sz w:val="20"/>
          <w:szCs w:val="20"/>
          <w:color w:val="auto"/>
        </w:rPr>
      </w:pPr>
      <w:r>
        <w:rPr>
          <w:rFonts w:ascii="Arial" w:cs="Arial" w:eastAsia="Arial" w:hAnsi="Arial"/>
          <w:sz w:val="19"/>
          <w:szCs w:val="19"/>
          <w:color w:val="auto"/>
        </w:rPr>
        <w:t>a satisfactory loan-to-value ratio (including after taking into account any additional pledges of shares of Common Stock), from time to time New Omaha may borrow up to an additional $1.55 billion under the Loan Agreement (the “Accordion”).</w:t>
      </w:r>
    </w:p>
    <w:p>
      <w:pPr>
        <w:spacing w:after="0" w:line="131" w:lineRule="exact"/>
        <w:rPr>
          <w:sz w:val="20"/>
          <w:szCs w:val="20"/>
          <w:color w:val="auto"/>
        </w:rPr>
      </w:pPr>
    </w:p>
    <w:p>
      <w:pPr>
        <w:jc w:val="both"/>
        <w:ind w:right="60" w:firstLine="810"/>
        <w:spacing w:after="0" w:line="257" w:lineRule="auto"/>
        <w:rPr>
          <w:sz w:val="20"/>
          <w:szCs w:val="20"/>
          <w:color w:val="auto"/>
        </w:rPr>
      </w:pPr>
      <w:r>
        <w:rPr>
          <w:rFonts w:ascii="Arial" w:cs="Arial" w:eastAsia="Arial" w:hAnsi="Arial"/>
          <w:sz w:val="21"/>
          <w:szCs w:val="21"/>
          <w:color w:val="auto"/>
        </w:rPr>
        <w:t>The loans mature on or about September 9, 2022. Upon the occurrence of certain events that are customary for this type of loan, the Lenders may exercise their rights to require New Omaha to pre-pay the loan proceeds, and post additional collateral, or foreclose on, and dispose of, any Pledged Shares in accordance with the Loan Documents.</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7 of the Schedule 13D is hereby amended by adding the following exhibit: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22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Borders>
              <w:bottom w:val="single" w:sz="8" w:color="CCEEFF"/>
            </w:tcBorders>
          </w:tcPr>
          <w:p>
            <w:pPr>
              <w:spacing w:after="0"/>
              <w:rPr>
                <w:sz w:val="20"/>
                <w:szCs w:val="20"/>
                <w:color w:val="auto"/>
              </w:rPr>
            </w:pPr>
          </w:p>
        </w:tc>
        <w:tc>
          <w:tcPr>
            <w:tcW w:w="10220" w:type="dxa"/>
            <w:vAlign w:val="bottom"/>
            <w:tcBorders>
              <w:bottom w:val="single" w:sz="8" w:color="auto"/>
            </w:tcBorders>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Exhibit F</w:t>
              </w:r>
            </w:hyperlink>
          </w:p>
        </w:tc>
        <w:tc>
          <w:tcPr>
            <w:tcW w:w="100" w:type="dxa"/>
            <w:vAlign w:val="bottom"/>
            <w:shd w:val="clear" w:color="auto" w:fill="CCEEFF"/>
          </w:tcPr>
          <w:p>
            <w:pPr>
              <w:spacing w:after="0"/>
              <w:rPr>
                <w:sz w:val="17"/>
                <w:szCs w:val="17"/>
                <w:color w:val="auto"/>
              </w:rPr>
            </w:pPr>
          </w:p>
        </w:tc>
        <w:tc>
          <w:tcPr>
            <w:tcW w:w="10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Lock-Up Agreement, dated as of August 18, 2020 (incorporated herein by reference to Exhibit C to the Underwriting Agreement filed as</w:t>
            </w:r>
          </w:p>
        </w:tc>
      </w:tr>
      <w:tr>
        <w:trPr>
          <w:trHeight w:val="230"/>
        </w:trPr>
        <w:tc>
          <w:tcPr>
            <w:tcW w:w="920" w:type="dxa"/>
            <w:vAlign w:val="bottom"/>
            <w:shd w:val="clear" w:color="auto" w:fill="CCEEFF"/>
          </w:tcPr>
          <w:p>
            <w:pPr>
              <w:spacing w:after="0"/>
              <w:rPr>
                <w:sz w:val="20"/>
                <w:szCs w:val="20"/>
                <w:color w:val="auto"/>
              </w:rPr>
            </w:pPr>
          </w:p>
        </w:tc>
        <w:tc>
          <w:tcPr>
            <w:tcW w:w="10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Exhibit 1.1 to the Issuer’s Current Report on Form 8-K filed with the SEC on August 21, 2020)</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 G</w:t>
              </w:r>
            </w:hyperlink>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rPr>
              <w:t>Form of Pledge and Security Agreement</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H</w:t>
              </w:r>
            </w:hyperlink>
          </w:p>
        </w:tc>
        <w:tc>
          <w:tcPr>
            <w:tcW w:w="10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Power of Attorney of Robert H. Lewin</w:t>
            </w:r>
          </w:p>
        </w:tc>
      </w:tr>
      <w:tr>
        <w:trPr>
          <w:trHeight w:val="582"/>
        </w:trPr>
        <w:tc>
          <w:tcPr>
            <w:tcW w:w="920" w:type="dxa"/>
            <w:vAlign w:val="bottom"/>
          </w:tcPr>
          <w:p>
            <w:pPr>
              <w:spacing w:after="0"/>
              <w:rPr>
                <w:sz w:val="24"/>
                <w:szCs w:val="24"/>
                <w:color w:val="auto"/>
              </w:rPr>
            </w:pPr>
          </w:p>
        </w:tc>
        <w:tc>
          <w:tcPr>
            <w:tcW w:w="10320" w:type="dxa"/>
            <w:vAlign w:val="bottom"/>
            <w:gridSpan w:val="2"/>
          </w:tcPr>
          <w:p>
            <w:pPr>
              <w:jc w:val="right"/>
              <w:ind w:right="5450"/>
              <w:spacing w:after="0"/>
              <w:rPr>
                <w:sz w:val="20"/>
                <w:szCs w:val="20"/>
                <w:color w:val="auto"/>
              </w:rPr>
            </w:pPr>
            <w:r>
              <w:rPr>
                <w:rFonts w:ascii="Arial" w:cs="Arial" w:eastAsia="Arial" w:hAnsi="Arial"/>
                <w:sz w:val="14"/>
                <w:szCs w:val="14"/>
                <w:color w:val="auto"/>
              </w:rPr>
              <w:t>17</w:t>
            </w:r>
          </w:p>
        </w:tc>
      </w:tr>
      <w:tr>
        <w:trPr>
          <w:trHeight w:val="46"/>
        </w:trPr>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17" w:name="page18"/>
    <w:bookmarkEnd w:id="17"/>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21, 2020</w:t>
      </w:r>
      <w:r>
        <w:rPr>
          <w:sz w:val="20"/>
          <w:szCs w:val="20"/>
          <w:color w:val="auto"/>
        </w:rPr>
        <w:tab/>
      </w:r>
      <w:r>
        <w:rPr>
          <w:rFonts w:ascii="Arial" w:cs="Arial" w:eastAsia="Arial" w:hAnsi="Arial"/>
          <w:sz w:val="18"/>
          <w:szCs w:val="18"/>
          <w:b w:val="1"/>
          <w:bCs w:val="1"/>
          <w:color w:val="auto"/>
        </w:rPr>
        <w:t>NEW OMAHA HOLDINGS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New Omaha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C. Nuttall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OMAHA HOLDINGS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C. Nuttall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Associates 2006 L.P.,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ASSOCIATES 2006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12" w:right="109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KKR Group Holdings Corp., general partner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Robert H. Lewin,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GEORGE R. ROBERTS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Terence P. Gallagher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u w:val="single" w:color="auto"/>
          <w:color w:val="auto"/>
        </w:rPr>
        <w:t>Annex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of KKR &amp; Co. Inc.</w:t>
      </w:r>
    </w:p>
    <w:p>
      <w:pPr>
        <w:spacing w:after="0" w:line="233"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following sets forth the name and principal occupation of each of the directors of KKR &amp; Co. Inc. Each of such persons is a citizen of the United States other than Xavier Niel, who is a citizen of France.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5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Occupation</w:t>
            </w:r>
          </w:p>
        </w:tc>
      </w:tr>
      <w:tr>
        <w:trPr>
          <w:trHeight w:val="210"/>
        </w:trPr>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Henry R. Kravis</w:t>
            </w:r>
          </w:p>
        </w:tc>
        <w:tc>
          <w:tcPr>
            <w:tcW w:w="20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George R. Roberts</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Joseph Y. Bae</w:t>
            </w:r>
          </w:p>
        </w:tc>
        <w:tc>
          <w:tcPr>
            <w:tcW w:w="9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Scott C. Nuttall</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Mary N. Dillon</w:t>
            </w:r>
          </w:p>
        </w:tc>
        <w:tc>
          <w:tcPr>
            <w:tcW w:w="9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of Ulta Beauty, Inc.</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David C. Drummond</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Former Senior Vice President, Corporate Development, Chief Legal Officer and Secretary of Alphabet Inc.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Joseph A. Grundfest</w:t>
            </w:r>
          </w:p>
        </w:tc>
        <w:tc>
          <w:tcPr>
            <w:tcW w:w="9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William A. Franke Professor of Law and Business of Stanford Law School</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John B. Hess</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Hess Corporation</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Xavier Niel</w:t>
            </w:r>
          </w:p>
        </w:tc>
        <w:tc>
          <w:tcPr>
            <w:tcW w:w="9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Founder, Deputy Chairman of the Board and Chief Strategy Officer of Iliad SA</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Patricia F. Russo</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Retired, Former Chief Executive Officer of Alcatel-Lucent</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8"/>
              </w:rPr>
              <w:t>Thomas M. Schoewe</w:t>
            </w:r>
          </w:p>
        </w:tc>
        <w:tc>
          <w:tcPr>
            <w:tcW w:w="9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Retired, Former Executive Vice President and Chief Financial Officer of Wal-Mart Stores, Inc.</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Robert W. Scully</w:t>
            </w:r>
          </w:p>
        </w:tc>
        <w:tc>
          <w:tcPr>
            <w:tcW w:w="9560" w:type="dxa"/>
            <w:vAlign w:val="bottom"/>
            <w:gridSpan w:val="2"/>
          </w:tcPr>
          <w:p>
            <w:pPr>
              <w:ind w:left="200"/>
              <w:spacing w:after="0"/>
              <w:rPr>
                <w:sz w:val="20"/>
                <w:szCs w:val="20"/>
                <w:color w:val="auto"/>
              </w:rPr>
            </w:pPr>
            <w:r>
              <w:rPr>
                <w:rFonts w:ascii="Arial" w:cs="Arial" w:eastAsia="Arial" w:hAnsi="Arial"/>
                <w:sz w:val="18"/>
                <w:szCs w:val="18"/>
                <w:color w:val="auto"/>
              </w:rPr>
              <w:t>Retired, Former Member, Office of the Chairman of Morgan Stanley</w:t>
            </w:r>
          </w:p>
        </w:tc>
      </w:tr>
    </w:tbl>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Mr. Scott Nuttall and a trust for the benefit of Mr. Nuttall’s family directly hold 22,725 and 7,575 shares of Common Stock, respectively, received in the merger of a subsidiary of the Issuer with and into First Data Corporation as merger consideration for the 75,000 and 25,000 shares of Class A common stock of First Data Corporation owned prior to the merger, respectively. Mr. Nuttall, as a member of the board of directors of the Issuer, participates in the Issuer’s non-employee director compensation arrangements. Pursuant to such arrangements, as of the date hereof, Mr. Nuttall has been (i) allocated a total of 495 deferred compensation notional shares allocated under the Fiserv, Inc. Non-Employee Director Deferred Compensation Plan, pursuant to which, following cessation of Mr. Nuttall’s service to the Issuer, each notional unit will be settled in shares of Common Stock on a one-for-one basis, and (ii) awarded 1,934 restricted stock units on May 14, 2020, each representing a contingent right to receive one share of Common Stock, which vest on the earlier of the first anniversary of the grant date or immediately prior to the first annual meeting of shareholders after the grant 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G</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PLEDGE AND SECURITY AGREEMENT</w:t>
      </w:r>
    </w:p>
    <w:p>
      <w:pPr>
        <w:spacing w:after="0" w:line="239" w:lineRule="exact"/>
        <w:rPr>
          <w:sz w:val="20"/>
          <w:szCs w:val="20"/>
          <w:color w:val="auto"/>
        </w:rPr>
      </w:pPr>
    </w:p>
    <w:p>
      <w:pPr>
        <w:ind w:right="180" w:firstLine="810"/>
        <w:spacing w:after="0"/>
        <w:rPr>
          <w:sz w:val="20"/>
          <w:szCs w:val="20"/>
          <w:color w:val="auto"/>
        </w:rPr>
      </w:pPr>
      <w:r>
        <w:rPr>
          <w:rFonts w:ascii="Arial" w:cs="Arial" w:eastAsia="Arial" w:hAnsi="Arial"/>
          <w:sz w:val="22"/>
          <w:szCs w:val="22"/>
          <w:color w:val="auto"/>
        </w:rPr>
        <w:t>This Pledge and Security Agreement (this “</w:t>
      </w:r>
      <w:r>
        <w:rPr>
          <w:rFonts w:ascii="Arial" w:cs="Arial" w:eastAsia="Arial" w:hAnsi="Arial"/>
          <w:sz w:val="22"/>
          <w:szCs w:val="22"/>
          <w:b w:val="1"/>
          <w:bCs w:val="1"/>
          <w:i w:val="1"/>
          <w:iCs w:val="1"/>
          <w:color w:val="auto"/>
        </w:rPr>
        <w:t>Security Agreement</w:t>
      </w:r>
      <w:r>
        <w:rPr>
          <w:rFonts w:ascii="Arial" w:cs="Arial" w:eastAsia="Arial" w:hAnsi="Arial"/>
          <w:sz w:val="22"/>
          <w:szCs w:val="22"/>
          <w:color w:val="auto"/>
        </w:rPr>
        <w:t>”) is entered into as of November 7, 2019 by and between [BANK], as secured party on its own behalf and on behalf of any Agented Lender (“</w:t>
      </w:r>
      <w:r>
        <w:rPr>
          <w:rFonts w:ascii="Arial" w:cs="Arial" w:eastAsia="Arial" w:hAnsi="Arial"/>
          <w:sz w:val="22"/>
          <w:szCs w:val="22"/>
          <w:b w:val="1"/>
          <w:bCs w:val="1"/>
          <w:i w:val="1"/>
          <w:iCs w:val="1"/>
          <w:color w:val="auto"/>
        </w:rPr>
        <w:t>Secured Party</w:t>
      </w:r>
      <w:r>
        <w:rPr>
          <w:rFonts w:ascii="Arial" w:cs="Arial" w:eastAsia="Arial" w:hAnsi="Arial"/>
          <w:sz w:val="22"/>
          <w:szCs w:val="22"/>
          <w:color w:val="auto"/>
        </w:rPr>
        <w:t>”), and New Omaha Holdings, L.P., a Delaware limited partnership, as pledgor (“</w:t>
      </w:r>
      <w:r>
        <w:rPr>
          <w:rFonts w:ascii="Arial" w:cs="Arial" w:eastAsia="Arial" w:hAnsi="Arial"/>
          <w:sz w:val="22"/>
          <w:szCs w:val="22"/>
          <w:b w:val="1"/>
          <w:bCs w:val="1"/>
          <w:i w:val="1"/>
          <w:iCs w:val="1"/>
          <w:color w:val="auto"/>
        </w:rPr>
        <w:t>Pledgor</w:t>
      </w:r>
      <w:r>
        <w:rPr>
          <w:rFonts w:ascii="Arial" w:cs="Arial" w:eastAsia="Arial" w:hAnsi="Arial"/>
          <w:sz w:val="22"/>
          <w:szCs w:val="22"/>
          <w:color w:val="auto"/>
        </w:rPr>
        <w:t>”).</w:t>
      </w:r>
    </w:p>
    <w:p>
      <w:pPr>
        <w:spacing w:after="0" w:line="213" w:lineRule="exact"/>
        <w:rPr>
          <w:sz w:val="20"/>
          <w:szCs w:val="20"/>
          <w:color w:val="auto"/>
        </w:rPr>
      </w:pPr>
    </w:p>
    <w:p>
      <w:pPr>
        <w:ind w:right="60" w:firstLine="810"/>
        <w:spacing w:after="0" w:line="236" w:lineRule="auto"/>
        <w:rPr>
          <w:sz w:val="20"/>
          <w:szCs w:val="20"/>
          <w:color w:val="auto"/>
        </w:rPr>
      </w:pPr>
      <w:r>
        <w:rPr>
          <w:rFonts w:ascii="Arial" w:cs="Arial" w:eastAsia="Arial" w:hAnsi="Arial"/>
          <w:sz w:val="22"/>
          <w:szCs w:val="22"/>
          <w:color w:val="auto"/>
        </w:rPr>
        <w:t>Reference is made herein to that certain Margin Loan Agreement dated as of September 9, 2019 by and among Pledgor, as Borrower, New Omaha Holdings LLC, as Borrower’s general partner, the several Lenders from time to time party thereto (the “</w:t>
      </w:r>
      <w:r>
        <w:rPr>
          <w:rFonts w:ascii="Arial" w:cs="Arial" w:eastAsia="Arial" w:hAnsi="Arial"/>
          <w:sz w:val="22"/>
          <w:szCs w:val="22"/>
          <w:b w:val="1"/>
          <w:bCs w:val="1"/>
          <w:i w:val="1"/>
          <w:iCs w:val="1"/>
          <w:color w:val="auto"/>
        </w:rPr>
        <w:t>Lenders</w:t>
      </w:r>
      <w:r>
        <w:rPr>
          <w:rFonts w:ascii="Arial" w:cs="Arial" w:eastAsia="Arial" w:hAnsi="Arial"/>
          <w:sz w:val="22"/>
          <w:szCs w:val="22"/>
          <w:color w:val="auto"/>
        </w:rPr>
        <w:t>”) and Citibank, N.A., as Administrative Agent (as such may be amended, modified, supplemented or restated from time to time, the “</w:t>
      </w:r>
      <w:r>
        <w:rPr>
          <w:rFonts w:ascii="Arial" w:cs="Arial" w:eastAsia="Arial" w:hAnsi="Arial"/>
          <w:sz w:val="22"/>
          <w:szCs w:val="22"/>
          <w:b w:val="1"/>
          <w:bCs w:val="1"/>
          <w:i w:val="1"/>
          <w:iCs w:val="1"/>
          <w:color w:val="auto"/>
        </w:rPr>
        <w:t>Loan Agreement</w:t>
      </w:r>
      <w:r>
        <w:rPr>
          <w:rFonts w:ascii="Arial" w:cs="Arial" w:eastAsia="Arial" w:hAnsi="Arial"/>
          <w:sz w:val="22"/>
          <w:szCs w:val="22"/>
          <w:color w:val="auto"/>
        </w:rPr>
        <w:t>”). Capitalized terms used but not defined herein shall have the meanings given such terms in the Loan Agreement.</w:t>
      </w:r>
    </w:p>
    <w:p>
      <w:pPr>
        <w:spacing w:after="0" w:line="217" w:lineRule="exact"/>
        <w:rPr>
          <w:sz w:val="20"/>
          <w:szCs w:val="20"/>
          <w:color w:val="auto"/>
        </w:rPr>
      </w:pPr>
    </w:p>
    <w:p>
      <w:pPr>
        <w:ind w:right="820" w:firstLine="8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Secured Party has required, as a condition to the obligation of Secured Party to make loans to Borrower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Pledgor execute and deliver this Security Agreement; and</w:t>
      </w:r>
    </w:p>
    <w:p>
      <w:pPr>
        <w:spacing w:after="0" w:line="189" w:lineRule="exact"/>
        <w:rPr>
          <w:sz w:val="20"/>
          <w:szCs w:val="20"/>
          <w:color w:val="auto"/>
        </w:rPr>
      </w:pPr>
    </w:p>
    <w:p>
      <w:pPr>
        <w:ind w:right="340" w:firstLine="8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Pledgor agrees to grant a security interest in, and pledge and assign as applicable, the Collateral (as defined below) to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as herein provided.</w:t>
      </w:r>
    </w:p>
    <w:p>
      <w:pPr>
        <w:spacing w:after="0" w:line="189" w:lineRule="exact"/>
        <w:rPr>
          <w:sz w:val="20"/>
          <w:szCs w:val="20"/>
          <w:color w:val="auto"/>
        </w:rPr>
      </w:pPr>
    </w:p>
    <w:p>
      <w:pPr>
        <w:ind w:right="80" w:firstLine="81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valuable consideration, the receipt and sufficiency of which are hereby acknowledged and agreed,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79" w:lineRule="exact"/>
        <w:rPr>
          <w:sz w:val="20"/>
          <w:szCs w:val="20"/>
          <w:color w:val="auto"/>
        </w:rPr>
      </w:pPr>
    </w:p>
    <w:p>
      <w:pPr>
        <w:ind w:right="40" w:firstLine="818"/>
        <w:spacing w:after="0" w:line="251" w:lineRule="auto"/>
        <w:tabs>
          <w:tab w:leader="none" w:pos="1512"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Security Interest</w:t>
      </w:r>
      <w:r>
        <w:rPr>
          <w:rFonts w:ascii="Arial" w:cs="Arial" w:eastAsia="Arial" w:hAnsi="Arial"/>
          <w:sz w:val="21"/>
          <w:szCs w:val="21"/>
          <w:color w:val="auto"/>
        </w:rPr>
        <w:t>. For good and valuable consideration, the receipt and adequacy of which are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acknowledged, Pledgor hereby pledges, collaterally assigns and grants to Secured Party, on its own behalf and on behalf of (x) each Agented Lender and (y) all Related Parties of the foregoing to the extent of any Secured Obligations (as defined below) owing to such Related Party, a continuing first priority security interest in and lien on, and a right of set-off against, the Collateral to secure the payment and the performance of the Secured Obligations.</w:t>
      </w:r>
    </w:p>
    <w:p>
      <w:pPr>
        <w:spacing w:after="0" w:line="195" w:lineRule="exact"/>
        <w:rPr>
          <w:rFonts w:ascii="Arial" w:cs="Arial" w:eastAsia="Arial" w:hAnsi="Arial"/>
          <w:sz w:val="21"/>
          <w:szCs w:val="21"/>
          <w:color w:val="auto"/>
        </w:rPr>
      </w:pPr>
    </w:p>
    <w:p>
      <w:pPr>
        <w:ind w:firstLine="818"/>
        <w:spacing w:after="0" w:line="243" w:lineRule="auto"/>
        <w:tabs>
          <w:tab w:leader="none" w:pos="1512"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Collateral</w:t>
      </w:r>
      <w:r>
        <w:rPr>
          <w:rFonts w:ascii="Arial" w:cs="Arial" w:eastAsia="Arial" w:hAnsi="Arial"/>
          <w:sz w:val="22"/>
          <w:szCs w:val="22"/>
          <w:color w:val="auto"/>
        </w:rPr>
        <w:t>. The security interest granted hereunder to Secured Party is in all of Pledgor’s right, title and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in and to, or otherwise with respect to, the following property and assets whether now owned or existing or hereafter acquired or arising and regardless of where located (collectively, the “</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ind w:left="820" w:right="80" w:firstLine="646"/>
        <w:spacing w:after="0" w:line="245" w:lineRule="auto"/>
        <w:tabs>
          <w:tab w:leader="none" w:pos="2248" w:val="left"/>
        </w:tabs>
        <w:numPr>
          <w:ilvl w:val="1"/>
          <w:numId w:val="8"/>
        </w:numPr>
        <w:rPr>
          <w:rFonts w:ascii="Arial" w:cs="Arial" w:eastAsia="Arial" w:hAnsi="Arial"/>
          <w:sz w:val="21"/>
          <w:szCs w:val="21"/>
          <w:color w:val="auto"/>
        </w:rPr>
      </w:pPr>
      <w:r>
        <w:rPr>
          <w:rFonts w:ascii="Arial" w:cs="Arial" w:eastAsia="Arial" w:hAnsi="Arial"/>
          <w:sz w:val="21"/>
          <w:szCs w:val="21"/>
          <w:color w:val="auto"/>
        </w:rPr>
        <w:t>(i) the Collateral Shares (or security entitlements in respect thereof) now or hereafter credited to the Collateral Account (the “</w:t>
      </w:r>
      <w:r>
        <w:rPr>
          <w:rFonts w:ascii="Arial" w:cs="Arial" w:eastAsia="Arial" w:hAnsi="Arial"/>
          <w:sz w:val="21"/>
          <w:szCs w:val="21"/>
          <w:b w:val="1"/>
          <w:bCs w:val="1"/>
          <w:i w:val="1"/>
          <w:iCs w:val="1"/>
          <w:color w:val="auto"/>
        </w:rPr>
        <w:t>Relevant Collateral Shares</w:t>
      </w:r>
      <w:r>
        <w:rPr>
          <w:rFonts w:ascii="Arial" w:cs="Arial" w:eastAsia="Arial" w:hAnsi="Arial"/>
          <w:sz w:val="21"/>
          <w:szCs w:val="21"/>
          <w:color w:val="auto"/>
        </w:rPr>
        <w:t>”); (ii) all dividends, shares, securities, cash, instruments, moneys or property (a) representing a dividend, distribution or return of capital in respect of any of the Relevant Collateral Shares (including, without limitation, any Ordinary Cash Dividend or Extraordinary Distribution thereon) or other property described in this definition, (b) resulting from a split-up (including, without limitation, a Split-off), revision, reclassification, recapitalization or other similar change with respect to any of the Relevant Collateral Shares or other property described in this definition, (c) otherwise received in exchange for or converted from any of the Relevant Collateral Shares or other property described in this definition and any subscription warrants, rights or options issued to the holders of,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21" w:name="page22"/>
    <w:bookmarkEnd w:id="21"/>
    <w:p>
      <w:pPr>
        <w:ind w:left="820"/>
        <w:spacing w:after="0" w:line="236" w:lineRule="auto"/>
        <w:rPr>
          <w:sz w:val="20"/>
          <w:szCs w:val="20"/>
          <w:color w:val="auto"/>
        </w:rPr>
      </w:pPr>
      <w:r>
        <w:rPr>
          <w:rFonts w:ascii="Arial" w:cs="Arial" w:eastAsia="Arial" w:hAnsi="Arial"/>
          <w:sz w:val="22"/>
          <w:szCs w:val="22"/>
          <w:color w:val="auto"/>
        </w:rPr>
        <w:t>otherwise in respect of, any of the Relevant Collateral Shares or other property described in this definition or (d) in connection with a Spin-off; and (iii) in the event of any Merger Event in which Issuer is not the surviving entity, all shares of each class of the capital stock of the successor entity formed by or resulting from such Merger Event and any other consideration that is exchanged for the Relevant Collateral Shares or into which the Relevant Collateral Shares are converted;</w:t>
      </w:r>
    </w:p>
    <w:p>
      <w:pPr>
        <w:spacing w:after="0" w:line="215" w:lineRule="exact"/>
        <w:rPr>
          <w:sz w:val="20"/>
          <w:szCs w:val="20"/>
          <w:color w:val="auto"/>
        </w:rPr>
      </w:pPr>
    </w:p>
    <w:p>
      <w:pPr>
        <w:ind w:left="820" w:right="20" w:firstLine="646"/>
        <w:spacing w:after="0" w:line="274" w:lineRule="auto"/>
        <w:tabs>
          <w:tab w:leader="none" w:pos="2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Collateral Account (as defined below) and any Cash, Cash Equivalents, securities (including the Collateral Shares), general intangibles, investment property, financial assets, and other property that may from time to time be deposited, credited, held or carried in the Collateral Account or that is delivered to or in possession or control of Secured Party or any of Secured Party’s agents pursuant to this Agreement or the Loan Agreement; all security entitlements as defined in §8-102(a)(17) of the UCC (as defined below) with respect to any of the foregoing and all income and profits on any of the foregoing, all dividends, interest and other payments and distributions with respect to any of the foregoing, all other rights and privileges appurtenant to any of the foregoing, including any voting rights and any redemption rights, and any substitutions for any of the foregoing, and any proceeds of any of the foregoing, in each case whether now existing or hereafter arising; and</w:t>
      </w:r>
    </w:p>
    <w:p>
      <w:pPr>
        <w:spacing w:after="0" w:line="185" w:lineRule="exact"/>
        <w:rPr>
          <w:rFonts w:ascii="Arial" w:cs="Arial" w:eastAsia="Arial" w:hAnsi="Arial"/>
          <w:sz w:val="19"/>
          <w:szCs w:val="19"/>
          <w:color w:val="auto"/>
        </w:rPr>
      </w:pPr>
    </w:p>
    <w:p>
      <w:pPr>
        <w:ind w:left="2240" w:hanging="774"/>
        <w:spacing w:after="0"/>
        <w:tabs>
          <w:tab w:leader="none" w:pos="22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all Proceeds (as defined below) of the Collateral described in the foregoing clauses (a) and (b).</w:t>
      </w:r>
    </w:p>
    <w:p>
      <w:pPr>
        <w:spacing w:after="0" w:line="245" w:lineRule="exact"/>
        <w:rPr>
          <w:sz w:val="20"/>
          <w:szCs w:val="20"/>
          <w:color w:val="auto"/>
        </w:rPr>
      </w:pPr>
    </w:p>
    <w:p>
      <w:pPr>
        <w:ind w:right="40" w:firstLine="810"/>
        <w:spacing w:after="0" w:line="277" w:lineRule="auto"/>
        <w:rPr>
          <w:sz w:val="20"/>
          <w:szCs w:val="20"/>
          <w:color w:val="auto"/>
        </w:rPr>
      </w:pPr>
      <w:r>
        <w:rPr>
          <w:rFonts w:ascii="Arial" w:cs="Arial" w:eastAsia="Arial" w:hAnsi="Arial"/>
          <w:sz w:val="19"/>
          <w:szCs w:val="19"/>
          <w:color w:val="auto"/>
        </w:rPr>
        <w:t>As used herein, the term “</w:t>
      </w:r>
      <w:r>
        <w:rPr>
          <w:rFonts w:ascii="Arial" w:cs="Arial" w:eastAsia="Arial" w:hAnsi="Arial"/>
          <w:sz w:val="19"/>
          <w:szCs w:val="19"/>
          <w:b w:val="1"/>
          <w:bCs w:val="1"/>
          <w:i w:val="1"/>
          <w:iCs w:val="1"/>
          <w:color w:val="auto"/>
        </w:rPr>
        <w:t>Collateral Account</w:t>
      </w:r>
      <w:r>
        <w:rPr>
          <w:rFonts w:ascii="Arial" w:cs="Arial" w:eastAsia="Arial" w:hAnsi="Arial"/>
          <w:sz w:val="19"/>
          <w:szCs w:val="19"/>
          <w:color w:val="auto"/>
        </w:rPr>
        <w:t>” means that certain securities account No. [ACCOUNT] of Pledgor established and maintained by the Custodian, including any subaccount, substitute, successor or replacement securities or deposit account, or any custodial or other such account in or to which any Collateral is now or hereafter held or credited. Any renumbering of the Collateral Account by Custodian shall not limit the rights of Secured Party hereunder, and, to the extent necessary, such renumbering shall be automatically incorporated into the definition of Collateral Account. “</w:t>
      </w:r>
      <w:r>
        <w:rPr>
          <w:rFonts w:ascii="Arial" w:cs="Arial" w:eastAsia="Arial" w:hAnsi="Arial"/>
          <w:sz w:val="19"/>
          <w:szCs w:val="19"/>
          <w:b w:val="1"/>
          <w:bCs w:val="1"/>
          <w:i w:val="1"/>
          <w:iCs w:val="1"/>
          <w:color w:val="auto"/>
        </w:rPr>
        <w:t>Proceeds</w:t>
      </w:r>
      <w:r>
        <w:rPr>
          <w:rFonts w:ascii="Arial" w:cs="Arial" w:eastAsia="Arial" w:hAnsi="Arial"/>
          <w:sz w:val="19"/>
          <w:szCs w:val="19"/>
          <w:color w:val="auto"/>
        </w:rPr>
        <w:t>” means all proceeds of, and all other profits, products, rents or receipts, in whatever form, arising from the collection, sale, lease, exchange, assignment, or other disposition of, or other realization upon, any Collateral.</w:t>
      </w:r>
    </w:p>
    <w:p>
      <w:pPr>
        <w:spacing w:after="0" w:line="179" w:lineRule="exact"/>
        <w:rPr>
          <w:sz w:val="20"/>
          <w:szCs w:val="20"/>
          <w:color w:val="auto"/>
        </w:rPr>
      </w:pPr>
    </w:p>
    <w:p>
      <w:pPr>
        <w:ind w:right="160" w:firstLine="810"/>
        <w:spacing w:after="0"/>
        <w:rPr>
          <w:sz w:val="20"/>
          <w:szCs w:val="20"/>
          <w:color w:val="auto"/>
        </w:rPr>
      </w:pPr>
      <w:r>
        <w:rPr>
          <w:rFonts w:ascii="Arial" w:cs="Arial" w:eastAsia="Arial" w:hAnsi="Arial"/>
          <w:sz w:val="22"/>
          <w:szCs w:val="22"/>
          <w:color w:val="auto"/>
        </w:rPr>
        <w:t>The security interest granted hereunder is granted as security only and shall not subject Secured Party to, or transfer or in any way affect or modify, any obligation or liability of Pledgor with respect to any of the Collateral or any transaction in connection therewith.</w:t>
      </w:r>
    </w:p>
    <w:p>
      <w:pPr>
        <w:spacing w:after="0" w:line="207" w:lineRule="exact"/>
        <w:rPr>
          <w:sz w:val="20"/>
          <w:szCs w:val="20"/>
          <w:color w:val="auto"/>
        </w:rPr>
      </w:pPr>
    </w:p>
    <w:p>
      <w:pPr>
        <w:ind w:left="1520" w:hanging="702"/>
        <w:spacing w:after="0"/>
        <w:tabs>
          <w:tab w:leader="none" w:pos="152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Collateral Maintenance and Administration</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820" w:right="40" w:firstLine="646"/>
        <w:spacing w:after="0" w:line="235" w:lineRule="auto"/>
        <w:tabs>
          <w:tab w:leader="none" w:pos="2248" w:val="left"/>
        </w:tabs>
        <w:numPr>
          <w:ilvl w:val="1"/>
          <w:numId w:val="10"/>
        </w:numPr>
        <w:rPr>
          <w:rFonts w:ascii="Arial" w:cs="Arial" w:eastAsia="Arial" w:hAnsi="Arial"/>
          <w:sz w:val="22"/>
          <w:szCs w:val="22"/>
          <w:color w:val="auto"/>
        </w:rPr>
      </w:pPr>
      <w:r>
        <w:rPr>
          <w:rFonts w:ascii="Arial" w:cs="Arial" w:eastAsia="Arial" w:hAnsi="Arial"/>
          <w:sz w:val="22"/>
          <w:szCs w:val="22"/>
          <w:color w:val="auto"/>
        </w:rPr>
        <w:t>Promptly upon written demand of Secured Party, Pledgor shall pay to Secured Party the amount of any Taxes that Secured Party may be required to pay with respect to the Collateral by reason of the security interest granted herein (including but not limited to any Taxes with respect to (x) income earned with respect to the Collateral or (y) any proceeds or income from the sale, loan or other transfer of any Collateral) or to free any Collateral from any Lien thereon (other than Permitted Liens). For the avoidance of doubt, this provision does not apply to Taxes imposed on Secured Party in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ind w:left="780" w:right="260"/>
        <w:spacing w:after="0" w:line="251" w:lineRule="auto"/>
        <w:rPr>
          <w:sz w:val="20"/>
          <w:szCs w:val="20"/>
          <w:color w:val="auto"/>
        </w:rPr>
      </w:pPr>
      <w:r>
        <w:rPr>
          <w:rFonts w:ascii="Arial" w:cs="Arial" w:eastAsia="Arial" w:hAnsi="Arial"/>
          <w:sz w:val="22"/>
          <w:szCs w:val="22"/>
          <w:color w:val="auto"/>
        </w:rPr>
        <w:t>its capacity as beneficial owner of any assets formerly held as Collateral should the Secured Party acquire such assets from Pledgor.</w:t>
      </w:r>
    </w:p>
    <w:p>
      <w:pPr>
        <w:spacing w:after="0" w:line="200" w:lineRule="exact"/>
        <w:rPr>
          <w:sz w:val="20"/>
          <w:szCs w:val="20"/>
          <w:color w:val="auto"/>
        </w:rPr>
      </w:pPr>
    </w:p>
    <w:p>
      <w:pPr>
        <w:ind w:left="780" w:right="260" w:firstLine="646"/>
        <w:spacing w:after="0" w:line="297" w:lineRule="auto"/>
        <w:tabs>
          <w:tab w:leader="none" w:pos="2220" w:val="left"/>
        </w:tabs>
        <w:numPr>
          <w:ilvl w:val="1"/>
          <w:numId w:val="11"/>
        </w:numPr>
        <w:rPr>
          <w:rFonts w:ascii="Arial" w:cs="Arial" w:eastAsia="Arial" w:hAnsi="Arial"/>
          <w:sz w:val="19"/>
          <w:szCs w:val="19"/>
          <w:color w:val="auto"/>
        </w:rPr>
      </w:pPr>
      <w:r>
        <w:rPr>
          <w:rFonts w:ascii="Arial" w:cs="Arial" w:eastAsia="Arial" w:hAnsi="Arial"/>
          <w:sz w:val="19"/>
          <w:szCs w:val="19"/>
          <w:color w:val="auto"/>
        </w:rPr>
        <w:t>Unless an Event of Default has occurred and is continuing, Secured Party shall not have the right to rehypothecate, use, borrow, lend, pledge or sell the Relevant Collateral Shares, except as contemplated by the Margin Loan Documentation or with Pledgor’s consent. Issuer is an intended third-party beneficiary of this Section 3(b).</w:t>
      </w:r>
    </w:p>
    <w:p>
      <w:pPr>
        <w:spacing w:after="0" w:line="160" w:lineRule="exact"/>
        <w:rPr>
          <w:rFonts w:ascii="Arial" w:cs="Arial" w:eastAsia="Arial" w:hAnsi="Arial"/>
          <w:sz w:val="19"/>
          <w:szCs w:val="19"/>
          <w:color w:val="auto"/>
        </w:rPr>
      </w:pPr>
    </w:p>
    <w:p>
      <w:pPr>
        <w:ind w:left="780" w:right="500" w:firstLine="646"/>
        <w:spacing w:after="0"/>
        <w:tabs>
          <w:tab w:leader="none" w:pos="21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At all times prior to the sale of any Relevant Collateral Shares pursuant to an exercise of remedies hereunder, subject to Section 6.11 of the Loan Agreement, Pledgor shall be entitled to exercise voting rights with respect to the Relevant Collateral Shares.</w:t>
      </w:r>
    </w:p>
    <w:p>
      <w:pPr>
        <w:spacing w:after="0" w:line="213" w:lineRule="exact"/>
        <w:rPr>
          <w:rFonts w:ascii="Arial" w:cs="Arial" w:eastAsia="Arial" w:hAnsi="Arial"/>
          <w:sz w:val="22"/>
          <w:szCs w:val="22"/>
          <w:color w:val="auto"/>
        </w:rPr>
      </w:pPr>
    </w:p>
    <w:p>
      <w:pPr>
        <w:ind w:left="780" w:right="320" w:firstLine="646"/>
        <w:spacing w:after="0" w:line="328" w:lineRule="auto"/>
        <w:tabs>
          <w:tab w:leader="none" w:pos="2216"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parties hereto agree that at all times prior to the sale of any Collateral pursuant to an exercise of remedies hereunder, Pledgor shall be treated as the owner of the Collateral for U.S. Federal and state tax purposes.</w:t>
      </w:r>
    </w:p>
    <w:p>
      <w:pPr>
        <w:spacing w:after="0" w:line="131" w:lineRule="exact"/>
        <w:rPr>
          <w:rFonts w:ascii="Arial" w:cs="Arial" w:eastAsia="Arial" w:hAnsi="Arial"/>
          <w:sz w:val="19"/>
          <w:szCs w:val="19"/>
          <w:color w:val="auto"/>
        </w:rPr>
      </w:pPr>
    </w:p>
    <w:p>
      <w:pPr>
        <w:ind w:left="780" w:firstLine="646"/>
        <w:spacing w:after="0" w:line="277" w:lineRule="auto"/>
        <w:tabs>
          <w:tab w:leader="none" w:pos="2208" w:val="left"/>
        </w:tabs>
        <w:numPr>
          <w:ilvl w:val="1"/>
          <w:numId w:val="11"/>
        </w:numPr>
        <w:rPr>
          <w:rFonts w:ascii="Arial" w:cs="Arial" w:eastAsia="Arial" w:hAnsi="Arial"/>
          <w:sz w:val="19"/>
          <w:szCs w:val="19"/>
          <w:color w:val="auto"/>
        </w:rPr>
      </w:pPr>
      <w:r>
        <w:rPr>
          <w:rFonts w:ascii="Arial" w:cs="Arial" w:eastAsia="Arial" w:hAnsi="Arial"/>
          <w:sz w:val="19"/>
          <w:szCs w:val="19"/>
          <w:color w:val="auto"/>
        </w:rPr>
        <w:t>Pledgor shall cause Collateral to be posted to accounts designated by the relevant Lender (which shall initially be such Lender’s Collateral Accounts) on a Pro Rata Basis in accordance with the Share Segregation Condition, as and when, and in the manner, required under the Loan Agreement. In the case of Relevant Collateral Shares, Pledgor shall cause such Relevant Collateral Shares to be (i) (x) transferred to the Custodian through the facilities of the Depository Trust Company or (y) registered in the name of the Custodian on the share register maintained by the transfer agent of the Issuer, as applicable, and (ii) credited to the Collateral Accounts in accordance with the Share Segregation Condition, in each case as and when, and in the manner required, under the Loan Agreement.</w:t>
      </w:r>
    </w:p>
    <w:p>
      <w:pPr>
        <w:spacing w:after="0" w:line="172" w:lineRule="exact"/>
        <w:rPr>
          <w:rFonts w:ascii="Arial" w:cs="Arial" w:eastAsia="Arial" w:hAnsi="Arial"/>
          <w:sz w:val="19"/>
          <w:szCs w:val="19"/>
          <w:color w:val="auto"/>
        </w:rPr>
      </w:pPr>
    </w:p>
    <w:p>
      <w:pPr>
        <w:ind w:left="-40" w:right="240" w:firstLine="818"/>
        <w:spacing w:after="0" w:line="256" w:lineRule="auto"/>
        <w:tabs>
          <w:tab w:leader="none" w:pos="1472"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Secured Obligations</w:t>
      </w:r>
      <w:r>
        <w:rPr>
          <w:rFonts w:ascii="Arial" w:cs="Arial" w:eastAsia="Arial" w:hAnsi="Arial"/>
          <w:sz w:val="22"/>
          <w:szCs w:val="22"/>
          <w:color w:val="auto"/>
        </w:rPr>
        <w:t>. All Obligations owed to Secured Party or any Agented Lender or their Related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the “</w:t>
      </w:r>
      <w:r>
        <w:rPr>
          <w:rFonts w:ascii="Arial" w:cs="Arial" w:eastAsia="Arial" w:hAnsi="Arial"/>
          <w:sz w:val="22"/>
          <w:szCs w:val="22"/>
          <w:b w:val="1"/>
          <w:bCs w:val="1"/>
          <w:i w:val="1"/>
          <w:iCs w:val="1"/>
          <w:color w:val="auto"/>
        </w:rPr>
        <w:t>Secured Obligations</w:t>
      </w:r>
      <w:r>
        <w:rPr>
          <w:rFonts w:ascii="Arial" w:cs="Arial" w:eastAsia="Arial" w:hAnsi="Arial"/>
          <w:sz w:val="22"/>
          <w:szCs w:val="22"/>
          <w:color w:val="auto"/>
        </w:rPr>
        <w:t>”) are secured by this Security Agreement.</w:t>
      </w:r>
    </w:p>
    <w:p>
      <w:pPr>
        <w:spacing w:after="0" w:line="189" w:lineRule="exact"/>
        <w:rPr>
          <w:rFonts w:ascii="Arial" w:cs="Arial" w:eastAsia="Arial" w:hAnsi="Arial"/>
          <w:sz w:val="22"/>
          <w:szCs w:val="22"/>
          <w:color w:val="auto"/>
        </w:rPr>
      </w:pPr>
    </w:p>
    <w:p>
      <w:pPr>
        <w:ind w:left="-40" w:right="20" w:firstLine="818"/>
        <w:spacing w:after="0" w:line="243" w:lineRule="auto"/>
        <w:tabs>
          <w:tab w:leader="none" w:pos="1472"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Pledgor’s Representations and Warranties</w:t>
      </w:r>
      <w:r>
        <w:rPr>
          <w:rFonts w:ascii="Arial" w:cs="Arial" w:eastAsia="Arial" w:hAnsi="Arial"/>
          <w:sz w:val="22"/>
          <w:szCs w:val="22"/>
          <w:color w:val="auto"/>
        </w:rPr>
        <w:t>. Pledgor hereby represents and warrants to Secured Party,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hereof and any subsequent date on which Collateral is deposited into or credited to the Collateral Account or delivered to Custodian, that:</w:t>
      </w:r>
    </w:p>
    <w:p>
      <w:pPr>
        <w:spacing w:after="0" w:line="209" w:lineRule="exact"/>
        <w:rPr>
          <w:rFonts w:ascii="Arial" w:cs="Arial" w:eastAsia="Arial" w:hAnsi="Arial"/>
          <w:sz w:val="22"/>
          <w:szCs w:val="22"/>
          <w:color w:val="auto"/>
        </w:rPr>
      </w:pPr>
    </w:p>
    <w:p>
      <w:pPr>
        <w:ind w:left="780" w:right="100" w:firstLine="646"/>
        <w:spacing w:after="0" w:line="328" w:lineRule="auto"/>
        <w:tabs>
          <w:tab w:leader="none" w:pos="2204"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security interest in the Collateral granted to the Secured Party pursuant to this Security Agreement is a valid and binding security interest in the Collateral (subject to no other Liens, other than Permitted Liens).</w:t>
      </w:r>
    </w:p>
    <w:p>
      <w:pPr>
        <w:spacing w:after="0" w:line="131" w:lineRule="exact"/>
        <w:rPr>
          <w:rFonts w:ascii="Arial" w:cs="Arial" w:eastAsia="Arial" w:hAnsi="Arial"/>
          <w:sz w:val="19"/>
          <w:szCs w:val="19"/>
          <w:color w:val="auto"/>
        </w:rPr>
      </w:pPr>
    </w:p>
    <w:p>
      <w:pPr>
        <w:ind w:left="780" w:right="40" w:firstLine="646"/>
        <w:spacing w:after="0" w:line="235" w:lineRule="auto"/>
        <w:tabs>
          <w:tab w:leader="none" w:pos="22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Subject to the execution of the Control Agreement with respect to the Collateral Account by the parties thereto, (i) the security interest created in favor of Secured Party in the Collateral Account and the security entitlements in respect of the Relevant Collateral Shares and other financial assets credited thereto will constitute a perfected first priority security interest securing the Secured Obligations, (ii) Secured Party will have control (within the meaning of Sections 8-106 and 9-106 of the UCC) thereof and (iii) no action based on an adverse claim to such security entitlement or such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23" w:name="page24"/>
    <w:bookmarkEnd w:id="23"/>
    <w:p>
      <w:pPr>
        <w:ind w:left="2" w:right="740"/>
        <w:spacing w:after="0" w:line="251" w:lineRule="auto"/>
        <w:rPr>
          <w:sz w:val="20"/>
          <w:szCs w:val="20"/>
          <w:color w:val="auto"/>
        </w:rPr>
      </w:pPr>
      <w:r>
        <w:rPr>
          <w:rFonts w:ascii="Arial" w:cs="Arial" w:eastAsia="Arial" w:hAnsi="Arial"/>
          <w:sz w:val="22"/>
          <w:szCs w:val="22"/>
          <w:color w:val="auto"/>
        </w:rPr>
        <w:t>financial asset, whether framed in conversion, replevin, constructive trust, equitable lien or other theory, may be asserted against Secured Party.</w:t>
      </w:r>
    </w:p>
    <w:p>
      <w:pPr>
        <w:spacing w:after="0" w:line="200" w:lineRule="exact"/>
        <w:rPr>
          <w:sz w:val="20"/>
          <w:szCs w:val="20"/>
          <w:color w:val="auto"/>
        </w:rPr>
      </w:pPr>
    </w:p>
    <w:p>
      <w:pPr>
        <w:spacing w:after="0" w:line="243" w:lineRule="exact"/>
        <w:rPr>
          <w:sz w:val="20"/>
          <w:szCs w:val="20"/>
          <w:color w:val="auto"/>
        </w:rPr>
      </w:pPr>
    </w:p>
    <w:p>
      <w:pPr>
        <w:ind w:left="2" w:firstLine="646"/>
        <w:spacing w:after="0" w:line="236" w:lineRule="auto"/>
        <w:tabs>
          <w:tab w:leader="none" w:pos="1426" w:val="left"/>
        </w:tabs>
        <w:numPr>
          <w:ilvl w:val="1"/>
          <w:numId w:val="13"/>
        </w:numPr>
        <w:rPr>
          <w:rFonts w:ascii="Arial" w:cs="Arial" w:eastAsia="Arial" w:hAnsi="Arial"/>
          <w:sz w:val="22"/>
          <w:szCs w:val="22"/>
          <w:color w:val="auto"/>
        </w:rPr>
      </w:pPr>
      <w:r>
        <w:rPr>
          <w:rFonts w:ascii="Arial" w:cs="Arial" w:eastAsia="Arial" w:hAnsi="Arial"/>
          <w:sz w:val="22"/>
          <w:szCs w:val="22"/>
          <w:color w:val="auto"/>
        </w:rPr>
        <w:t>With respect to all Collateral that may be perfected by filing a financing statement pursuant to the UCC, when a UCC financing statement in the form of Exhibit A hereto is filed in the appropriate office against Pledgor in the location listed on Schedule 1 (naming Pledgor as the debtor and Secured Party as the secured party), Secured Party will have a valid and perfected first priority security interest in such Collateral as security for the payment and performance of the Secured Obligations.</w:t>
      </w:r>
    </w:p>
    <w:p>
      <w:pPr>
        <w:spacing w:after="0" w:line="214" w:lineRule="exact"/>
        <w:rPr>
          <w:rFonts w:ascii="Arial" w:cs="Arial" w:eastAsia="Arial" w:hAnsi="Arial"/>
          <w:sz w:val="22"/>
          <w:szCs w:val="22"/>
          <w:color w:val="auto"/>
        </w:rPr>
      </w:pPr>
    </w:p>
    <w:p>
      <w:pPr>
        <w:ind w:left="2" w:right="60" w:firstLine="646"/>
        <w:spacing w:after="0" w:line="275" w:lineRule="auto"/>
        <w:tabs>
          <w:tab w:leader="none" w:pos="1388" w:val="left"/>
        </w:tabs>
        <w:numPr>
          <w:ilvl w:val="1"/>
          <w:numId w:val="13"/>
        </w:numPr>
        <w:rPr>
          <w:rFonts w:ascii="Arial" w:cs="Arial" w:eastAsia="Arial" w:hAnsi="Arial"/>
          <w:sz w:val="19"/>
          <w:szCs w:val="19"/>
          <w:color w:val="auto"/>
        </w:rPr>
      </w:pPr>
      <w:r>
        <w:rPr>
          <w:rFonts w:ascii="Arial" w:cs="Arial" w:eastAsia="Arial" w:hAnsi="Arial"/>
          <w:sz w:val="19"/>
          <w:szCs w:val="19"/>
          <w:color w:val="auto"/>
        </w:rPr>
        <w:t>(i) The Advances made by Secured Party or any Agented Lender under the Loan Agreement and the pledge of the Relevant Collateral Shares (or security entitlements in respect thereof) by the Pledgor hereunder are not a device to secure the sale thereof, (ii) the Pledgor has no expectation or intention that an Event of Default will occur under the Loan Agreement, (iii) the Pledgor intends and expects to repay in full the Secured Obligations in a manner that will not result in a sale by the Secured Party of such Relevant Collateral Shares, (iv) the pledge of such Relevant Collateral Shares hereunder constitutes a bona fide pledge and (v) Secured Party has full recourse to the Pledgor with respect to the Secured Obligations. The representation and warranty set forth in this clause (d) shall be deemed repeated as of any date on which Collateral is released under the Loan Agreement.</w:t>
      </w:r>
    </w:p>
    <w:p>
      <w:pPr>
        <w:spacing w:after="0" w:line="178" w:lineRule="exact"/>
        <w:rPr>
          <w:rFonts w:ascii="Arial" w:cs="Arial" w:eastAsia="Arial" w:hAnsi="Arial"/>
          <w:sz w:val="19"/>
          <w:szCs w:val="19"/>
          <w:color w:val="auto"/>
        </w:rPr>
      </w:pPr>
    </w:p>
    <w:p>
      <w:pPr>
        <w:ind w:left="702" w:hanging="702"/>
        <w:spacing w:after="0"/>
        <w:tabs>
          <w:tab w:leader="none" w:pos="702"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Pledgor’s Covenants</w:t>
      </w:r>
      <w:r>
        <w:rPr>
          <w:rFonts w:ascii="Arial" w:cs="Arial" w:eastAsia="Arial" w:hAnsi="Arial"/>
          <w:sz w:val="22"/>
          <w:szCs w:val="22"/>
          <w:color w:val="auto"/>
        </w:rPr>
        <w:t>. During the term of this Security Agreement:</w:t>
      </w:r>
    </w:p>
    <w:p>
      <w:pPr>
        <w:spacing w:after="0" w:line="239" w:lineRule="exact"/>
        <w:rPr>
          <w:rFonts w:ascii="Arial" w:cs="Arial" w:eastAsia="Arial" w:hAnsi="Arial"/>
          <w:sz w:val="22"/>
          <w:szCs w:val="22"/>
          <w:color w:val="auto"/>
        </w:rPr>
      </w:pPr>
    </w:p>
    <w:p>
      <w:pPr>
        <w:jc w:val="both"/>
        <w:ind w:left="2" w:right="220" w:firstLine="646"/>
        <w:spacing w:after="0" w:line="238" w:lineRule="auto"/>
        <w:tabs>
          <w:tab w:leader="none" w:pos="1430" w:val="left"/>
        </w:tabs>
        <w:numPr>
          <w:ilvl w:val="1"/>
          <w:numId w:val="14"/>
        </w:numPr>
        <w:rPr>
          <w:rFonts w:ascii="Arial" w:cs="Arial" w:eastAsia="Arial" w:hAnsi="Arial"/>
          <w:sz w:val="22"/>
          <w:szCs w:val="22"/>
          <w:color w:val="auto"/>
        </w:rPr>
      </w:pPr>
      <w:r>
        <w:rPr>
          <w:rFonts w:ascii="Arial" w:cs="Arial" w:eastAsia="Arial" w:hAnsi="Arial"/>
          <w:sz w:val="22"/>
          <w:szCs w:val="22"/>
          <w:color w:val="auto"/>
        </w:rPr>
        <w:t>Pledgor shall defend the Collateral against all claims and demands of all persons at any time claiming any interest therein adverse to Secured Party. Pledgor shall not, at any time, file or suffer to be on file, or authorize to be filed or to be on file, in any jurisdiction, any financing statement or like instrument with respect to the Collateral in which Secured Party is not named as the sole secured party.</w:t>
      </w:r>
    </w:p>
    <w:p>
      <w:pPr>
        <w:spacing w:after="0" w:line="211" w:lineRule="exact"/>
        <w:rPr>
          <w:rFonts w:ascii="Arial" w:cs="Arial" w:eastAsia="Arial" w:hAnsi="Arial"/>
          <w:sz w:val="22"/>
          <w:szCs w:val="22"/>
          <w:color w:val="auto"/>
        </w:rPr>
      </w:pPr>
    </w:p>
    <w:p>
      <w:pPr>
        <w:ind w:left="2" w:right="40" w:firstLine="646"/>
        <w:spacing w:after="0" w:line="279" w:lineRule="auto"/>
        <w:tabs>
          <w:tab w:leader="none" w:pos="1438" w:val="left"/>
        </w:tabs>
        <w:numPr>
          <w:ilvl w:val="1"/>
          <w:numId w:val="14"/>
        </w:numPr>
        <w:rPr>
          <w:rFonts w:ascii="Arial" w:cs="Arial" w:eastAsia="Arial" w:hAnsi="Arial"/>
          <w:sz w:val="19"/>
          <w:szCs w:val="19"/>
          <w:color w:val="auto"/>
        </w:rPr>
      </w:pPr>
      <w:r>
        <w:rPr>
          <w:rFonts w:ascii="Arial" w:cs="Arial" w:eastAsia="Arial" w:hAnsi="Arial"/>
          <w:sz w:val="19"/>
          <w:szCs w:val="19"/>
          <w:color w:val="auto"/>
        </w:rPr>
        <w:t>Whether the Collateral is or is not in Secured Party’s possession, and without any obligation to do so and without waiving Pledgor’s default for failure to make any such payment, Secured Party at its option may, following notice to the Pledgor when it may reasonably do so without prejudice, pay any such costs and expenses and discharge encumbrances on the Collateral, and any payments of such costs and expenses and any payments to discharge such encumbrances shall be a part of the Secured Obligations. Pledgor agrees to reimburse Secured Party on demand for any payments of such costs and expenses and any payments to discharge such encumbrances.</w:t>
      </w:r>
    </w:p>
    <w:p>
      <w:pPr>
        <w:spacing w:after="0" w:line="177" w:lineRule="exact"/>
        <w:rPr>
          <w:rFonts w:ascii="Arial" w:cs="Arial" w:eastAsia="Arial" w:hAnsi="Arial"/>
          <w:sz w:val="19"/>
          <w:szCs w:val="19"/>
          <w:color w:val="auto"/>
        </w:rPr>
      </w:pPr>
    </w:p>
    <w:p>
      <w:pPr>
        <w:ind w:left="2" w:right="240" w:firstLine="646"/>
        <w:spacing w:after="0" w:line="279" w:lineRule="auto"/>
        <w:tabs>
          <w:tab w:leader="none" w:pos="143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Pledgor shall take such other actions as Secured Party shall reasonably determine is necessary or appropriate to perfect and duly record the Lien created under this Security Agreement in the Collateral, including executing, delivering, filing and/or recording, in such locations and jurisdictions as Secured Party shall specify, any financing statement, register of mortgages and charges, notice, instrument, document, agreement or other papers that may be necessary or desirable (in the reasonable judgment of Secured Party) to create, preserve or perfect the security interest granted pursuant hereto and the priority thereof or to enable Secured Party to exercise and enforce its</w:t>
      </w:r>
    </w:p>
    <w:p>
      <w:pPr>
        <w:spacing w:after="0" w:line="355" w:lineRule="exact"/>
        <w:rPr>
          <w:sz w:val="20"/>
          <w:szCs w:val="20"/>
          <w:color w:val="auto"/>
        </w:rPr>
      </w:pPr>
    </w:p>
    <w:p>
      <w:pPr>
        <w:ind w:left="4762"/>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2"/>
          </w:cols>
          <w:pgMar w:left="1138" w:top="118" w:right="339" w:bottom="1440" w:gutter="0" w:footer="0" w:header="0"/>
        </w:sectPr>
      </w:pPr>
    </w:p>
    <w:bookmarkStart w:id="24" w:name="page25"/>
    <w:bookmarkEnd w:id="24"/>
    <w:p>
      <w:pPr>
        <w:ind w:left="800" w:right="20"/>
        <w:spacing w:after="0" w:line="236" w:lineRule="auto"/>
        <w:rPr>
          <w:sz w:val="20"/>
          <w:szCs w:val="20"/>
          <w:color w:val="auto"/>
        </w:rPr>
      </w:pPr>
      <w:r>
        <w:rPr>
          <w:rFonts w:ascii="Arial" w:cs="Arial" w:eastAsia="Arial" w:hAnsi="Arial"/>
          <w:sz w:val="22"/>
          <w:szCs w:val="22"/>
          <w:color w:val="auto"/>
        </w:rPr>
        <w:t>rights under this Security Agreement with respect to such security interest, including, without limitation, executing and delivering or causing the execution and delivery of a control agreement with respect to the Collateral Account and/or, in the event that any Collateral (other than Cash or Cash Equivalents) is not held through DTC or another clearing corporation (as defined in the UCC), causing any or all of the Collateral to be transferred of record into the name of Custodian or Secured Party or its nominee.</w:t>
      </w:r>
    </w:p>
    <w:p>
      <w:pPr>
        <w:spacing w:after="0" w:line="215" w:lineRule="exact"/>
        <w:rPr>
          <w:sz w:val="20"/>
          <w:szCs w:val="20"/>
          <w:color w:val="auto"/>
        </w:rPr>
      </w:pPr>
    </w:p>
    <w:p>
      <w:pPr>
        <w:ind w:left="800" w:right="60" w:firstLine="646"/>
        <w:spacing w:after="0" w:line="245" w:lineRule="auto"/>
        <w:tabs>
          <w:tab w:leader="none" w:pos="2240" w:val="left"/>
        </w:tabs>
        <w:numPr>
          <w:ilvl w:val="1"/>
          <w:numId w:val="15"/>
        </w:numPr>
        <w:rPr>
          <w:rFonts w:ascii="Arial" w:cs="Arial" w:eastAsia="Arial" w:hAnsi="Arial"/>
          <w:sz w:val="21"/>
          <w:szCs w:val="21"/>
          <w:color w:val="auto"/>
        </w:rPr>
      </w:pPr>
      <w:r>
        <w:rPr>
          <w:rFonts w:ascii="Arial" w:cs="Arial" w:eastAsia="Arial" w:hAnsi="Arial"/>
          <w:sz w:val="21"/>
          <w:szCs w:val="21"/>
          <w:color w:val="auto"/>
        </w:rPr>
        <w:t>Pledgor shall (i) promptly furnish Secured Party any information with respect to the Collateral reasonably requested by Secured Party and (ii) allow Secured Party or its representatives to inspect and copy, or furnish Secured Party or its representatives with copies of, all records relating to the Collateral (other than, in each case, information or records Pledgor is prohibited from disclosing due to applicable Law, and Tax returns of Pledgor, Fund Entities or Affiliates (other than the Issuer and its subsidiaries) of any of the foregoing, other than receipts or other evidence showing the payment of Taxes with respect to the Collateral), subject to Section 5.06 of the Loan Agreement. Notwithstanding the foregoing, to the extent any information requested by Secured Party is not then available, Pledgor will furnish to Secured Party or cause to be furnished to Secured Party such information as soon as reasonably practicable after such request.</w:t>
      </w:r>
    </w:p>
    <w:p>
      <w:pPr>
        <w:spacing w:after="0" w:line="211" w:lineRule="exact"/>
        <w:rPr>
          <w:rFonts w:ascii="Arial" w:cs="Arial" w:eastAsia="Arial" w:hAnsi="Arial"/>
          <w:sz w:val="21"/>
          <w:szCs w:val="21"/>
          <w:color w:val="auto"/>
        </w:rPr>
      </w:pPr>
    </w:p>
    <w:p>
      <w:pPr>
        <w:ind w:left="800" w:firstLine="646"/>
        <w:spacing w:after="0" w:line="248" w:lineRule="auto"/>
        <w:tabs>
          <w:tab w:leader="none" w:pos="2224" w:val="left"/>
        </w:tabs>
        <w:numPr>
          <w:ilvl w:val="1"/>
          <w:numId w:val="15"/>
        </w:numPr>
        <w:rPr>
          <w:rFonts w:ascii="Arial" w:cs="Arial" w:eastAsia="Arial" w:hAnsi="Arial"/>
          <w:sz w:val="21"/>
          <w:szCs w:val="21"/>
          <w:color w:val="auto"/>
        </w:rPr>
      </w:pPr>
      <w:r>
        <w:rPr>
          <w:rFonts w:ascii="Arial" w:cs="Arial" w:eastAsia="Arial" w:hAnsi="Arial"/>
          <w:sz w:val="21"/>
          <w:szCs w:val="21"/>
          <w:color w:val="auto"/>
        </w:rPr>
        <w:t>Without at least ten (10) days’ prior written notice to Secured Party, Pledgor shall not (i) maintain any of Pledgor’s books and records with respect to the Collateral at any office, or maintain Pledgor’s place of business (or, if Pledgor has more than one place of business, Pledgor’s chief executive office) at any place other than at the address indicated in Section 9.02(a) of the Loan Agreement or (ii) any change to Pledgor’s name, or the name under which Pledgor does business, or the form or jurisdiction of Pledgor’s organization from the name, form and jurisdiction set forth on the first page of this Security Agreement.</w:t>
      </w:r>
    </w:p>
    <w:p>
      <w:pPr>
        <w:spacing w:after="0" w:line="203" w:lineRule="exact"/>
        <w:rPr>
          <w:rFonts w:ascii="Arial" w:cs="Arial" w:eastAsia="Arial" w:hAnsi="Arial"/>
          <w:sz w:val="21"/>
          <w:szCs w:val="21"/>
          <w:color w:val="auto"/>
        </w:rPr>
      </w:pPr>
    </w:p>
    <w:p>
      <w:pPr>
        <w:ind w:left="800" w:right="80" w:firstLine="646"/>
        <w:spacing w:after="0" w:line="236" w:lineRule="auto"/>
        <w:tabs>
          <w:tab w:leader="none" w:pos="22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Pledgor shall not close the Collateral Account or transfer any Collateral held therein or credited thereto (it being understood that Pledgor may request a release of Collateral in accordance with Section 2.06(d) of the Loan Agreement) without (i) obtaining the prior written consent of Secured Party and (ii) entering into such agreements as Secured Party may in its sole discretion require to ensure the continued priority and perfection of its lien on such Collateral.</w:t>
      </w:r>
    </w:p>
    <w:p>
      <w:pPr>
        <w:spacing w:after="0" w:line="208" w:lineRule="exact"/>
        <w:rPr>
          <w:rFonts w:ascii="Arial" w:cs="Arial" w:eastAsia="Arial" w:hAnsi="Arial"/>
          <w:sz w:val="22"/>
          <w:szCs w:val="22"/>
          <w:color w:val="auto"/>
        </w:rPr>
      </w:pPr>
    </w:p>
    <w:p>
      <w:pPr>
        <w:ind w:left="1500" w:hanging="702"/>
        <w:spacing w:after="0"/>
        <w:tabs>
          <w:tab w:leader="none" w:pos="150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Ownership and Bust-Up</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2220" w:hanging="774"/>
        <w:spacing w:after="0"/>
        <w:tabs>
          <w:tab w:leader="none" w:pos="22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As used in this Section 7:</w:t>
      </w:r>
    </w:p>
    <w:p>
      <w:pPr>
        <w:spacing w:after="0" w:line="23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Disposition</w:t>
      </w:r>
      <w:r>
        <w:rPr>
          <w:rFonts w:ascii="Arial" w:cs="Arial" w:eastAsia="Arial" w:hAnsi="Arial"/>
          <w:sz w:val="22"/>
          <w:szCs w:val="22"/>
          <w:color w:val="auto"/>
        </w:rPr>
        <w:t>” means a sale, transfer or other disposition of Relevant Collateral Shares:</w:t>
      </w:r>
    </w:p>
    <w:p>
      <w:pPr>
        <w:spacing w:after="0" w:line="233" w:lineRule="exact"/>
        <w:rPr>
          <w:sz w:val="20"/>
          <w:szCs w:val="20"/>
          <w:color w:val="auto"/>
        </w:rPr>
      </w:pPr>
    </w:p>
    <w:p>
      <w:pPr>
        <w:ind w:left="-20" w:right="380" w:firstLine="818"/>
        <w:spacing w:after="0"/>
        <w:tabs>
          <w:tab w:leader="none" w:pos="1534" w:val="left"/>
        </w:tabs>
        <w:numPr>
          <w:ilvl w:val="0"/>
          <w:numId w:val="17"/>
        </w:numPr>
        <w:rPr>
          <w:rFonts w:ascii="Arial" w:cs="Arial" w:eastAsia="Arial" w:hAnsi="Arial"/>
          <w:sz w:val="22"/>
          <w:szCs w:val="22"/>
          <w:color w:val="auto"/>
        </w:rPr>
      </w:pPr>
      <w:r>
        <w:rPr>
          <w:rFonts w:ascii="Arial" w:cs="Arial" w:eastAsia="Arial" w:hAnsi="Arial"/>
          <w:sz w:val="22"/>
          <w:szCs w:val="22"/>
          <w:color w:val="auto"/>
        </w:rPr>
        <w:t>to any Person who acquires them in a broadly distributed public offering of the Collateral Shares that is registered under the Securities Act (including the underwriter of such offering, which may be Secured Party or an Affiliate of Secured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25" w:name="page26"/>
    <w:bookmarkEnd w:id="25"/>
    <w:p>
      <w:pPr>
        <w:ind w:left="-40" w:right="60" w:firstLine="818"/>
        <w:spacing w:after="0" w:line="328" w:lineRule="auto"/>
        <w:tabs>
          <w:tab w:leader="none" w:pos="1574" w:val="left"/>
        </w:tabs>
        <w:numPr>
          <w:ilvl w:val="0"/>
          <w:numId w:val="18"/>
        </w:numPr>
        <w:rPr>
          <w:rFonts w:ascii="Arial" w:cs="Arial" w:eastAsia="Arial" w:hAnsi="Arial"/>
          <w:sz w:val="19"/>
          <w:szCs w:val="19"/>
          <w:color w:val="auto"/>
        </w:rPr>
      </w:pPr>
      <w:r>
        <w:rPr>
          <w:rFonts w:ascii="Arial" w:cs="Arial" w:eastAsia="Arial" w:hAnsi="Arial"/>
          <w:sz w:val="19"/>
          <w:szCs w:val="19"/>
          <w:color w:val="auto"/>
        </w:rPr>
        <w:t>effected on any securities exchange so long as neither Secured Party nor any Affiliate of Secured Party solicited or arranged for the solicitation of orders to buy such Collateral Shares in anticipation of or in connection with such sale;</w:t>
      </w:r>
    </w:p>
    <w:p>
      <w:pPr>
        <w:spacing w:after="0" w:line="132" w:lineRule="exact"/>
        <w:rPr>
          <w:rFonts w:ascii="Arial" w:cs="Arial" w:eastAsia="Arial" w:hAnsi="Arial"/>
          <w:sz w:val="19"/>
          <w:szCs w:val="19"/>
          <w:color w:val="auto"/>
        </w:rPr>
      </w:pPr>
    </w:p>
    <w:p>
      <w:pPr>
        <w:ind w:left="1640" w:hanging="862"/>
        <w:spacing w:after="0"/>
        <w:tabs>
          <w:tab w:leader="none" w:pos="1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made in compliance with the manner-of-sale requirements set forth in Rule 144(g) of the Securities Act;</w:t>
      </w:r>
    </w:p>
    <w:p>
      <w:pPr>
        <w:spacing w:after="0" w:line="267" w:lineRule="exact"/>
        <w:rPr>
          <w:rFonts w:ascii="Arial" w:cs="Arial" w:eastAsia="Arial" w:hAnsi="Arial"/>
          <w:sz w:val="19"/>
          <w:szCs w:val="19"/>
          <w:color w:val="auto"/>
        </w:rPr>
      </w:pPr>
    </w:p>
    <w:p>
      <w:pPr>
        <w:ind w:left="-40" w:right="120" w:firstLine="818"/>
        <w:spacing w:after="0"/>
        <w:tabs>
          <w:tab w:leader="none" w:pos="162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 a Person that Secured Party believes in good faith is not, and after giving effect to such sale, transfer or other disposition (and any substantially contemporaneous sale, transfer or disposition of Collateral Shares to such Person by any other Applicable Lender), will not be, an Affiliate of Issuer;</w:t>
      </w:r>
    </w:p>
    <w:p>
      <w:pPr>
        <w:spacing w:after="0" w:line="213" w:lineRule="exact"/>
        <w:rPr>
          <w:rFonts w:ascii="Arial" w:cs="Arial" w:eastAsia="Arial" w:hAnsi="Arial"/>
          <w:sz w:val="22"/>
          <w:szCs w:val="22"/>
          <w:color w:val="auto"/>
        </w:rPr>
      </w:pPr>
    </w:p>
    <w:p>
      <w:pPr>
        <w:ind w:left="-40" w:firstLine="818"/>
        <w:spacing w:after="0" w:line="236" w:lineRule="auto"/>
        <w:tabs>
          <w:tab w:leader="none" w:pos="1562"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 a Person that is an Affiliate of Issuer prior to such sale, transfer or other disposition so long as the number of Collateral Shares, or Shares that are collateral or other security for any other transaction to which Secured Party or any Affiliate thereof is party, sold, transferred or otherwise disposed of to such Person (in any manner at any time, in one transaction or a series of transactions, whether by Secured Party or any other Applicable Lender) does not in the aggregate exceed 9% of the outstanding Shares;</w:t>
      </w:r>
    </w:p>
    <w:p>
      <w:pPr>
        <w:spacing w:after="0" w:line="214" w:lineRule="exact"/>
        <w:rPr>
          <w:rFonts w:ascii="Arial" w:cs="Arial" w:eastAsia="Arial" w:hAnsi="Arial"/>
          <w:sz w:val="22"/>
          <w:szCs w:val="22"/>
          <w:color w:val="auto"/>
        </w:rPr>
      </w:pPr>
    </w:p>
    <w:p>
      <w:pPr>
        <w:ind w:left="1640" w:hanging="862"/>
        <w:spacing w:after="0"/>
        <w:tabs>
          <w:tab w:leader="none" w:pos="1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 Issuer or any Subsidiary thereof; or</w:t>
      </w:r>
    </w:p>
    <w:p>
      <w:pPr>
        <w:spacing w:after="0" w:line="233" w:lineRule="exact"/>
        <w:rPr>
          <w:rFonts w:ascii="Arial" w:cs="Arial" w:eastAsia="Arial" w:hAnsi="Arial"/>
          <w:sz w:val="22"/>
          <w:szCs w:val="22"/>
          <w:color w:val="auto"/>
        </w:rPr>
      </w:pPr>
    </w:p>
    <w:p>
      <w:pPr>
        <w:ind w:left="-40" w:right="20" w:firstLine="818"/>
        <w:spacing w:after="0"/>
        <w:tabs>
          <w:tab w:leader="none" w:pos="1682"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to Pledgor or an Affiliate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sale, transfer or other disposition of Relevant Collateral Shares that leads to Secured Party together with all of its Affiliates owning, in the aggregate, in excess of 9.9% of the total Shares outstanding shall not be a “Qualifying Disposition”.</w:t>
      </w:r>
    </w:p>
    <w:p>
      <w:pPr>
        <w:spacing w:after="0" w:line="213" w:lineRule="exact"/>
        <w:rPr>
          <w:rFonts w:ascii="Arial" w:cs="Arial" w:eastAsia="Arial" w:hAnsi="Arial"/>
          <w:sz w:val="22"/>
          <w:szCs w:val="22"/>
          <w:color w:val="auto"/>
        </w:rPr>
      </w:pPr>
    </w:p>
    <w:p>
      <w:pPr>
        <w:ind w:left="780" w:right="40" w:firstLine="646"/>
        <w:spacing w:after="0" w:line="245" w:lineRule="auto"/>
        <w:tabs>
          <w:tab w:leader="none" w:pos="2220" w:val="left"/>
        </w:tabs>
        <w:numPr>
          <w:ilvl w:val="1"/>
          <w:numId w:val="18"/>
        </w:numPr>
        <w:rPr>
          <w:rFonts w:ascii="Arial" w:cs="Arial" w:eastAsia="Arial" w:hAnsi="Arial"/>
          <w:sz w:val="21"/>
          <w:szCs w:val="21"/>
          <w:color w:val="auto"/>
        </w:rPr>
      </w:pPr>
      <w:r>
        <w:rPr>
          <w:rFonts w:ascii="Arial" w:cs="Arial" w:eastAsia="Arial" w:hAnsi="Arial"/>
          <w:sz w:val="21"/>
          <w:szCs w:val="21"/>
          <w:color w:val="auto"/>
        </w:rPr>
        <w:t>Notwithstanding any other provision of the Margin Loan Documentation to the contrary, (i) any sale, transfer or other disposition of Relevant Collateral Shares by Secured Party must be a Qualifying Disposition, (ii) Secured Party agrees that it shall not, in exercising its rights and remedies under the Margin Loan Documentation or otherwise in connection with the Facility (including in connection with any potential amendment or supplement thereto, waiver thereunder or refinancing thereof), seek to influence (A) the management or policies of Issuer or (B) the voting by Pledgor of the Collateral Shares and (iii) Secured Party shall not be entitled to vote (or direct the vote) or dispose of (or direct the disposition of) any Relevant Collateral Shares prior to the later of (x) an Event of Default Notice being delivered under the Loan Agreement and (y) Secured Party’s delivery of written notice to Pledgor of Secured Party’s determination that the power to vote (or direct the vote) or dispose of (or direct the disposition of) such Relevant Collateral Shares will be exercised.</w:t>
      </w:r>
    </w:p>
    <w:p>
      <w:pPr>
        <w:spacing w:after="0" w:line="207" w:lineRule="exact"/>
        <w:rPr>
          <w:rFonts w:ascii="Arial" w:cs="Arial" w:eastAsia="Arial" w:hAnsi="Arial"/>
          <w:sz w:val="21"/>
          <w:szCs w:val="21"/>
          <w:color w:val="auto"/>
        </w:rPr>
      </w:pPr>
    </w:p>
    <w:p>
      <w:pPr>
        <w:ind w:left="2200" w:hanging="774"/>
        <w:spacing w:after="0"/>
        <w:tabs>
          <w:tab w:leader="none" w:pos="2200" w:val="left"/>
        </w:tabs>
        <w:numPr>
          <w:ilvl w:val="1"/>
          <w:numId w:val="18"/>
        </w:numPr>
        <w:rPr>
          <w:rFonts w:ascii="Arial" w:cs="Arial" w:eastAsia="Arial" w:hAnsi="Arial"/>
          <w:sz w:val="22"/>
          <w:szCs w:val="22"/>
          <w:color w:val="auto"/>
        </w:rPr>
      </w:pPr>
      <w:r>
        <w:rPr>
          <w:rFonts w:ascii="Arial" w:cs="Arial" w:eastAsia="Arial" w:hAnsi="Arial"/>
          <w:sz w:val="22"/>
          <w:szCs w:val="22"/>
          <w:color w:val="auto"/>
        </w:rPr>
        <w:t>Issuer is an intended third-party beneficiary of this Section 7.</w:t>
      </w:r>
    </w:p>
    <w:p>
      <w:pPr>
        <w:spacing w:after="0" w:line="227" w:lineRule="exact"/>
        <w:rPr>
          <w:sz w:val="20"/>
          <w:szCs w:val="20"/>
          <w:color w:val="auto"/>
        </w:rPr>
      </w:pPr>
    </w:p>
    <w:p>
      <w:pPr>
        <w:ind w:left="-40" w:right="20" w:firstLine="818"/>
        <w:spacing w:after="0" w:line="300" w:lineRule="auto"/>
        <w:tabs>
          <w:tab w:leader="none" w:pos="1472"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Power of Attorney</w:t>
      </w:r>
      <w:r>
        <w:rPr>
          <w:rFonts w:ascii="Arial" w:cs="Arial" w:eastAsia="Arial" w:hAnsi="Arial"/>
          <w:sz w:val="19"/>
          <w:szCs w:val="19"/>
          <w:color w:val="auto"/>
        </w:rPr>
        <w:t>. Subject to Section 7 of this Security Agreement, Pledgor, in such capacity,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irrevocably constitutes and appoints Secured Party and any officer or agent thereof, with full power of substitution, as its true and lawful attorney-in-fact with full irrevocable power and authority, in the name of Pledgor or in its own name, to take upon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9"/>
          <w:szCs w:val="19"/>
          <w:color w:val="auto"/>
        </w:rPr>
        <w:t xml:space="preserve">occurrence and during the continuance of an Event of Default that has not been waived, cured or deemed not to occur pursuant to Section 7.01 of the Loan Agreement, any and all action and to execute any and all documents and instruments that Secured Party at any time and from time to time deems necessary or desirable to accomplish the purposes of this Security Agreement, including, without limitation, selling any of the Collateral on behalf of Pledgor as agent or attorney in fact for Pledgor, in the name of Pledgor and applying the proceeds received therefrom in accordance with Section 2.11(c) of the Loan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Section 8 shall be construed to obligate Secured Party to take any action hereunder nor shall Secured Party be liable to Pledgor for failure to take any action hereunder. This appointment shall be deemed a power coupled with an interest, is irrevocable, and shall continue until the Secured Obligations have been paid and performed in full. Without limiting the generality of the foregoing, so long as Secured Party shall be entitled under Section 9 to make collections in respect of the Collateral, Secured Party shall have the right and power to receive, endorse and collect all checks made payable to the order of Pledgor representing any dividend, payment or other distribution in respect of the Collateral or any part thereof and to give full discharge for the same.</w:t>
      </w:r>
    </w:p>
    <w:p>
      <w:pPr>
        <w:spacing w:after="0" w:line="200" w:lineRule="exact"/>
        <w:rPr>
          <w:sz w:val="20"/>
          <w:szCs w:val="20"/>
          <w:color w:val="auto"/>
        </w:rPr>
      </w:pPr>
    </w:p>
    <w:p>
      <w:pPr>
        <w:spacing w:after="0" w:line="230" w:lineRule="exact"/>
        <w:rPr>
          <w:sz w:val="20"/>
          <w:szCs w:val="20"/>
          <w:color w:val="auto"/>
        </w:rPr>
      </w:pPr>
    </w:p>
    <w:p>
      <w:pPr>
        <w:ind w:left="1520" w:hanging="702"/>
        <w:spacing w:after="0"/>
        <w:tabs>
          <w:tab w:leader="none" w:pos="152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Remedies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820" w:right="40" w:firstLine="646"/>
        <w:spacing w:after="0" w:line="273" w:lineRule="auto"/>
        <w:tabs>
          <w:tab w:leader="none" w:pos="2248" w:val="left"/>
        </w:tabs>
        <w:numPr>
          <w:ilvl w:val="1"/>
          <w:numId w:val="20"/>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subject to Section 7, Secured Party may: take control of proceeds, including stock received as dividends or by reason of stock splits; release the Collateral in its possession to Pledgor, temporarily or otherwise; take control of funds generated by the Collateral, such as cash dividends, interest and proceeds, and use the same to reduce any part of the Secured Obligations and exercise all other rights that an owner of such Collateral may exercise; and at any time transfer any of the Collateral or evidence thereof into its own name or that of its nominee. Secured Party shall not be liable for failure to collect any account or instruments, or for any act or omission on the part of Secured Party, its officers, agents or employees, except for any act or omission arising out of their own willful misconduct, gross negligence or fraud. The foregoing rights and powers of Secured Party will be in addition to, and not a limitation upon, any rights and powers of Secured Party given by law, elsewhere in this Security Agreement, the other Margin Loan Documentation or otherwise.</w:t>
      </w:r>
    </w:p>
    <w:p>
      <w:pPr>
        <w:spacing w:after="0" w:line="187" w:lineRule="exact"/>
        <w:rPr>
          <w:rFonts w:ascii="Arial" w:cs="Arial" w:eastAsia="Arial" w:hAnsi="Arial"/>
          <w:sz w:val="19"/>
          <w:szCs w:val="19"/>
          <w:color w:val="auto"/>
        </w:rPr>
      </w:pPr>
    </w:p>
    <w:p>
      <w:pPr>
        <w:ind w:left="820" w:right="140" w:firstLine="646"/>
        <w:spacing w:after="0" w:line="249" w:lineRule="auto"/>
        <w:tabs>
          <w:tab w:leader="none" w:pos="22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Subject to Section 7, in addition to and not in lieu of the rights set forth in Section 9(a), upon the occurrence and during the continuance of an Event of Default, Secured Party may, without notice of any kind, which Pledgor hereby expressly waives (except for any notice required under this Security Agreement or any other Margin Loan Documentation that may not be waived under applicable Law), at any time thereafter exercise and/or enforce any of the following rights and the remedies, at Secured Party’s option:</w:t>
      </w:r>
    </w:p>
    <w:p>
      <w:pPr>
        <w:spacing w:after="0" w:line="205" w:lineRule="exact"/>
        <w:rPr>
          <w:rFonts w:ascii="Arial" w:cs="Arial" w:eastAsia="Arial" w:hAnsi="Arial"/>
          <w:sz w:val="21"/>
          <w:szCs w:val="21"/>
          <w:color w:val="auto"/>
        </w:rPr>
      </w:pPr>
    </w:p>
    <w:p>
      <w:pPr>
        <w:ind w:left="1460" w:right="840" w:firstLine="654"/>
        <w:spacing w:after="0" w:line="274" w:lineRule="auto"/>
        <w:tabs>
          <w:tab w:leader="none" w:pos="2906" w:val="left"/>
        </w:tabs>
        <w:numPr>
          <w:ilvl w:val="2"/>
          <w:numId w:val="20"/>
        </w:numPr>
        <w:rPr>
          <w:rFonts w:ascii="Arial" w:cs="Arial" w:eastAsia="Arial" w:hAnsi="Arial"/>
          <w:sz w:val="21"/>
          <w:szCs w:val="21"/>
          <w:color w:val="auto"/>
        </w:rPr>
      </w:pPr>
      <w:r>
        <w:rPr>
          <w:rFonts w:ascii="Arial" w:cs="Arial" w:eastAsia="Arial" w:hAnsi="Arial"/>
          <w:sz w:val="21"/>
          <w:szCs w:val="21"/>
          <w:color w:val="auto"/>
        </w:rPr>
        <w:t>Deliver or cause to be delivered from the Collateral Account to itself or to an Affiliate, Collateral Shares (or security entitlements in respect thereof) and any other Collateral;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both"/>
        <w:ind w:left="340" w:right="60" w:firstLine="654"/>
        <w:spacing w:after="0" w:line="252" w:lineRule="auto"/>
        <w:tabs>
          <w:tab w:leader="none" w:pos="1792" w:val="left"/>
        </w:tabs>
        <w:numPr>
          <w:ilvl w:val="1"/>
          <w:numId w:val="21"/>
        </w:numPr>
        <w:rPr>
          <w:rFonts w:ascii="Arial" w:cs="Arial" w:eastAsia="Arial" w:hAnsi="Arial"/>
          <w:sz w:val="21"/>
          <w:szCs w:val="21"/>
          <w:color w:val="auto"/>
        </w:rPr>
      </w:pPr>
      <w:r>
        <w:rPr>
          <w:rFonts w:ascii="Arial" w:cs="Arial" w:eastAsia="Arial" w:hAnsi="Arial"/>
          <w:sz w:val="21"/>
          <w:szCs w:val="21"/>
          <w:color w:val="auto"/>
        </w:rPr>
        <w:t xml:space="preserve">Demand, sue for, collect or receive any money or property at any time payable or receivable on account of or in exchange for any of the Collateral, and otherwise exercise all of Pledgor’s rights with respect to any and all of the Collateral, in its own name, in the name of Pledgor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Secured Party shall have no obligation to take any of the foregoing actions; and</w:t>
      </w:r>
    </w:p>
    <w:p>
      <w:pPr>
        <w:spacing w:after="0" w:line="201" w:lineRule="exact"/>
        <w:rPr>
          <w:rFonts w:ascii="Arial" w:cs="Arial" w:eastAsia="Arial" w:hAnsi="Arial"/>
          <w:sz w:val="21"/>
          <w:szCs w:val="21"/>
          <w:color w:val="auto"/>
        </w:rPr>
      </w:pPr>
    </w:p>
    <w:p>
      <w:pPr>
        <w:ind w:left="340" w:firstLine="654"/>
        <w:spacing w:after="0" w:line="273" w:lineRule="auto"/>
        <w:tabs>
          <w:tab w:leader="none" w:pos="1798" w:val="left"/>
        </w:tabs>
        <w:numPr>
          <w:ilvl w:val="1"/>
          <w:numId w:val="21"/>
        </w:numPr>
        <w:rPr>
          <w:rFonts w:ascii="Arial" w:cs="Arial" w:eastAsia="Arial" w:hAnsi="Arial"/>
          <w:sz w:val="19"/>
          <w:szCs w:val="19"/>
          <w:color w:val="auto"/>
        </w:rPr>
      </w:pPr>
      <w:r>
        <w:rPr>
          <w:rFonts w:ascii="Arial" w:cs="Arial" w:eastAsia="Arial" w:hAnsi="Arial"/>
          <w:sz w:val="19"/>
          <w:szCs w:val="19"/>
          <w:color w:val="auto"/>
        </w:rPr>
        <w:t>Sell, lease, assign or otherwise dispose of all or any part of the Collateral, at such place or places and at such time or times as Secured Party deems best, and for cash or for credit or for future delivery (without thereby assuming any credit risk), at public or private sale, upon such terms and conditions as it deems advisable, without demand of performance or notice of intention to effect any such disposition or of the time or place thereof (except such notice as is required by applicable Law and cannot be waived), and Secured Party may be the purchaser, lessee, assignee or recipient of any or all of the Collateral so disposed of at any public sale or at one or more private sales and thereafter hold the same absolutely, free from any claim or right of whatsoever kind, including any right or equity of redemption (statutory or otherwise), of Pledgor. Secured Party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spacing w:after="0" w:line="182" w:lineRule="exact"/>
        <w:rPr>
          <w:rFonts w:ascii="Arial" w:cs="Arial" w:eastAsia="Arial" w:hAnsi="Arial"/>
          <w:sz w:val="19"/>
          <w:szCs w:val="19"/>
          <w:color w:val="auto"/>
        </w:rPr>
      </w:pPr>
    </w:p>
    <w:p>
      <w:pPr>
        <w:ind w:left="-300" w:firstLine="646"/>
        <w:spacing w:after="0" w:line="270" w:lineRule="auto"/>
        <w:tabs>
          <w:tab w:leader="none" w:pos="11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Pledgor specifically understands and agrees that any sale by Secured Party of all or part of the Collateral pursuant to the terms of this Security Agreement may be effected by Secured Party at times and in manners that could result in the proceeds of such sale being significantly and materially less than might have been received if such sale had occurred at different times or in different manners (including, without limitation, as a result of the provisions of Section 7 hereof and the Issuer Agreement), and Pledgor hereby releases Secured Party and its officers and representatives from and against any and all obligations and liabilities arising out of or related to the timing or manner of any such sale, to the extent permitted under applicable Law. Without limiting the generality of the foregoing, if, in the reasonable opinion of Secured Party, there is any question that a public sale or distribution of any Collateral will violate any state or federal securities law, including without limitation, the Securities Act, Secured Party may offer and sell such Collateral in a transaction exempt from registration under the Securities Act, and/or limit purchasers to Qualified Institutional Buyers (as defined in Rule 144A of the Securities Act) and/or who will agree, among other things, to acquire the Collateral for their own account, for investment and not with a view to the distribution or resale thereof and/or who will agree to comply with restrictions on transfer as set forth in the Issuer Agreement, and any such sale made in good faith by Secured Party shall be deemed “commercially reasonable”. Furthermore, Pledgor acknowledges that any such restricted or private sales may be at prices and on terms less favorable to Pledgor than those obtainable through a public sale without such restrictions, and agrees such sales shall not be considered to be not commercially reasonable solely because they are so conducted on a restricted or private basis. Pledgor further acknowledges that any specific disclaimer of any warranty of title or the like by Secured Party will not be considered to adversely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28" w:name="page29"/>
    <w:bookmarkEnd w:id="28"/>
    <w:p>
      <w:pPr>
        <w:ind w:right="400"/>
        <w:spacing w:after="0" w:line="251" w:lineRule="auto"/>
        <w:rPr>
          <w:sz w:val="20"/>
          <w:szCs w:val="20"/>
          <w:color w:val="auto"/>
        </w:rPr>
      </w:pPr>
      <w:r>
        <w:rPr>
          <w:rFonts w:ascii="Arial" w:cs="Arial" w:eastAsia="Arial" w:hAnsi="Arial"/>
          <w:sz w:val="22"/>
          <w:szCs w:val="22"/>
          <w:color w:val="auto"/>
        </w:rPr>
        <w:t>affect the commercial reasonableness of any sale of Collateral. The parties agree and acknowledge that the Relevant Collateral Shares are traded on a recognized market.</w:t>
      </w:r>
    </w:p>
    <w:p>
      <w:pPr>
        <w:spacing w:after="0" w:line="200" w:lineRule="exact"/>
        <w:rPr>
          <w:sz w:val="20"/>
          <w:szCs w:val="20"/>
          <w:color w:val="auto"/>
        </w:rPr>
      </w:pPr>
    </w:p>
    <w:p>
      <w:pPr>
        <w:ind w:right="160" w:firstLine="646"/>
        <w:spacing w:after="0" w:line="238" w:lineRule="auto"/>
        <w:tabs>
          <w:tab w:leader="none" w:pos="14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the proceeds of sale, collection or other realization of or upon the Collateral pursuant to this Section 9 are insufficient to cover the costs and expenses of such sale, collection or realization and the payment in full of the Secured Obligations, Secured Party may continue to enforce its remedies under this Security Agreement and the other Margin Loan Documentation to collect the deficiency.</w:t>
      </w:r>
    </w:p>
    <w:p>
      <w:pPr>
        <w:spacing w:after="0" w:line="211" w:lineRule="exact"/>
        <w:rPr>
          <w:rFonts w:ascii="Arial" w:cs="Arial" w:eastAsia="Arial" w:hAnsi="Arial"/>
          <w:sz w:val="22"/>
          <w:szCs w:val="22"/>
          <w:color w:val="auto"/>
        </w:rPr>
      </w:pPr>
    </w:p>
    <w:p>
      <w:pPr>
        <w:ind w:right="140" w:firstLine="646"/>
        <w:spacing w:after="0" w:line="246" w:lineRule="auto"/>
        <w:tabs>
          <w:tab w:leader="none" w:pos="1428"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Secured Party’s duty of care with respect to Collateral in its possession (as imposed by law) shall be deemed fulfilled if it exercises reasonable care in physically safekeeping such Collateral or, in the case of Collateral in the custody or possession of a bailee or other third Person, exercises reasonable care in the selection of the bailee or other third Person, and Secured Party need not otherwise preserve, protect, insure or care for any Collateral. Secured Party shall not be obligated to preserve any rights Pledgor may have against prior parties, to realize on the Collateral at all or in any particular manner or order, or to apply any cash proceeds of Collateral in any particular order of application.</w:t>
      </w:r>
    </w:p>
    <w:p>
      <w:pPr>
        <w:spacing w:after="0" w:line="211" w:lineRule="exact"/>
        <w:rPr>
          <w:rFonts w:ascii="Arial" w:cs="Arial" w:eastAsia="Arial" w:hAnsi="Arial"/>
          <w:sz w:val="21"/>
          <w:szCs w:val="21"/>
          <w:color w:val="auto"/>
        </w:rPr>
      </w:pPr>
    </w:p>
    <w:p>
      <w:pPr>
        <w:ind w:right="160" w:firstLine="646"/>
        <w:spacing w:after="0" w:line="328" w:lineRule="auto"/>
        <w:tabs>
          <w:tab w:leader="none" w:pos="1404"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Secured Party shall determine to exercise its right to sell all or any portion of the Collateral pursuant to this Section 9, Pledgor agrees that, upon request of Secured Party, Pledgor will, at its own expense:</w:t>
      </w:r>
    </w:p>
    <w:p>
      <w:pPr>
        <w:spacing w:after="0" w:line="131" w:lineRule="exact"/>
        <w:rPr>
          <w:rFonts w:ascii="Arial" w:cs="Arial" w:eastAsia="Arial" w:hAnsi="Arial"/>
          <w:sz w:val="19"/>
          <w:szCs w:val="19"/>
          <w:color w:val="auto"/>
        </w:rPr>
      </w:pPr>
    </w:p>
    <w:p>
      <w:pPr>
        <w:ind w:left="640" w:right="20" w:firstLine="654"/>
        <w:spacing w:after="0" w:line="236" w:lineRule="auto"/>
        <w:tabs>
          <w:tab w:leader="none" w:pos="2032" w:val="left"/>
        </w:tabs>
        <w:numPr>
          <w:ilvl w:val="1"/>
          <w:numId w:val="23"/>
        </w:numPr>
        <w:rPr>
          <w:rFonts w:ascii="Arial" w:cs="Arial" w:eastAsia="Arial" w:hAnsi="Arial"/>
          <w:sz w:val="22"/>
          <w:szCs w:val="22"/>
          <w:color w:val="auto"/>
        </w:rPr>
      </w:pPr>
      <w:r>
        <w:rPr>
          <w:rFonts w:ascii="Arial" w:cs="Arial" w:eastAsia="Arial" w:hAnsi="Arial"/>
          <w:sz w:val="22"/>
          <w:szCs w:val="22"/>
          <w:color w:val="auto"/>
        </w:rPr>
        <w:t>execute and deliver, to any Person or Governmental Authority, as Secured Party may choose, any and all documents and writings that, in Secured Party’s reasonable judgment, may be required by any Governmental Authority located in any city, county, state or country where Pledgor or Issuer engages in business in order to permit the transfer of, or to more effectively or efficiently transfer, the Collateral or otherwise enforce Secured Party’s rights hereunder; and</w:t>
      </w:r>
    </w:p>
    <w:p>
      <w:pPr>
        <w:spacing w:after="0" w:line="214" w:lineRule="exact"/>
        <w:rPr>
          <w:rFonts w:ascii="Arial" w:cs="Arial" w:eastAsia="Arial" w:hAnsi="Arial"/>
          <w:sz w:val="22"/>
          <w:szCs w:val="22"/>
          <w:color w:val="auto"/>
        </w:rPr>
      </w:pPr>
    </w:p>
    <w:p>
      <w:pPr>
        <w:ind w:left="640" w:right="200" w:firstLine="654"/>
        <w:spacing w:after="0" w:line="274" w:lineRule="auto"/>
        <w:tabs>
          <w:tab w:leader="none" w:pos="2092" w:val="left"/>
        </w:tabs>
        <w:numPr>
          <w:ilvl w:val="1"/>
          <w:numId w:val="23"/>
        </w:numPr>
        <w:rPr>
          <w:rFonts w:ascii="Arial" w:cs="Arial" w:eastAsia="Arial" w:hAnsi="Arial"/>
          <w:sz w:val="21"/>
          <w:szCs w:val="21"/>
          <w:color w:val="auto"/>
        </w:rPr>
      </w:pPr>
      <w:r>
        <w:rPr>
          <w:rFonts w:ascii="Arial" w:cs="Arial" w:eastAsia="Arial" w:hAnsi="Arial"/>
          <w:sz w:val="21"/>
          <w:szCs w:val="21"/>
          <w:color w:val="auto"/>
        </w:rPr>
        <w:t>do or cause to be done all such other acts and things as may be necessary to make such sale of the Collateral or any part thereof valid and binding and in compliance with applicable Law.</w:t>
      </w:r>
    </w:p>
    <w:p>
      <w:pPr>
        <w:spacing w:after="0" w:line="177" w:lineRule="exact"/>
        <w:rPr>
          <w:rFonts w:ascii="Arial" w:cs="Arial" w:eastAsia="Arial" w:hAnsi="Arial"/>
          <w:sz w:val="21"/>
          <w:szCs w:val="21"/>
          <w:color w:val="auto"/>
        </w:rPr>
      </w:pPr>
    </w:p>
    <w:p>
      <w:pPr>
        <w:ind w:right="40" w:firstLine="646"/>
        <w:spacing w:after="0" w:line="238" w:lineRule="auto"/>
        <w:tabs>
          <w:tab w:leader="none" w:pos="14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Except as otherwise expressly provided in this Security Agreement, the proceeds of any collection, sale or other realization of all or any part of the Collateral pursuant hereto, and any other Cash held by Secured Party as Collateral, following the occurrence, and during the continuance, of an Event of Default, shall be applied by Secured Party in accordance with Section 2.11(c) of the Loan Agreement.</w:t>
      </w:r>
    </w:p>
    <w:p>
      <w:pPr>
        <w:spacing w:after="0" w:line="211" w:lineRule="exact"/>
        <w:rPr>
          <w:rFonts w:ascii="Arial" w:cs="Arial" w:eastAsia="Arial" w:hAnsi="Arial"/>
          <w:sz w:val="22"/>
          <w:szCs w:val="22"/>
          <w:color w:val="auto"/>
        </w:rPr>
      </w:pPr>
    </w:p>
    <w:p>
      <w:pPr>
        <w:ind w:firstLine="646"/>
        <w:spacing w:after="0" w:line="257" w:lineRule="auto"/>
        <w:tabs>
          <w:tab w:leader="none" w:pos="14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Pledgor acknowledges that there is no adequate remedy at law for failure by it to comply with the provisions of this Section 9 and that such failure would not be adequately compensable in damages, and therefore agrees that its agreements contained in this Section 9 may be specifically enforced.</w:t>
      </w:r>
    </w:p>
    <w:p>
      <w:pPr>
        <w:spacing w:after="0" w:line="374"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29" w:name="page30"/>
    <w:bookmarkEnd w:id="29"/>
    <w:p>
      <w:pPr>
        <w:ind w:right="80" w:firstLine="810"/>
        <w:spacing w:after="0" w:line="272" w:lineRule="auto"/>
        <w:rPr>
          <w:sz w:val="20"/>
          <w:szCs w:val="20"/>
          <w:color w:val="auto"/>
        </w:rPr>
      </w:pPr>
      <w:r>
        <w:rPr>
          <w:rFonts w:ascii="Arial" w:cs="Arial" w:eastAsia="Arial" w:hAnsi="Arial"/>
          <w:sz w:val="19"/>
          <w:szCs w:val="19"/>
          <w:color w:val="auto"/>
        </w:rPr>
        <w:t>Pledgor agrees and acknowledges that the Collateral Shares are customarily sold on a recognized market within the meaning of Section 9-610 of the UCC and represent a significant percentage of the total outstanding common Shares of the Issuer. In the event that an Event of Default shall have occurred and any Applicable Lender shall desire to exercise any of its rights and remedies with respect to the Collateral Shares, as provided above or otherwise available to it under the UCC, at law or in equity, as contemplated by Section 9-603 of the UCC, the parties hereto agree to the following standards for measuring the fulfillment of the obligations of such Applicable Lender and the rights of Pledgor under the UCC. In the event that notification of disposition of the Collateral Shares is required by applicable law (it being acknowledged and agreed that no such notice shall be required if the Collateral Shares threaten to decline speedily in value or are of a type customarily sold on a recognized market), the parties hereto agree that notice sent to each of the persons specified in Section 9-611(c) of the UCC prior to (x) the date of any proposed public sale of the Collateral Shares (or on such date but prior to any such sale) or (y) the date on or after which any Applicable Lender intends to conduct a private sale of the Collateral Shares (or on such date but prior to any such sale), shall constitute a reasonable time for such notice.</w:t>
      </w:r>
    </w:p>
    <w:p>
      <w:pPr>
        <w:spacing w:after="0" w:line="188" w:lineRule="exact"/>
        <w:rPr>
          <w:sz w:val="20"/>
          <w:szCs w:val="20"/>
          <w:color w:val="auto"/>
        </w:rPr>
      </w:pPr>
    </w:p>
    <w:p>
      <w:pPr>
        <w:ind w:firstLine="810"/>
        <w:spacing w:after="0" w:line="269" w:lineRule="auto"/>
        <w:rPr>
          <w:sz w:val="20"/>
          <w:szCs w:val="20"/>
          <w:color w:val="auto"/>
        </w:rPr>
      </w:pPr>
      <w:r>
        <w:rPr>
          <w:rFonts w:ascii="Arial" w:cs="Arial" w:eastAsia="Arial" w:hAnsi="Arial"/>
          <w:sz w:val="19"/>
          <w:szCs w:val="19"/>
          <w:color w:val="auto"/>
        </w:rPr>
        <w:t>The parties acknowledge and agree that large blocks of equity securities are customarily sold by the seller retaining an investment bank or other financial institution (a “</w:t>
      </w:r>
      <w:r>
        <w:rPr>
          <w:rFonts w:ascii="Arial" w:cs="Arial" w:eastAsia="Arial" w:hAnsi="Arial"/>
          <w:sz w:val="19"/>
          <w:szCs w:val="19"/>
          <w:b w:val="1"/>
          <w:bCs w:val="1"/>
          <w:i w:val="1"/>
          <w:iCs w:val="1"/>
          <w:color w:val="auto"/>
        </w:rPr>
        <w:t>Block Dealer</w:t>
      </w:r>
      <w:r>
        <w:rPr>
          <w:rFonts w:ascii="Arial" w:cs="Arial" w:eastAsia="Arial" w:hAnsi="Arial"/>
          <w:sz w:val="19"/>
          <w:szCs w:val="19"/>
          <w:color w:val="auto"/>
        </w:rPr>
        <w:t>”) to send notification of such sale via e-mail and/or telephone calls, using a marketing team reasonably familiar with the issuer and the market for such equity securities, to ten (10) or more sophisticated equity investors who maintain accounts with such Block Dealer (or its affiliates) (but generally not to retail investors) soliciting such investors to submit bids to purchase the offered securities from which bids the Block Dealer will build a book of bids for purposes of determining the market clearing price for such offered securities, which price is typically expected to be determined within a few hours of the commencement of such offering but can be determined as soon as, for example, thirty</w:t>
      </w:r>
    </w:p>
    <w:p>
      <w:pPr>
        <w:spacing w:after="0" w:line="5" w:lineRule="exact"/>
        <w:rPr>
          <w:sz w:val="20"/>
          <w:szCs w:val="20"/>
          <w:color w:val="auto"/>
        </w:rPr>
      </w:pPr>
    </w:p>
    <w:p>
      <w:pPr>
        <w:ind w:right="40" w:firstLine="8"/>
        <w:spacing w:after="0" w:line="270" w:lineRule="auto"/>
        <w:tabs>
          <w:tab w:leader="none" w:pos="414" w:val="left"/>
        </w:tabs>
        <w:numPr>
          <w:ilvl w:val="0"/>
          <w:numId w:val="24"/>
        </w:numPr>
        <w:rPr>
          <w:rFonts w:ascii="Arial" w:cs="Arial" w:eastAsia="Arial" w:hAnsi="Arial"/>
          <w:sz w:val="19"/>
          <w:szCs w:val="19"/>
          <w:color w:val="auto"/>
        </w:rPr>
      </w:pPr>
      <w:r>
        <w:rPr>
          <w:rFonts w:ascii="Arial" w:cs="Arial" w:eastAsia="Arial" w:hAnsi="Arial"/>
          <w:sz w:val="19"/>
          <w:szCs w:val="19"/>
          <w:color w:val="auto"/>
        </w:rPr>
        <w:t>minutes thereafter or as long as, for example, three (3) Scheduled Trading Days thereafter. Furthermore, the parties acknowledge and agree that (i) any number of Applicable Lenders may exercise their respective rights pursuant hereto substantially concurrently or in prompt succession (including at the same time on the same day), (ii) one or more Applicable Lenders may solicit bids to purchase the Collateral Shares consisting from any particular investor that maintains accounts with each of such Applicable Lenders (or their respective affiliates) and (iii) the events or circumstances giving rise to certain Events of Default (including, for example, those arising from, or in connection with, a Change of Control or Merger Event and/or a Collateral Shortfall), and/or the event of a foreclosure on a large block of equity securities pledged by a major shareholder, may reduce the number of investors interested in participating in the market for such equity securities and/or the price any such investor is willing to bid for such equity securities. As a result, any such sale may result in prices and terms less favorable to any Applicable Lender than those that could be obtained by selling or otherwise disposing of such Collateral Shares in multiple transactions, over multiple days, in a broadly distributed offering and/or in the absence of, or at a time later than the occurrence of, any adverse events or circumstances. As contemplated by UCC Section 9-603, the parties hereto desire to agree that any private foreclosure held in accordance with the foregoing procedures shall satisfy the commercial reasonableness and other requirements of the UCC. Nevertheless, any Applicable Lender shall not be limited to foreclosing in accordance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ind w:right="1060"/>
        <w:spacing w:after="0" w:line="251" w:lineRule="auto"/>
        <w:rPr>
          <w:sz w:val="20"/>
          <w:szCs w:val="20"/>
          <w:color w:val="auto"/>
        </w:rPr>
      </w:pPr>
      <w:r>
        <w:rPr>
          <w:rFonts w:ascii="Arial" w:cs="Arial" w:eastAsia="Arial" w:hAnsi="Arial"/>
          <w:sz w:val="22"/>
          <w:szCs w:val="22"/>
          <w:color w:val="auto"/>
        </w:rPr>
        <w:t>with the foregoing procedure and may also foreclose using any other method or procedure that satisfies the applicable requirements of the UCC.</w:t>
      </w:r>
    </w:p>
    <w:p>
      <w:pPr>
        <w:spacing w:after="0" w:line="200" w:lineRule="exact"/>
        <w:rPr>
          <w:sz w:val="20"/>
          <w:szCs w:val="20"/>
          <w:color w:val="auto"/>
        </w:rPr>
      </w:pPr>
    </w:p>
    <w:p>
      <w:pPr>
        <w:ind w:right="20" w:firstLine="810"/>
        <w:spacing w:after="0" w:line="274" w:lineRule="auto"/>
        <w:rPr>
          <w:sz w:val="20"/>
          <w:szCs w:val="20"/>
          <w:color w:val="auto"/>
        </w:rPr>
      </w:pPr>
      <w:r>
        <w:rPr>
          <w:rFonts w:ascii="Arial" w:cs="Arial" w:eastAsia="Arial" w:hAnsi="Arial"/>
          <w:sz w:val="19"/>
          <w:szCs w:val="19"/>
          <w:color w:val="auto"/>
        </w:rPr>
        <w:t>In addition, in the event that any Applicable Lender determines to sell the Collateral Shares in a sale that is a public sale for purposes of the UCC, the parties hereto agree that posting of notice of such sale, such notice to describe the Collateral Shares being sold and the time and place of the sale as described below, through the Bloomberg Professional service or any other comparable on-line service widely used by sophisticated equity traders and/or investors after the close of trading on the Exchange on the day of, but prior to, such sale shall constitute sufficient public notice of any such sale and that no notice thereof in any newspaper or other written publication shall be required. The parties hereto agree that notification of the time and method of a sale of the Collateral Shares conducted in such a manner shall constitute sufficient notice of the time and place of the public sale for purposes of the UCC. Each of the parties hereto has been advised by legal counsel and believes that the foregoing procedures and agreements for disposition of the Collateral Shares are in their mutual interest.</w:t>
      </w:r>
    </w:p>
    <w:p>
      <w:pPr>
        <w:spacing w:after="0" w:line="179" w:lineRule="exact"/>
        <w:rPr>
          <w:sz w:val="20"/>
          <w:szCs w:val="20"/>
          <w:color w:val="auto"/>
        </w:rPr>
      </w:pPr>
    </w:p>
    <w:p>
      <w:pPr>
        <w:ind w:left="1520" w:hanging="702"/>
        <w:spacing w:after="0"/>
        <w:tabs>
          <w:tab w:leader="none" w:pos="152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Secured Party as Perfection Agent.</w:t>
      </w:r>
    </w:p>
    <w:p>
      <w:pPr>
        <w:spacing w:after="0" w:line="239" w:lineRule="exact"/>
        <w:rPr>
          <w:sz w:val="20"/>
          <w:szCs w:val="20"/>
          <w:color w:val="auto"/>
        </w:rPr>
      </w:pPr>
    </w:p>
    <w:p>
      <w:pPr>
        <w:ind w:right="20" w:firstLine="810"/>
        <w:spacing w:after="0" w:line="246" w:lineRule="auto"/>
        <w:rPr>
          <w:sz w:val="20"/>
          <w:szCs w:val="20"/>
          <w:color w:val="auto"/>
        </w:rPr>
      </w:pPr>
      <w:r>
        <w:rPr>
          <w:rFonts w:ascii="Arial" w:cs="Arial" w:eastAsia="Arial" w:hAnsi="Arial"/>
          <w:sz w:val="21"/>
          <w:szCs w:val="21"/>
          <w:color w:val="auto"/>
        </w:rPr>
        <w:t>Solely for purposes of perfecting the Liens of any Agented Lender and any Related Parties of Secured Party or any Agented Lender (the “</w:t>
      </w:r>
      <w:r>
        <w:rPr>
          <w:rFonts w:ascii="Arial" w:cs="Arial" w:eastAsia="Arial" w:hAnsi="Arial"/>
          <w:sz w:val="21"/>
          <w:szCs w:val="21"/>
          <w:b w:val="1"/>
          <w:bCs w:val="1"/>
          <w:i w:val="1"/>
          <w:iCs w:val="1"/>
          <w:color w:val="auto"/>
        </w:rPr>
        <w:t>Perfection Parties</w:t>
      </w:r>
      <w:r>
        <w:rPr>
          <w:rFonts w:ascii="Arial" w:cs="Arial" w:eastAsia="Arial" w:hAnsi="Arial"/>
          <w:sz w:val="21"/>
          <w:szCs w:val="21"/>
          <w:color w:val="auto"/>
        </w:rPr>
        <w:t xml:space="preserve">”) in the Collateral, Secured Party hereby acknowledges, with respect to all of the Collateral that it controls, that it will also hold control over such property as gratuitous bailee for the benefit of such Perfection Parties (such bailment being intended, among other things, to satisfy the requirements of Sections 8-106(d)(3), 8-301(b)(2) and 9-313(c) of the UCC) until, in the case of any Agented Lender or any Related Parties of such Agented Lender, such time as such Agented Lender becomes an Applicable Lender under the Loan Agreement and has a separate Security Agreement and Control Agreement with respect to its Collateral;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Secured Party shall not have any fiduciary or other duty hereunder to any such Perfection Party.</w:t>
      </w:r>
    </w:p>
    <w:p>
      <w:pPr>
        <w:spacing w:after="0" w:line="201" w:lineRule="exact"/>
        <w:rPr>
          <w:sz w:val="20"/>
          <w:szCs w:val="20"/>
          <w:color w:val="auto"/>
        </w:rPr>
      </w:pPr>
    </w:p>
    <w:p>
      <w:pPr>
        <w:ind w:left="1520" w:hanging="702"/>
        <w:spacing w:after="0"/>
        <w:tabs>
          <w:tab w:leader="none" w:pos="152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820" w:firstLine="646"/>
        <w:spacing w:after="0" w:line="245" w:lineRule="auto"/>
        <w:tabs>
          <w:tab w:leader="none" w:pos="2248"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Security Agreement shall be binding upon and inure to the benefit of the parties hereto and their respective successors and assigns, except that (i) Pledgor may not assign or otherwise transfer any of its rights or obligations hereunder or under any other Margin Loan Documentation without the prior written consent of Secured Party (and any attempted assignment or transfer by Pledgor without such consent shall be null and void) and (ii) Secured Party may not assign or otherwise transfer its rights or obligations hereunder except in accordance with Section 9.07 of the Loan Agreement. Nothing in this Security Agreement, expressed or implied, shall be construed to confer upon any Person (other than the parties hereto, the Perfection Parties and their respective successors and assigns permitted under the Loan Agreement) any legal or equitable right, remedy or claim under or by reason of this Security Agreement.</w:t>
      </w:r>
    </w:p>
    <w:p>
      <w:pPr>
        <w:spacing w:after="0" w:line="211" w:lineRule="exact"/>
        <w:rPr>
          <w:rFonts w:ascii="Arial" w:cs="Arial" w:eastAsia="Arial" w:hAnsi="Arial"/>
          <w:sz w:val="21"/>
          <w:szCs w:val="21"/>
          <w:color w:val="auto"/>
        </w:rPr>
      </w:pPr>
    </w:p>
    <w:p>
      <w:pPr>
        <w:jc w:val="both"/>
        <w:ind w:left="820" w:right="200" w:firstLine="646"/>
        <w:spacing w:after="0"/>
        <w:tabs>
          <w:tab w:leader="none" w:pos="22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failure or delay by Secured Party in exercising any right or power hereunder or under any other Margin Loan Documentation shall operate as a waiver thereof, nor shall any single or partial exercise of any such right or power, or 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line="273" w:lineRule="auto"/>
        <w:rPr>
          <w:sz w:val="20"/>
          <w:szCs w:val="20"/>
          <w:color w:val="auto"/>
        </w:rPr>
      </w:pPr>
      <w:r>
        <w:rPr>
          <w:rFonts w:ascii="Arial" w:cs="Arial" w:eastAsia="Arial" w:hAnsi="Arial"/>
          <w:sz w:val="19"/>
          <w:szCs w:val="19"/>
          <w:color w:val="auto"/>
        </w:rPr>
        <w:t>abandonment or discontinuance of steps to enforce such a right or power, preclude any other or further exercise thereof or the exercise of any other right or power. The rights and remedies of Secured Party hereunder and under any other Margin Loan Documentation are cumulative and are not exclusive of any rights or remedies that it would otherwise have. No waiver of any provision of any Margin Loan Documentation or consent to any departure by Pledgor therefrom shall in any event be effective unless the same shall be permitted by Sections 9.01 and 9.03 of the Loan Agreement, and then such waiver or consent shall be effective only in the specific instance and for the purpose for which given. No notice to or demand on Pledgor in any case shall entitle Pledgor to any other or further notice or demand in similar or other circumstances or constitute a waiver of the rights of Secured Party to any other or further action in any circumstances without notice or demand. Without limiting the generality of the foregoing, the making of an Advance shall not be construed as a waiver of any Event of Default, regardless of whether Secured Party or any Agented Lender may have had notice or knowledge of such Event of Default at the time.</w:t>
      </w:r>
    </w:p>
    <w:p>
      <w:pPr>
        <w:spacing w:after="0" w:line="183" w:lineRule="exact"/>
        <w:rPr>
          <w:sz w:val="20"/>
          <w:szCs w:val="20"/>
          <w:color w:val="auto"/>
        </w:rPr>
      </w:pPr>
    </w:p>
    <w:p>
      <w:pPr>
        <w:ind w:right="80" w:firstLine="646"/>
        <w:spacing w:after="0" w:line="271" w:lineRule="auto"/>
        <w:tabs>
          <w:tab w:leader="none" w:pos="142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Continuing Agreement; Release of Collateral</w:t>
      </w:r>
      <w:r>
        <w:rPr>
          <w:rFonts w:ascii="Arial" w:cs="Arial" w:eastAsia="Arial" w:hAnsi="Arial"/>
          <w:sz w:val="19"/>
          <w:szCs w:val="19"/>
          <w:color w:val="auto"/>
        </w:rPr>
        <w:t>. This Security Agreement shall constitute a continuing agreement and shall continue in effect until the Secured Obligations (other than contingent indemnification obligations for which no claim has been asserted or accrued) have been paid in full, at which time the Collateral shall automatically be released from the Liens created hereby, and this Security Agreement and all obligations (other than those expressly stated to survive such termination) of Secured Party and Pledgor hereunder shall terminate, all without delivery of any instrument or performance of any act by any party, and all rights to the Collateral shall revert to Pledgor. At the request and sole expense of Pledgor following any such termination, Secured Party shall deliver to Pledgor any Collateral held by Secured Party hereunder, and execute and deliver to Pledgor such documents as Pledgor shall reasonably request to evidence such termination, including notice to any securities intermediary terminating the applicable Control Agreement. No Collateral shall be released prior to the payment in full of the Secured Obligations (other than contingent indemnification obligations for which no claim has been asserted or accrued), except as set forth in Section 2.06(d) of the Loan Agreement. Notwithstanding the foregoing, if at any time, any payment in respect of the Secured Obligations is rescinded or must be otherwise restored by any holder of any of the Secured Obligations, whether as a result of any proceedings in insolvency, bankruptcy or reorganization or otherwise, the rights and obligations of the parties hereunder, and the Liens of Secured Party on the Collateral shall be automatically reinstated and Pledgor shall promptly deliver any documentation reasonably requested by Secured Party to evidence such reinstatement.</w:t>
      </w:r>
    </w:p>
    <w:p>
      <w:pPr>
        <w:spacing w:after="0" w:line="183" w:lineRule="exact"/>
        <w:rPr>
          <w:rFonts w:ascii="Arial" w:cs="Arial" w:eastAsia="Arial" w:hAnsi="Arial"/>
          <w:sz w:val="19"/>
          <w:szCs w:val="19"/>
          <w:color w:val="auto"/>
        </w:rPr>
      </w:pPr>
    </w:p>
    <w:p>
      <w:pPr>
        <w:ind w:right="60" w:firstLine="646"/>
        <w:spacing w:after="0" w:line="250" w:lineRule="auto"/>
        <w:tabs>
          <w:tab w:leader="none" w:pos="144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Unless the context indicates otherwise, definitions in the UCC apply to words and phrases in this Security Agreement; if UCC definitions conflict, Article 8 and/or 9 definitions apply.</w:t>
      </w:r>
    </w:p>
    <w:p>
      <w:pPr>
        <w:spacing w:after="0" w:line="201" w:lineRule="exact"/>
        <w:rPr>
          <w:rFonts w:ascii="Arial" w:cs="Arial" w:eastAsia="Arial" w:hAnsi="Arial"/>
          <w:sz w:val="22"/>
          <w:szCs w:val="22"/>
          <w:color w:val="auto"/>
        </w:rPr>
      </w:pPr>
    </w:p>
    <w:p>
      <w:pPr>
        <w:ind w:right="140" w:firstLine="646"/>
        <w:spacing w:after="0" w:line="250" w:lineRule="auto"/>
        <w:tabs>
          <w:tab w:leader="none" w:pos="142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Each notice to, or other communication with, any party hereunder shall be given to such party as provided under Section 9.02 of the Loan Agreement.</w:t>
      </w:r>
    </w:p>
    <w:p>
      <w:pPr>
        <w:spacing w:after="0" w:line="38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32" w:name="page33"/>
    <w:bookmarkEnd w:id="32"/>
    <w:p>
      <w:pPr>
        <w:ind w:right="120" w:firstLine="646"/>
        <w:spacing w:after="0"/>
        <w:tabs>
          <w:tab w:leader="none" w:pos="140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No provision hereof shall be modified or limited except pursuant to Section 9.01 of the Loan Agreement. The provisions of this Security Agreement shall not be modified or limited by course of conduct or usage of trade.</w:t>
      </w:r>
    </w:p>
    <w:p>
      <w:pPr>
        <w:spacing w:after="0" w:line="213" w:lineRule="exact"/>
        <w:rPr>
          <w:rFonts w:ascii="Arial" w:cs="Arial" w:eastAsia="Arial" w:hAnsi="Arial"/>
          <w:sz w:val="22"/>
          <w:szCs w:val="22"/>
          <w:color w:val="auto"/>
        </w:rPr>
      </w:pPr>
    </w:p>
    <w:p>
      <w:pPr>
        <w:ind w:right="80" w:firstLine="646"/>
        <w:spacing w:after="0" w:line="275" w:lineRule="auto"/>
        <w:tabs>
          <w:tab w:leader="none" w:pos="144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Financing Statement</w:t>
      </w:r>
      <w:r>
        <w:rPr>
          <w:rFonts w:ascii="Arial" w:cs="Arial" w:eastAsia="Arial" w:hAnsi="Arial"/>
          <w:sz w:val="19"/>
          <w:szCs w:val="19"/>
          <w:color w:val="auto"/>
        </w:rPr>
        <w:t>. Pledgor hereby irrevocably authorizes Secured Party (or its designee) at any time and from time to time to file in any jurisdiction any financing or continuation statement and amendment thereto or any registration of charge, mortgage or otherwise, containing any information required under the UCC or the Law of any other applicable jurisdiction (in each case without the signature of Pledgor to the extent permitted by applicable Law), necessary or appropriate in the judgment of Secured Party to perfect or evidence its security interest in and lien on the Collateral. Pledgor agrees to provide to Secured Party (or its designees) any and all information required under the UCC or the Law of any other applicable jurisdiction for the effective filing of a financing statement and/or any amendment thereto or any registration of charge, mortgage or otherwise.</w:t>
      </w:r>
    </w:p>
    <w:p>
      <w:pPr>
        <w:spacing w:after="0" w:line="184" w:lineRule="exact"/>
        <w:rPr>
          <w:rFonts w:ascii="Arial" w:cs="Arial" w:eastAsia="Arial" w:hAnsi="Arial"/>
          <w:sz w:val="19"/>
          <w:szCs w:val="19"/>
          <w:color w:val="auto"/>
        </w:rPr>
      </w:pPr>
    </w:p>
    <w:p>
      <w:pPr>
        <w:ind w:firstLine="646"/>
        <w:spacing w:after="0" w:line="273" w:lineRule="auto"/>
        <w:tabs>
          <w:tab w:leader="none" w:pos="144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Security Agreement may be executed in counterparts (and by different parties hereto on different counterparts), each of which shall constitute an original, but all of which when taken together shall constitute a single contract. This Security Agreement and the other Margin Loan Documentation constitute the entire contract among the parties relating to the subject matter hereof and thereof and supersede any and all previous agreements and understandings, oral or written, relating to the subject matter hereof and thereof. This Security Agreement shall become effective when it shall have been executed by Secured Party and when Secured Party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Security Agreement by facsimile or electronic transmission shall be effective as delivery of an original executed counterpart of such signature page.</w:t>
      </w:r>
    </w:p>
    <w:p>
      <w:pPr>
        <w:spacing w:after="0" w:line="187" w:lineRule="exact"/>
        <w:rPr>
          <w:rFonts w:ascii="Arial" w:cs="Arial" w:eastAsia="Arial" w:hAnsi="Arial"/>
          <w:sz w:val="19"/>
          <w:szCs w:val="19"/>
          <w:color w:val="auto"/>
        </w:rPr>
      </w:pPr>
    </w:p>
    <w:p>
      <w:pPr>
        <w:ind w:right="40" w:firstLine="646"/>
        <w:spacing w:after="0" w:line="236" w:lineRule="auto"/>
        <w:tabs>
          <w:tab w:leader="none" w:pos="139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any Margin Loan Documentation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08" w:lineRule="exact"/>
        <w:rPr>
          <w:rFonts w:ascii="Arial" w:cs="Arial" w:eastAsia="Arial" w:hAnsi="Arial"/>
          <w:sz w:val="22"/>
          <w:szCs w:val="22"/>
          <w:color w:val="auto"/>
        </w:rPr>
      </w:pPr>
    </w:p>
    <w:p>
      <w:pPr>
        <w:ind w:left="1380" w:hanging="734"/>
        <w:spacing w:after="0"/>
        <w:tabs>
          <w:tab w:leader="none" w:pos="138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MARSHALING</w:t>
      </w:r>
      <w:r>
        <w:rPr>
          <w:rFonts w:ascii="Arial" w:cs="Arial" w:eastAsia="Arial" w:hAnsi="Arial"/>
          <w:sz w:val="22"/>
          <w:szCs w:val="22"/>
          <w:color w:val="auto"/>
        </w:rPr>
        <w:t>.</w:t>
      </w:r>
      <w:r>
        <w:rPr>
          <w:rFonts w:ascii="Arial" w:cs="Arial" w:eastAsia="Arial" w:hAnsi="Arial"/>
          <w:sz w:val="22"/>
          <w:szCs w:val="22"/>
          <w:b w:val="1"/>
          <w:bCs w:val="1"/>
          <w:color w:val="auto"/>
        </w:rPr>
        <w:t xml:space="preserve"> EACH OF PLEDGOR AND SECURED PARTY</w:t>
      </w:r>
    </w:p>
    <w:p>
      <w:pPr>
        <w:spacing w:after="0" w:line="14" w:lineRule="exact"/>
        <w:rPr>
          <w:rFonts w:ascii="Arial" w:cs="Arial" w:eastAsia="Arial" w:hAnsi="Arial"/>
          <w:sz w:val="22"/>
          <w:szCs w:val="22"/>
          <w:color w:val="auto"/>
        </w:rPr>
      </w:pPr>
    </w:p>
    <w:p>
      <w:pPr>
        <w:spacing w:after="0" w:line="232" w:lineRule="auto"/>
        <w:rPr>
          <w:rFonts w:ascii="Arial" w:cs="Arial" w:eastAsia="Arial" w:hAnsi="Arial"/>
          <w:sz w:val="22"/>
          <w:szCs w:val="22"/>
          <w:color w:val="auto"/>
        </w:rPr>
      </w:pPr>
      <w:r>
        <w:rPr>
          <w:rFonts w:ascii="Arial" w:cs="Arial" w:eastAsia="Arial" w:hAnsi="Arial"/>
          <w:sz w:val="22"/>
          <w:szCs w:val="22"/>
          <w:b w:val="1"/>
          <w:bCs w:val="1"/>
          <w:color w:val="auto"/>
        </w:rPr>
        <w:t>ACKNOWLEDGES AND AGREES THAT IN EXERCISING ANY RIGHTS UNDER OR WITH RESPECT TO THE COLLATERAL HEREUNDER OR UNDER ANY OTHER SECURITY AGREEMENT: (A) SECURED PARTY IS UNDER NO OBLIGATION TO MARSHAL ANY SUCH COLLATERAL; (B) SECURED PARTY MAY, IN ITS ABSOLUTE DISCRETION, REALIZE UPON SUCH COLLATERAL IN ANY ORDER AND IN ANY MANNER IT SO ELECTS; AND (C) SHALL APPLY THE PROCEEDS OF ANY OR ALL OF SUCH COLLATERAL TO THE SECURED</w:t>
      </w:r>
    </w:p>
    <w:p>
      <w:pPr>
        <w:spacing w:after="0" w:line="394"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33" w:name="page34"/>
    <w:bookmarkEnd w:id="33"/>
    <w:p>
      <w:pPr>
        <w:ind w:right="80"/>
        <w:spacing w:after="0" w:line="280" w:lineRule="auto"/>
        <w:rPr>
          <w:sz w:val="20"/>
          <w:szCs w:val="20"/>
          <w:color w:val="auto"/>
        </w:rPr>
      </w:pPr>
      <w:r>
        <w:rPr>
          <w:rFonts w:ascii="Arial" w:cs="Arial" w:eastAsia="Arial" w:hAnsi="Arial"/>
          <w:sz w:val="21"/>
          <w:szCs w:val="21"/>
          <w:b w:val="1"/>
          <w:bCs w:val="1"/>
          <w:color w:val="auto"/>
        </w:rPr>
        <w:t>OBLIGATIONS IN ACCORDANCE WITH SECTION 2.11(c) OF THE LOAN AGREEMENT. PLEDGOR WAIVES ANY RIGHT TO REQUIRE THE MARSHALING OF ANY SUCH COLLATERAL.</w:t>
      </w:r>
    </w:p>
    <w:p>
      <w:pPr>
        <w:spacing w:after="0" w:line="172" w:lineRule="exact"/>
        <w:rPr>
          <w:sz w:val="20"/>
          <w:szCs w:val="20"/>
          <w:color w:val="auto"/>
        </w:rPr>
      </w:pPr>
    </w:p>
    <w:p>
      <w:pPr>
        <w:ind w:firstLine="646"/>
        <w:spacing w:after="0" w:line="297" w:lineRule="auto"/>
        <w:tabs>
          <w:tab w:leader="none" w:pos="14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xml:space="preserve">. This Security Agreement constitutes a “Margin Loan Documentation” entered into in connection with the Loan Agreement. The provisions of Section 9.06 of the Loan Agreement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this Security Agreement as if such provisions were fully set forth herein.</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1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140" w:top="111" w:right="719" w:bottom="1440" w:gutter="0" w:footer="0" w:header="0"/>
        </w:sectPr>
      </w:pPr>
    </w:p>
    <w:bookmarkStart w:id="34" w:name="page35"/>
    <w:bookmarkEnd w:id="34"/>
    <w:p>
      <w:pPr>
        <w:ind w:firstLine="810"/>
        <w:spacing w:after="0" w:line="251" w:lineRule="auto"/>
        <w:rPr>
          <w:sz w:val="20"/>
          <w:szCs w:val="20"/>
          <w:color w:val="auto"/>
        </w:rPr>
      </w:pPr>
      <w:r>
        <w:rPr>
          <w:rFonts w:ascii="Arial" w:cs="Arial" w:eastAsia="Arial" w:hAnsi="Arial"/>
          <w:sz w:val="22"/>
          <w:szCs w:val="22"/>
          <w:color w:val="auto"/>
        </w:rPr>
        <w:t>IN WITNESS WHEREOF, the parties hereto have caused this Security Agreement to be duly executed by their duly authorized representatives as of the date first above written.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PLEDGOR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OMAHA HOLDINGS,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NEW OMAHA HOLDINGS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515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Security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18" w:right="7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SECURED PARTY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515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right"/>
        <w:ind w:right="2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Security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Schedule 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UCC Filing Location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right"/>
        <w:ind w:right="2899"/>
        <w:spacing w:after="0"/>
        <w:rPr>
          <w:sz w:val="20"/>
          <w:szCs w:val="20"/>
          <w:color w:val="auto"/>
        </w:rPr>
      </w:pPr>
      <w:r>
        <w:rPr>
          <w:rFonts w:ascii="Arial" w:cs="Arial" w:eastAsia="Arial" w:hAnsi="Arial"/>
          <w:sz w:val="22"/>
          <w:szCs w:val="22"/>
          <w:b w:val="1"/>
          <w:bCs w:val="1"/>
          <w:color w:val="auto"/>
        </w:rPr>
        <w:t>Form of UCC Financing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Robert H. Lewin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1"/>
    </w:lvl>
  </w:abstractNum>
  <w:abstractNum w:abstractNumId="2">
    <w:nsid w:val="6B68079A"/>
    <w:multiLevelType w:val="hybridMultilevel"/>
    <w:lvl w:ilvl="0">
      <w:lvlJc w:val="left"/>
      <w:lvlText w:val="(%1)"/>
      <w:numFmt w:val="lowerLetter"/>
      <w:start w:val="2"/>
    </w:lvl>
  </w:abstractNum>
  <w:abstractNum w:abstractNumId="3">
    <w:nsid w:val="4E6AFB66"/>
    <w:multiLevelType w:val="hybridMultilevel"/>
    <w:lvl w:ilvl="0">
      <w:lvlJc w:val="left"/>
      <w:lvlText w:val="(%1)"/>
      <w:numFmt w:val="lowerLetter"/>
      <w:start w:val="3"/>
    </w:lvl>
  </w:abstractNum>
  <w:abstractNum w:abstractNumId="4">
    <w:nsid w:val="25E45D32"/>
    <w:multiLevelType w:val="hybridMultilevel"/>
    <w:lvl w:ilvl="0">
      <w:lvlJc w:val="left"/>
      <w:lvlText w:val="(%1)"/>
      <w:numFmt w:val="lowerLetter"/>
      <w:start w:val="4"/>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3"/>
    </w:lvl>
  </w:abstractNum>
  <w:abstractNum w:abstractNumId="7">
    <w:nsid w:val="3F2DBA31"/>
    <w:multiLevelType w:val="hybridMultilevel"/>
    <w:lvl w:ilvl="0">
      <w:lvlJc w:val="left"/>
      <w:lvlText w:val="%1."/>
      <w:numFmt w:val="decimal"/>
      <w:start w:val="1"/>
    </w:lvl>
    <w:lvl w:ilvl="1">
      <w:lvlJc w:val="left"/>
      <w:lvlText w:val="(%2)"/>
      <w:numFmt w:val="lowerLetter"/>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decimal"/>
      <w:start w:val="3"/>
    </w:lvl>
    <w:lvl w:ilvl="1">
      <w:lvlJc w:val="left"/>
      <w:lvlText w:val="(%2)"/>
      <w:numFmt w:val="lowerLetter"/>
      <w:start w:val="1"/>
    </w:lvl>
  </w:abstractNum>
  <w:abstractNum w:abstractNumId="10">
    <w:nsid w:val="62BBD95A"/>
    <w:multiLevelType w:val="hybridMultilevel"/>
    <w:lvl w:ilvl="0">
      <w:lvlJc w:val="left"/>
      <w:lvlText w:val="%1"/>
      <w:numFmt w:val="decimal"/>
      <w:start w:val="1"/>
    </w:lvl>
    <w:lvl w:ilvl="1">
      <w:lvlJc w:val="left"/>
      <w:lvlText w:val="(%2)"/>
      <w:numFmt w:val="lowerLetter"/>
      <w:start w:val="2"/>
    </w:lvl>
  </w:abstractNum>
  <w:abstractNum w:abstractNumId="11">
    <w:nsid w:val="436C6125"/>
    <w:multiLevelType w:val="hybridMultilevel"/>
    <w:lvl w:ilvl="0">
      <w:lvlJc w:val="left"/>
      <w:lvlText w:val="%1."/>
      <w:numFmt w:val="decimal"/>
      <w:start w:val="4"/>
    </w:lvl>
    <w:lvl w:ilvl="1">
      <w:lvlJc w:val="left"/>
      <w:lvlText w:val="(%2)"/>
      <w:numFmt w:val="lowerLetter"/>
      <w:start w:val="1"/>
    </w:lvl>
  </w:abstractNum>
  <w:abstractNum w:abstractNumId="12">
    <w:nsid w:val="628C895D"/>
    <w:multiLevelType w:val="hybridMultilevel"/>
    <w:lvl w:ilvl="0">
      <w:lvlJc w:val="left"/>
      <w:lvlText w:val="%1"/>
      <w:numFmt w:val="decimal"/>
      <w:start w:val="1"/>
    </w:lvl>
    <w:lvl w:ilvl="1">
      <w:lvlJc w:val="left"/>
      <w:lvlText w:val="(%2)"/>
      <w:numFmt w:val="lowerLetter"/>
      <w:start w:val="3"/>
    </w:lvl>
  </w:abstractNum>
  <w:abstractNum w:abstractNumId="13">
    <w:nsid w:val="333AB105"/>
    <w:multiLevelType w:val="hybridMultilevel"/>
    <w:lvl w:ilvl="0">
      <w:lvlJc w:val="left"/>
      <w:lvlText w:val="%1."/>
      <w:numFmt w:val="decimal"/>
      <w:start w:val="6"/>
    </w:lvl>
    <w:lvl w:ilvl="1">
      <w:lvlJc w:val="left"/>
      <w:lvlText w:val="(%2)"/>
      <w:numFmt w:val="lowerLetter"/>
      <w:start w:val="1"/>
    </w:lvl>
  </w:abstractNum>
  <w:abstractNum w:abstractNumId="14">
    <w:nsid w:val="721DA317"/>
    <w:multiLevelType w:val="hybridMultilevel"/>
    <w:lvl w:ilvl="0">
      <w:lvlJc w:val="left"/>
      <w:lvlText w:val="%1"/>
      <w:numFmt w:val="decimal"/>
      <w:start w:val="1"/>
    </w:lvl>
    <w:lvl w:ilvl="1">
      <w:lvlJc w:val="left"/>
      <w:lvlText w:val="(%2)"/>
      <w:numFmt w:val="lowerLetter"/>
      <w:start w:val="4"/>
    </w:lvl>
  </w:abstractNum>
  <w:abstractNum w:abstractNumId="15">
    <w:nsid w:val="2443A858"/>
    <w:multiLevelType w:val="hybridMultilevel"/>
    <w:lvl w:ilvl="0">
      <w:lvlJc w:val="left"/>
      <w:lvlText w:val="%1."/>
      <w:numFmt w:val="decimal"/>
      <w:start w:val="7"/>
    </w:lvl>
    <w:lvl w:ilvl="1">
      <w:lvlJc w:val="left"/>
      <w:lvlText w:val="(%2)"/>
      <w:numFmt w:val="lowerLetter"/>
      <w:start w:val="1"/>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1)"/>
      <w:numFmt w:val="lowerRoman"/>
      <w:start w:val="2"/>
    </w:lvl>
    <w:lvl w:ilvl="1">
      <w:lvlJc w:val="left"/>
      <w:lvlText w:val="(%2)"/>
      <w:numFmt w:val="lowerLetter"/>
      <w:start w:val="2"/>
    </w:lvl>
  </w:abstractNum>
  <w:abstractNum w:abstractNumId="18">
    <w:nsid w:val="75A2A8D4"/>
    <w:multiLevelType w:val="hybridMultilevel"/>
    <w:lvl w:ilvl="0">
      <w:lvlJc w:val="left"/>
      <w:lvlText w:val="%1."/>
      <w:numFmt w:val="decimal"/>
      <w:start w:val="8"/>
    </w:lvl>
  </w:abstractNum>
  <w:abstractNum w:abstractNumId="19">
    <w:nsid w:val="8EDBDA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0">
    <w:nsid w:val="79838CB2"/>
    <w:multiLevelType w:val="hybridMultilevel"/>
    <w:lvl w:ilvl="0">
      <w:lvlJc w:val="left"/>
      <w:lvlText w:val="%1"/>
      <w:numFmt w:val="lowerLetter"/>
      <w:start w:val="1"/>
    </w:lvl>
    <w:lvl w:ilvl="1">
      <w:lvlJc w:val="left"/>
      <w:lvlText w:val="(%2)"/>
      <w:numFmt w:val="lowerRoman"/>
      <w:start w:val="2"/>
    </w:lvl>
  </w:abstractNum>
  <w:abstractNum w:abstractNumId="21">
    <w:nsid w:val="4353D0CD"/>
    <w:multiLevelType w:val="hybridMultilevel"/>
    <w:lvl w:ilvl="0">
      <w:lvlJc w:val="left"/>
      <w:lvlText w:val="(%1)"/>
      <w:numFmt w:val="lowerLetter"/>
      <w:start w:val="3"/>
    </w:lvl>
    <w:lvl w:ilvl="1">
      <w:lvlJc w:val="left"/>
      <w:lvlText w:val="%2"/>
      <w:numFmt w:val="lowerRoman"/>
      <w:start w:val="1"/>
    </w:lvl>
  </w:abstractNum>
  <w:abstractNum w:abstractNumId="22">
    <w:nsid w:val="B03E0C6"/>
    <w:multiLevelType w:val="hybridMultilevel"/>
    <w:lvl w:ilvl="0">
      <w:lvlJc w:val="left"/>
      <w:lvlText w:val="(%1)"/>
      <w:numFmt w:val="lowerLetter"/>
      <w:start w:val="4"/>
    </w:lvl>
    <w:lvl w:ilvl="1">
      <w:lvlJc w:val="left"/>
      <w:lvlText w:val="(%2)"/>
      <w:numFmt w:val="lowerRoman"/>
      <w:start w:val="1"/>
    </w:lvl>
  </w:abstractNum>
  <w:abstractNum w:abstractNumId="23">
    <w:nsid w:val="189A769B"/>
    <w:multiLevelType w:val="hybridMultilevel"/>
    <w:lvl w:ilvl="0">
      <w:lvlJc w:val="left"/>
      <w:lvlText w:val="(%1)"/>
      <w:numFmt w:val="decimal"/>
      <w:start w:val="30"/>
    </w:lvl>
  </w:abstractNum>
  <w:abstractNum w:abstractNumId="24">
    <w:nsid w:val="54E49EB4"/>
    <w:multiLevelType w:val="hybridMultilevel"/>
    <w:lvl w:ilvl="0">
      <w:lvlJc w:val="left"/>
      <w:lvlText w:val="%1."/>
      <w:numFmt w:val="decimal"/>
      <w:start w:val="10"/>
    </w:lvl>
  </w:abstractNum>
  <w:abstractNum w:abstractNumId="25">
    <w:nsid w:val="71F32454"/>
    <w:multiLevelType w:val="hybridMultilevel"/>
    <w:lvl w:ilvl="0">
      <w:lvlJc w:val="left"/>
      <w:lvlText w:val="%1."/>
      <w:numFmt w:val="decimal"/>
      <w:start w:val="11"/>
    </w:lvl>
    <w:lvl w:ilvl="1">
      <w:lvlJc w:val="left"/>
      <w:lvlText w:val="(%2)"/>
      <w:numFmt w:val="lowerLetter"/>
      <w:start w:val="1"/>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Letter"/>
      <w:start w:val="6"/>
    </w:lvl>
  </w:abstractNum>
  <w:abstractNum w:abstractNumId="28">
    <w:nsid w:val="2901D82"/>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22" Type="http://schemas.openxmlformats.org/officeDocument/2006/relationships/hyperlink" Target="http://www.sec.gov/Archives/edgar/data/798354/000119312520227025/d83706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2020-08-21T16:02:34Z</dcterms:created>
  <dcterms:modified xsi:type="dcterms:W3CDTF">2020-08-21T16:02:34Z</dcterms:modified>
</cp:coreProperties>
</file>