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82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829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RABUN LEIGH ASHER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4411 EAST JONES BRIDGE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CHECKFREE CORP \GA\</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CKFR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07/17/2003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Senior Vice President</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NORCROSS</w:t>
            </w:r>
          </w:p>
        </w:tc>
        <w:tc>
          <w:tcPr>
            <w:tcW w:w="1020" w:type="dxa"/>
            <w:vAlign w:val="bottom"/>
          </w:tcPr>
          <w:p>
            <w:pPr>
              <w:ind w:left="180"/>
              <w:spacing w:after="0"/>
              <w:rPr>
                <w:sz w:val="20"/>
                <w:szCs w:val="20"/>
                <w:color w:val="auto"/>
              </w:rPr>
            </w:pPr>
            <w:r>
              <w:rPr>
                <w:rFonts w:ascii="Arial" w:cs="Arial" w:eastAsia="Arial" w:hAnsi="Arial"/>
                <w:sz w:val="18"/>
                <w:szCs w:val="18"/>
                <w:color w:val="0000FF"/>
              </w:rPr>
              <w:t>GA</w:t>
            </w:r>
          </w:p>
        </w:tc>
        <w:tc>
          <w:tcPr>
            <w:tcW w:w="1680" w:type="dxa"/>
            <w:vAlign w:val="bottom"/>
          </w:tcPr>
          <w:p>
            <w:pPr>
              <w:ind w:left="420"/>
              <w:spacing w:after="0"/>
              <w:rPr>
                <w:sz w:val="20"/>
                <w:szCs w:val="20"/>
                <w:color w:val="auto"/>
              </w:rPr>
            </w:pPr>
            <w:r>
              <w:rPr>
                <w:rFonts w:ascii="Arial" w:cs="Arial" w:eastAsia="Arial" w:hAnsi="Arial"/>
                <w:sz w:val="18"/>
                <w:szCs w:val="18"/>
                <w:color w:val="0000FF"/>
              </w:rPr>
              <w:t>30092</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 $.01 par value</w:t>
            </w:r>
          </w:p>
        </w:tc>
        <w:tc>
          <w:tcPr>
            <w:tcW w:w="1880" w:type="dxa"/>
            <w:vAlign w:val="bottom"/>
            <w:gridSpan w:val="2"/>
          </w:tcPr>
          <w:p>
            <w:pPr>
              <w:jc w:val="center"/>
              <w:ind w:left="571"/>
              <w:spacing w:after="0"/>
              <w:rPr>
                <w:sz w:val="20"/>
                <w:szCs w:val="20"/>
                <w:color w:val="auto"/>
              </w:rPr>
            </w:pPr>
            <w:r>
              <w:rPr>
                <w:rFonts w:ascii="Arial" w:cs="Arial" w:eastAsia="Arial" w:hAnsi="Arial"/>
                <w:sz w:val="18"/>
                <w:szCs w:val="18"/>
                <w:color w:val="0000FF"/>
                <w:w w:val="88"/>
              </w:rPr>
              <w:t>07/17/2003</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1,262</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12"/>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360" w:type="dxa"/>
            <w:vAlign w:val="bottom"/>
            <w:gridSpan w:val="3"/>
          </w:tcPr>
          <w:p>
            <w:pPr>
              <w:jc w:val="center"/>
              <w:ind w:left="11"/>
              <w:spacing w:after="0"/>
              <w:rPr>
                <w:sz w:val="20"/>
                <w:szCs w:val="20"/>
                <w:color w:val="auto"/>
              </w:rPr>
            </w:pPr>
            <w:r>
              <w:rPr>
                <w:rFonts w:ascii="Arial" w:cs="Arial" w:eastAsia="Arial" w:hAnsi="Arial"/>
                <w:sz w:val="18"/>
                <w:szCs w:val="18"/>
                <w:color w:val="0000FF"/>
                <w:w w:val="88"/>
              </w:rPr>
              <w:t>1,834</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 $.01 par value</w:t>
            </w:r>
          </w:p>
        </w:tc>
        <w:tc>
          <w:tcPr>
            <w:tcW w:w="1880" w:type="dxa"/>
            <w:vAlign w:val="bottom"/>
            <w:gridSpan w:val="2"/>
          </w:tcPr>
          <w:p>
            <w:pPr>
              <w:jc w:val="center"/>
              <w:ind w:left="571"/>
              <w:spacing w:after="0"/>
              <w:rPr>
                <w:sz w:val="20"/>
                <w:szCs w:val="20"/>
                <w:color w:val="auto"/>
              </w:rPr>
            </w:pPr>
            <w:r>
              <w:rPr>
                <w:rFonts w:ascii="Arial" w:cs="Arial" w:eastAsia="Arial" w:hAnsi="Arial"/>
                <w:sz w:val="18"/>
                <w:szCs w:val="18"/>
                <w:color w:val="0000FF"/>
                <w:w w:val="88"/>
              </w:rPr>
              <w:t>07/19/2004</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17"/>
              <w:spacing w:after="0"/>
              <w:rPr>
                <w:sz w:val="20"/>
                <w:szCs w:val="20"/>
                <w:color w:val="auto"/>
              </w:rPr>
            </w:pPr>
            <w:r>
              <w:rPr>
                <w:rFonts w:ascii="Arial" w:cs="Arial" w:eastAsia="Arial" w:hAnsi="Arial"/>
                <w:sz w:val="14"/>
                <w:szCs w:val="14"/>
                <w:color w:val="0000FF"/>
              </w:rPr>
              <w:t>F</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135</w:t>
            </w:r>
          </w:p>
        </w:tc>
        <w:tc>
          <w:tcPr>
            <w:tcW w:w="640" w:type="dxa"/>
            <w:vAlign w:val="bottom"/>
          </w:tcPr>
          <w:p>
            <w:pPr>
              <w:ind w:left="420"/>
              <w:spacing w:after="0"/>
              <w:rPr>
                <w:sz w:val="20"/>
                <w:szCs w:val="20"/>
                <w:color w:val="auto"/>
              </w:rPr>
            </w:pPr>
            <w:r>
              <w:rPr>
                <w:rFonts w:ascii="Arial" w:cs="Arial" w:eastAsia="Arial" w:hAnsi="Arial"/>
                <w:sz w:val="18"/>
                <w:szCs w:val="18"/>
                <w:color w:val="0000FF"/>
              </w:rPr>
              <w:t>D</w:t>
            </w:r>
          </w:p>
        </w:tc>
        <w:tc>
          <w:tcPr>
            <w:tcW w:w="56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60" w:type="dxa"/>
            <w:vAlign w:val="bottom"/>
            <w:gridSpan w:val="3"/>
          </w:tcPr>
          <w:p>
            <w:pPr>
              <w:jc w:val="center"/>
              <w:ind w:left="11"/>
              <w:spacing w:after="0"/>
              <w:rPr>
                <w:sz w:val="20"/>
                <w:szCs w:val="20"/>
                <w:color w:val="auto"/>
              </w:rPr>
            </w:pPr>
            <w:r>
              <w:rPr>
                <w:rFonts w:ascii="Arial" w:cs="Arial" w:eastAsia="Arial" w:hAnsi="Arial"/>
                <w:sz w:val="18"/>
                <w:szCs w:val="18"/>
                <w:color w:val="0000FF"/>
                <w:w w:val="88"/>
              </w:rPr>
              <w:t>1,699</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 $.01 par value</w:t>
            </w: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ind w:left="11"/>
              <w:spacing w:after="0"/>
              <w:rPr>
                <w:sz w:val="20"/>
                <w:szCs w:val="20"/>
                <w:color w:val="auto"/>
              </w:rPr>
            </w:pPr>
            <w:r>
              <w:rPr>
                <w:rFonts w:ascii="Arial" w:cs="Arial" w:eastAsia="Arial" w:hAnsi="Arial"/>
                <w:sz w:val="18"/>
                <w:szCs w:val="18"/>
                <w:color w:val="0000FF"/>
                <w:w w:val="82"/>
              </w:rPr>
              <w:t>1,460</w:t>
            </w:r>
            <w:r>
              <w:rPr>
                <w:rFonts w:ascii="Arial" w:cs="Arial" w:eastAsia="Arial" w:hAnsi="Arial"/>
                <w:sz w:val="22"/>
                <w:szCs w:val="22"/>
                <w:color w:val="008000"/>
                <w:w w:val="82"/>
                <w:vertAlign w:val="superscript"/>
              </w:rPr>
              <w:t>(2)</w:t>
            </w:r>
          </w:p>
        </w:tc>
        <w:tc>
          <w:tcPr>
            <w:tcW w:w="30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7"/>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7"/>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jc w:val="center"/>
              <w:ind w:right="13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79.25</w:t>
            </w: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color w:val="0000FF"/>
              </w:rPr>
              <w:t>07/17/2003</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D</w:t>
            </w:r>
          </w:p>
        </w:tc>
        <w:tc>
          <w:tcPr>
            <w:tcW w:w="920" w:type="dxa"/>
            <w:vAlign w:val="bottom"/>
            <w:vMerge w:val="restart"/>
          </w:tcPr>
          <w:p>
            <w:pPr>
              <w:jc w:val="right"/>
              <w:ind w:right="78"/>
              <w:spacing w:after="0"/>
              <w:rPr>
                <w:sz w:val="20"/>
                <w:szCs w:val="20"/>
                <w:color w:val="auto"/>
              </w:rPr>
            </w:pPr>
            <w:r>
              <w:rPr>
                <w:rFonts w:ascii="Arial" w:cs="Arial" w:eastAsia="Arial" w:hAnsi="Arial"/>
                <w:sz w:val="14"/>
                <w:szCs w:val="14"/>
                <w:color w:val="0000FF"/>
              </w:rPr>
              <w:t>5,000</w:t>
            </w:r>
          </w:p>
        </w:tc>
        <w:tc>
          <w:tcPr>
            <w:tcW w:w="800" w:type="dxa"/>
            <w:vAlign w:val="bottom"/>
            <w:gridSpan w:val="2"/>
            <w:vMerge w:val="restart"/>
          </w:tcPr>
          <w:p>
            <w:pPr>
              <w:jc w:val="right"/>
              <w:ind w:right="317"/>
              <w:spacing w:after="0"/>
              <w:rPr>
                <w:sz w:val="20"/>
                <w:szCs w:val="20"/>
                <w:color w:val="auto"/>
              </w:rPr>
            </w:pPr>
            <w:r>
              <w:rPr>
                <w:rFonts w:ascii="Arial" w:cs="Arial" w:eastAsia="Arial" w:hAnsi="Arial"/>
                <w:sz w:val="11"/>
                <w:szCs w:val="11"/>
                <w:color w:val="008000"/>
              </w:rPr>
              <w:t>(3)</w:t>
            </w: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0000FF"/>
              </w:rPr>
              <w:t>01/15/2010</w:t>
            </w:r>
          </w:p>
        </w:tc>
        <w:tc>
          <w:tcPr>
            <w:tcW w:w="640" w:type="dxa"/>
            <w:vAlign w:val="bottom"/>
          </w:tcPr>
          <w:p>
            <w:pPr>
              <w:jc w:val="center"/>
              <w:ind w:right="54"/>
              <w:spacing w:after="0" w:line="149" w:lineRule="exact"/>
              <w:rPr>
                <w:sz w:val="20"/>
                <w:szCs w:val="20"/>
                <w:color w:val="auto"/>
              </w:rPr>
            </w:pPr>
            <w:r>
              <w:rPr>
                <w:rFonts w:ascii="Arial" w:cs="Arial" w:eastAsia="Arial" w:hAnsi="Arial"/>
                <w:sz w:val="14"/>
                <w:szCs w:val="14"/>
                <w:color w:val="0000FF"/>
                <w:w w:val="91"/>
              </w:rPr>
              <w:t>Stock -</w:t>
            </w:r>
          </w:p>
        </w:tc>
        <w:tc>
          <w:tcPr>
            <w:tcW w:w="560" w:type="dxa"/>
            <w:vAlign w:val="bottom"/>
            <w:vMerge w:val="restart"/>
          </w:tcPr>
          <w:p>
            <w:pPr>
              <w:jc w:val="right"/>
              <w:ind w:right="52"/>
              <w:spacing w:after="0"/>
              <w:rPr>
                <w:sz w:val="20"/>
                <w:szCs w:val="20"/>
                <w:color w:val="auto"/>
              </w:rPr>
            </w:pPr>
            <w:r>
              <w:rPr>
                <w:rFonts w:ascii="Arial" w:cs="Arial" w:eastAsia="Arial" w:hAnsi="Arial"/>
                <w:sz w:val="18"/>
                <w:szCs w:val="18"/>
                <w:color w:val="0000FF"/>
                <w:w w:val="93"/>
              </w:rPr>
              <w:t>5,000</w:t>
            </w:r>
          </w:p>
        </w:tc>
        <w:tc>
          <w:tcPr>
            <w:tcW w:w="4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4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vMerge w:val="restart"/>
          </w:tcPr>
          <w:p>
            <w:pPr>
              <w:jc w:val="center"/>
              <w:ind w:right="54"/>
              <w:spacing w:after="0" w:line="149" w:lineRule="exact"/>
              <w:rPr>
                <w:sz w:val="20"/>
                <w:szCs w:val="20"/>
                <w:color w:val="auto"/>
              </w:rPr>
            </w:pPr>
            <w:r>
              <w:rPr>
                <w:rFonts w:ascii="Arial" w:cs="Arial" w:eastAsia="Arial" w:hAnsi="Arial"/>
                <w:sz w:val="14"/>
                <w:szCs w:val="14"/>
                <w:color w:val="0000FF"/>
                <w:w w:val="85"/>
              </w:rPr>
              <w:t>$.01 par</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center"/>
              <w:ind w:right="54"/>
              <w:spacing w:after="0"/>
              <w:rPr>
                <w:sz w:val="20"/>
                <w:szCs w:val="20"/>
                <w:color w:val="auto"/>
              </w:rPr>
            </w:pPr>
            <w:r>
              <w:rPr>
                <w:rFonts w:ascii="Arial" w:cs="Arial" w:eastAsia="Arial" w:hAnsi="Arial"/>
                <w:sz w:val="14"/>
                <w:szCs w:val="14"/>
                <w:color w:val="0000FF"/>
                <w:w w:val="83"/>
              </w:rPr>
              <w:t>value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jc w:val="center"/>
              <w:ind w:right="9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51.563</w:t>
            </w: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color w:val="0000FF"/>
              </w:rPr>
              <w:t>07/17/2003</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D</w:t>
            </w:r>
          </w:p>
        </w:tc>
        <w:tc>
          <w:tcPr>
            <w:tcW w:w="920" w:type="dxa"/>
            <w:vAlign w:val="bottom"/>
            <w:vMerge w:val="restart"/>
          </w:tcPr>
          <w:p>
            <w:pPr>
              <w:jc w:val="right"/>
              <w:ind w:right="118"/>
              <w:spacing w:after="0"/>
              <w:rPr>
                <w:sz w:val="20"/>
                <w:szCs w:val="20"/>
                <w:color w:val="auto"/>
              </w:rPr>
            </w:pPr>
            <w:r>
              <w:rPr>
                <w:rFonts w:ascii="Arial" w:cs="Arial" w:eastAsia="Arial" w:hAnsi="Arial"/>
                <w:sz w:val="14"/>
                <w:szCs w:val="14"/>
                <w:color w:val="0000FF"/>
              </w:rPr>
              <w:t>350</w:t>
            </w:r>
          </w:p>
        </w:tc>
        <w:tc>
          <w:tcPr>
            <w:tcW w:w="800" w:type="dxa"/>
            <w:vAlign w:val="bottom"/>
            <w:gridSpan w:val="2"/>
            <w:vMerge w:val="restart"/>
          </w:tcPr>
          <w:p>
            <w:pPr>
              <w:jc w:val="right"/>
              <w:ind w:right="317"/>
              <w:spacing w:after="0"/>
              <w:rPr>
                <w:sz w:val="20"/>
                <w:szCs w:val="20"/>
                <w:color w:val="auto"/>
              </w:rPr>
            </w:pPr>
            <w:r>
              <w:rPr>
                <w:rFonts w:ascii="Arial" w:cs="Arial" w:eastAsia="Arial" w:hAnsi="Arial"/>
                <w:sz w:val="11"/>
                <w:szCs w:val="11"/>
                <w:color w:val="008000"/>
              </w:rPr>
              <w:t>(4)</w:t>
            </w: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0000FF"/>
              </w:rPr>
              <w:t>07/01/2010</w:t>
            </w:r>
          </w:p>
        </w:tc>
        <w:tc>
          <w:tcPr>
            <w:tcW w:w="640" w:type="dxa"/>
            <w:vAlign w:val="bottom"/>
          </w:tcPr>
          <w:p>
            <w:pPr>
              <w:jc w:val="center"/>
              <w:ind w:right="54"/>
              <w:spacing w:after="0" w:line="149" w:lineRule="exact"/>
              <w:rPr>
                <w:sz w:val="20"/>
                <w:szCs w:val="20"/>
                <w:color w:val="auto"/>
              </w:rPr>
            </w:pPr>
            <w:r>
              <w:rPr>
                <w:rFonts w:ascii="Arial" w:cs="Arial" w:eastAsia="Arial" w:hAnsi="Arial"/>
                <w:sz w:val="14"/>
                <w:szCs w:val="14"/>
                <w:color w:val="0000FF"/>
                <w:w w:val="91"/>
              </w:rPr>
              <w:t>Stock -</w:t>
            </w:r>
          </w:p>
        </w:tc>
        <w:tc>
          <w:tcPr>
            <w:tcW w:w="560" w:type="dxa"/>
            <w:vAlign w:val="bottom"/>
            <w:vMerge w:val="restart"/>
          </w:tcPr>
          <w:p>
            <w:pPr>
              <w:jc w:val="right"/>
              <w:ind w:right="112"/>
              <w:spacing w:after="0"/>
              <w:rPr>
                <w:sz w:val="20"/>
                <w:szCs w:val="20"/>
                <w:color w:val="auto"/>
              </w:rPr>
            </w:pPr>
            <w:r>
              <w:rPr>
                <w:rFonts w:ascii="Arial" w:cs="Arial" w:eastAsia="Arial" w:hAnsi="Arial"/>
                <w:sz w:val="18"/>
                <w:szCs w:val="18"/>
                <w:color w:val="0000FF"/>
              </w:rPr>
              <w:t>350</w:t>
            </w:r>
          </w:p>
        </w:tc>
        <w:tc>
          <w:tcPr>
            <w:tcW w:w="4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4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vMerge w:val="restart"/>
          </w:tcPr>
          <w:p>
            <w:pPr>
              <w:jc w:val="center"/>
              <w:ind w:right="54"/>
              <w:spacing w:after="0" w:line="149" w:lineRule="exact"/>
              <w:rPr>
                <w:sz w:val="20"/>
                <w:szCs w:val="20"/>
                <w:color w:val="auto"/>
              </w:rPr>
            </w:pPr>
            <w:r>
              <w:rPr>
                <w:rFonts w:ascii="Arial" w:cs="Arial" w:eastAsia="Arial" w:hAnsi="Arial"/>
                <w:sz w:val="14"/>
                <w:szCs w:val="14"/>
                <w:color w:val="0000FF"/>
                <w:w w:val="85"/>
              </w:rPr>
              <w:t>$.01 par</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center"/>
              <w:ind w:right="54"/>
              <w:spacing w:after="0"/>
              <w:rPr>
                <w:sz w:val="20"/>
                <w:szCs w:val="20"/>
                <w:color w:val="auto"/>
              </w:rPr>
            </w:pPr>
            <w:r>
              <w:rPr>
                <w:rFonts w:ascii="Arial" w:cs="Arial" w:eastAsia="Arial" w:hAnsi="Arial"/>
                <w:sz w:val="14"/>
                <w:szCs w:val="14"/>
                <w:color w:val="0000FF"/>
                <w:w w:val="83"/>
              </w:rPr>
              <w:t>value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July 17, 2003, the issuer cancelled, pursuant to the issuer's option exchange program, options granted to the reporting person. In exchange for the option, the reporting person received shares of restricted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Total includes shares acquired under the issuer's 401(k) plan. The information in this report is based on a plan statement dated as of June 30, 2004.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cancelled option provided for vesting in five equal installments beginning on 1/15/01.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cancelled option provided for vesting in three equal installments beginning on 7/1/01.</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By: Curtis A. Loveland,</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07/21/2004</w:t>
            </w:r>
          </w:p>
        </w:tc>
        <w:tc>
          <w:tcPr>
            <w:tcW w:w="0" w:type="dxa"/>
            <w:vAlign w:val="bottom"/>
          </w:tcPr>
          <w:p>
            <w:pPr>
              <w:spacing w:after="0"/>
              <w:rPr>
                <w:sz w:val="1"/>
                <w:szCs w:val="1"/>
                <w:color w:val="auto"/>
              </w:rPr>
            </w:pPr>
          </w:p>
        </w:tc>
      </w:tr>
      <w:tr>
        <w:trPr>
          <w:trHeight w:val="88"/>
        </w:trPr>
        <w:tc>
          <w:tcPr>
            <w:tcW w:w="17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4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00" w:type="dxa"/>
            <w:vAlign w:val="bottom"/>
            <w:tcBorders>
              <w:top w:val="single" w:sz="8" w:color="auto"/>
            </w:tcBorders>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600" TargetMode="External"/><Relationship Id="rId13" Type="http://schemas.openxmlformats.org/officeDocument/2006/relationships/hyperlink" Target="http://www.sec.gov/cgi-bin/browse-edgar?action=getcompany&amp;CIK=00009493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2019-12-16T11:29:50Z</dcterms:created>
  <dcterms:modified xsi:type="dcterms:W3CDTF">2019-12-16T11:29:50Z</dcterms:modified>
</cp:coreProperties>
</file>