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Room 4561</w:t>
      </w:r>
    </w:p>
    <w:p>
      <w:pPr>
        <w:jc w:val="right"/>
        <w:ind w:right="1679"/>
        <w:spacing w:after="0" w:line="238" w:lineRule="auto"/>
        <w:rPr>
          <w:sz w:val="20"/>
          <w:szCs w:val="20"/>
          <w:color w:val="auto"/>
        </w:rPr>
      </w:pPr>
      <w:r>
        <w:rPr>
          <w:rFonts w:ascii="Courier New" w:cs="Courier New" w:eastAsia="Courier New" w:hAnsi="Courier New"/>
          <w:sz w:val="18"/>
          <w:szCs w:val="18"/>
          <w:color w:val="auto"/>
        </w:rPr>
        <w:t>December 23, 2005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Jeffery W. Yabuki</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rPr>
          <w:sz w:val="20"/>
          <w:szCs w:val="20"/>
          <w:color w:val="auto"/>
        </w:rPr>
      </w:pPr>
      <w:r>
        <w:rPr>
          <w:rFonts w:ascii="Courier New" w:cs="Courier New" w:eastAsia="Courier New" w:hAnsi="Courier New"/>
          <w:sz w:val="18"/>
          <w:szCs w:val="18"/>
          <w:color w:val="auto"/>
        </w:rPr>
        <w:t>Fiserv, Inc.</w:t>
      </w:r>
    </w:p>
    <w:p>
      <w:pPr>
        <w:spacing w:after="0" w:line="237" w:lineRule="auto"/>
        <w:rPr>
          <w:sz w:val="20"/>
          <w:szCs w:val="20"/>
          <w:color w:val="auto"/>
        </w:rPr>
      </w:pPr>
      <w:r>
        <w:rPr>
          <w:rFonts w:ascii="Courier New" w:cs="Courier New" w:eastAsia="Courier New" w:hAnsi="Courier New"/>
          <w:sz w:val="18"/>
          <w:szCs w:val="18"/>
          <w:color w:val="auto"/>
        </w:rPr>
        <w:t>255 Fiserv Drive</w:t>
      </w:r>
    </w:p>
    <w:p>
      <w:pPr>
        <w:spacing w:after="0" w:line="238" w:lineRule="auto"/>
        <w:rPr>
          <w:sz w:val="20"/>
          <w:szCs w:val="20"/>
          <w:color w:val="auto"/>
        </w:rPr>
      </w:pPr>
      <w:r>
        <w:rPr>
          <w:rFonts w:ascii="Courier New" w:cs="Courier New" w:eastAsia="Courier New" w:hAnsi="Courier New"/>
          <w:sz w:val="18"/>
          <w:szCs w:val="18"/>
          <w:color w:val="auto"/>
        </w:rPr>
        <w:t>Brookfield, WI 53045</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Fiserv Inc.</w:t>
      </w:r>
    </w:p>
    <w:p>
      <w:pPr>
        <w:spacing w:after="0" w:line="4" w:lineRule="exact"/>
        <w:rPr>
          <w:sz w:val="24"/>
          <w:szCs w:val="24"/>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Form 10-K for Fiscal Year Ended December 31, 2004 Form 8-K filed on October 21, 2005</w:t>
      </w:r>
    </w:p>
    <w:p>
      <w:pPr>
        <w:ind w:left="1700"/>
        <w:spacing w:after="0"/>
        <w:rPr>
          <w:sz w:val="20"/>
          <w:szCs w:val="20"/>
          <w:color w:val="auto"/>
        </w:rPr>
      </w:pPr>
      <w:r>
        <w:rPr>
          <w:rFonts w:ascii="Courier New" w:cs="Courier New" w:eastAsia="Courier New" w:hAnsi="Courier New"/>
          <w:sz w:val="18"/>
          <w:szCs w:val="18"/>
          <w:color w:val="auto"/>
        </w:rPr>
        <w:t>File No. 001-14918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Yabuki:</w:t>
      </w:r>
    </w:p>
    <w:p>
      <w:pPr>
        <w:spacing w:after="0" w:line="207" w:lineRule="exact"/>
        <w:rPr>
          <w:sz w:val="24"/>
          <w:szCs w:val="24"/>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We have reviewed the above referenced filings and have the following comments. Please note that we have limited our review to</w:t>
      </w:r>
    </w:p>
    <w:p>
      <w:pPr>
        <w:spacing w:after="0" w:line="6" w:lineRule="exact"/>
        <w:rPr>
          <w:sz w:val="24"/>
          <w:szCs w:val="24"/>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the matters addressed in the comments below. We may ask you to provide us with supplemental information so we may better understand</w:t>
      </w:r>
    </w:p>
    <w:p>
      <w:pPr>
        <w:spacing w:after="0" w:line="6" w:lineRule="exact"/>
        <w:rPr>
          <w:sz w:val="24"/>
          <w:szCs w:val="24"/>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your disclosure. Please be as detailed as necessary in your explanation. After reviewing this information, we may raise additional comments.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December 31,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 page 5</w:t>
      </w:r>
    </w:p>
    <w:p>
      <w:pPr>
        <w:spacing w:after="0" w:line="207" w:lineRule="exact"/>
        <w:rPr>
          <w:sz w:val="24"/>
          <w:szCs w:val="24"/>
          <w:color w:val="auto"/>
        </w:rPr>
      </w:pPr>
    </w:p>
    <w:p>
      <w:pPr>
        <w:ind w:right="357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present cash flows related to discontinued operations as a single line item outside of the classifications required under SFAS 95. Please explain to us how your presentation</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complies with the basic requirement of SFAS 95 that all cash receipts</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payments must be classified as operating, investing or financing</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page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Revenue Recognition, page 6</w:t>
      </w:r>
    </w:p>
    <w:p>
      <w:pPr>
        <w:spacing w:after="0" w:line="207" w:lineRule="exact"/>
        <w:rPr>
          <w:sz w:val="24"/>
          <w:szCs w:val="24"/>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recognize the majority of the revenues from your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pharmacy network contracts on a gross basis. Please explain to us how you considered each of the indicators provided in EITF 99-19 in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making this determination.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8-K Filed October 21, 2005</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to us how have complied with Item 10(e)(1)(i)(A)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 S-K when presenting "net income per share-diluted from continuing operations (excluding realized gain from sale of investment of $0.14 per share)" within your earnings release. In this regard, we were unable to locate a presentation, with equal or</w:t>
      </w:r>
    </w:p>
    <w:p>
      <w:pPr>
        <w:spacing w:after="0" w:line="6" w:lineRule="exact"/>
        <w:rPr>
          <w:rFonts w:ascii="Courier New" w:cs="Courier New" w:eastAsia="Courier New" w:hAnsi="Courier New"/>
          <w:sz w:val="18"/>
          <w:szCs w:val="18"/>
          <w:color w:val="auto"/>
        </w:rPr>
      </w:pPr>
    </w:p>
    <w:p>
      <w:pPr>
        <w:ind w:right="32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greater prominence, of the most directly comparable measure calculated and presented in accordance with GAAP. Further, we were unable to locate net income per share from continuing operations calculated in accordance with GAAP anywhere within your release.</w:t>
      </w:r>
    </w:p>
    <w:p>
      <w:pPr>
        <w:sectPr>
          <w:pgSz w:w="11900" w:h="16838" w:orient="portrait"/>
          <w:cols w:equalWidth="0" w:num="1">
            <w:col w:w="10219"/>
          </w:cols>
          <w:pgMar w:left="240" w:top="1055"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As appropriate, please amend your filing and respond to</w:t>
      </w:r>
    </w:p>
    <w:p>
      <w:pPr>
        <w:spacing w:after="0" w:line="238" w:lineRule="auto"/>
        <w:rPr>
          <w:sz w:val="20"/>
          <w:szCs w:val="20"/>
          <w:color w:val="auto"/>
        </w:rPr>
      </w:pPr>
      <w:r>
        <w:rPr>
          <w:rFonts w:ascii="Courier New" w:cs="Courier New" w:eastAsia="Courier New" w:hAnsi="Courier New"/>
          <w:sz w:val="18"/>
          <w:szCs w:val="18"/>
          <w:color w:val="auto"/>
        </w:rPr>
        <w:t>these</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comments within 10 business days or tell us when you will provide us</w:t>
      </w:r>
    </w:p>
    <w:p>
      <w:pPr>
        <w:spacing w:after="0" w:line="6"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with a response. Please submit all correspondence and supplemental</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materials on EDGAR as required by Rule 101 of Regulation S-T. You may wish to provide us with marked copies of any amendment to expedite our review. Please furnish a cover letter with any amendment that keys your responses to our comments and provides any</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requested information. Detailed cover letters greatly facilitate our</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review. Please understand that we may have additional comments after</w:t>
      </w:r>
    </w:p>
    <w:p>
      <w:pPr>
        <w:spacing w:after="0"/>
        <w:rPr>
          <w:sz w:val="20"/>
          <w:szCs w:val="20"/>
          <w:color w:val="auto"/>
        </w:rPr>
      </w:pPr>
      <w:r>
        <w:rPr>
          <w:rFonts w:ascii="Courier New" w:cs="Courier New" w:eastAsia="Courier New" w:hAnsi="Courier New"/>
          <w:sz w:val="18"/>
          <w:szCs w:val="18"/>
          <w:color w:val="auto"/>
        </w:rPr>
        <w:t>reviewing any amendment and your responses to our comments.</w:t>
      </w:r>
    </w:p>
    <w:p>
      <w:pPr>
        <w:spacing w:after="0" w:line="207" w:lineRule="exact"/>
        <w:rPr>
          <w:sz w:val="20"/>
          <w:szCs w:val="20"/>
          <w:color w:val="auto"/>
        </w:rPr>
      </w:pPr>
    </w:p>
    <w:p>
      <w:pPr>
        <w:ind w:right="2939" w:firstLine="948"/>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Exchange Act of 1934 and that they have provided all information investors require for an informed investment decision. Since the company and its management are in possession of all facts relating to</w:t>
      </w:r>
    </w:p>
    <w:p>
      <w:pPr>
        <w:spacing w:after="0" w:line="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You may contact Chauncey Martin, Staff Accountant, at (202)</w:t>
      </w:r>
    </w:p>
    <w:p>
      <w:pPr>
        <w:spacing w:after="0" w:line="238" w:lineRule="auto"/>
        <w:rPr>
          <w:sz w:val="20"/>
          <w:szCs w:val="20"/>
          <w:color w:val="auto"/>
        </w:rPr>
      </w:pPr>
      <w:r>
        <w:rPr>
          <w:rFonts w:ascii="Courier New" w:cs="Courier New" w:eastAsia="Courier New" w:hAnsi="Courier New"/>
          <w:sz w:val="18"/>
          <w:szCs w:val="18"/>
          <w:color w:val="auto"/>
        </w:rPr>
        <w:t>551-</w:t>
      </w:r>
    </w:p>
    <w:p>
      <w:pPr>
        <w:spacing w:after="0"/>
        <w:rPr>
          <w:sz w:val="20"/>
          <w:szCs w:val="20"/>
          <w:color w:val="auto"/>
        </w:rPr>
      </w:pPr>
      <w:r>
        <w:rPr>
          <w:rFonts w:ascii="Courier New" w:cs="Courier New" w:eastAsia="Courier New" w:hAnsi="Courier New"/>
          <w:sz w:val="18"/>
          <w:szCs w:val="18"/>
          <w:color w:val="auto"/>
        </w:rPr>
        <w:t>3441 or Mark Kronforst, Senior Staff Accountant, at (202) 551-</w:t>
      </w:r>
    </w:p>
    <w:p>
      <w:pPr>
        <w:spacing w:after="0" w:line="237" w:lineRule="auto"/>
        <w:rPr>
          <w:sz w:val="20"/>
          <w:szCs w:val="20"/>
          <w:color w:val="auto"/>
        </w:rPr>
      </w:pPr>
      <w:r>
        <w:rPr>
          <w:rFonts w:ascii="Courier New" w:cs="Courier New" w:eastAsia="Courier New" w:hAnsi="Courier New"/>
          <w:sz w:val="18"/>
          <w:szCs w:val="18"/>
          <w:color w:val="auto"/>
        </w:rPr>
        <w:t>3451</w:t>
      </w:r>
    </w:p>
    <w:p>
      <w:pPr>
        <w:spacing w:after="0" w:line="5"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if you have questions regarding the above comments. If you need further assistance, you may contact me at (202) 551- 3489.</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Brad Skinner</w:t>
      </w:r>
    </w:p>
    <w:p>
      <w:pPr>
        <w:ind w:left="640"/>
        <w:spacing w:after="0" w:line="238" w:lineRule="auto"/>
        <w:rPr>
          <w:sz w:val="20"/>
          <w:szCs w:val="20"/>
          <w:color w:val="auto"/>
        </w:rPr>
      </w:pPr>
      <w:r>
        <w:rPr>
          <w:rFonts w:ascii="Courier New" w:cs="Courier New" w:eastAsia="Courier New" w:hAnsi="Courier New"/>
          <w:sz w:val="18"/>
          <w:szCs w:val="18"/>
          <w:color w:val="auto"/>
        </w:rPr>
        <w:t>Accounting Branch Chief</w:t>
      </w:r>
    </w:p>
    <w:p>
      <w:pPr>
        <w:spacing w:after="0"/>
        <w:rPr>
          <w:sz w:val="20"/>
          <w:szCs w:val="20"/>
          <w:color w:val="auto"/>
        </w:rPr>
      </w:pPr>
      <w:r>
        <w:rPr>
          <w:rFonts w:ascii="Courier New" w:cs="Courier New" w:eastAsia="Courier New" w:hAnsi="Courier New"/>
          <w:sz w:val="18"/>
          <w:szCs w:val="18"/>
          <w:color w:val="auto"/>
        </w:rPr>
        <w:t>Mr. Jeffery W. Yabuki</w:t>
      </w:r>
    </w:p>
    <w:p>
      <w:pPr>
        <w:spacing w:after="0" w:line="237" w:lineRule="auto"/>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December 23, 2005</w:t>
      </w: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2019-12-13T17:11:24Z</dcterms:created>
  <dcterms:modified xsi:type="dcterms:W3CDTF">2019-12-13T17:11:24Z</dcterms:modified>
</cp:coreProperties>
</file>