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3"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2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5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2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2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-647065</wp:posOffset>
            </wp:positionV>
            <wp:extent cx="59055" cy="660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0400"/>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-647065</wp:posOffset>
            </wp:positionV>
            <wp:extent cx="59055" cy="660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040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4852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5203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MILLER HEIDI</w:t>
        </w:r>
      </w:hyperlink>
    </w:p>
    <w:p>
      <w:pPr>
        <w:spacing w:after="0" w:line="32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255 FISERV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FISERV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FISV</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12/31/2019</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6" w:right="680" w:hanging="6"/>
        <w:spacing w:after="0" w:line="253" w:lineRule="auto"/>
        <w:tabs>
          <w:tab w:leader="none" w:pos="15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6"/>
        <w:spacing w:after="0"/>
        <w:tabs>
          <w:tab w:leader="none" w:pos="525" w:val="left"/>
          <w:tab w:leader="none" w:pos="2165"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6"/>
        <w:spacing w:after="0"/>
        <w:tabs>
          <w:tab w:leader="none" w:pos="216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838" w:orient="portrait"/>
          <w:cols w:equalWidth="0" w:num="3">
            <w:col w:w="3340" w:space="720"/>
            <w:col w:w="3254" w:space="720"/>
            <w:col w:w="3486"/>
          </w:cols>
          <w:pgMar w:left="240" w:top="225" w:right="13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BROOKFIELD</w:t>
            </w:r>
          </w:p>
        </w:tc>
        <w:tc>
          <w:tcPr>
            <w:tcW w:w="920" w:type="dxa"/>
            <w:vAlign w:val="bottom"/>
          </w:tcPr>
          <w:p>
            <w:pPr>
              <w:ind w:left="100"/>
              <w:spacing w:after="0"/>
              <w:rPr>
                <w:sz w:val="20"/>
                <w:szCs w:val="20"/>
                <w:color w:val="auto"/>
              </w:rPr>
            </w:pPr>
            <w:r>
              <w:rPr>
                <w:rFonts w:ascii="Arial" w:cs="Arial" w:eastAsia="Arial" w:hAnsi="Arial"/>
                <w:sz w:val="17"/>
                <w:szCs w:val="17"/>
                <w:color w:val="0000FF"/>
              </w:rPr>
              <w:t>WI</w:t>
            </w:r>
          </w:p>
        </w:tc>
        <w:tc>
          <w:tcPr>
            <w:tcW w:w="1680" w:type="dxa"/>
            <w:vAlign w:val="bottom"/>
          </w:tcPr>
          <w:p>
            <w:pPr>
              <w:ind w:left="440"/>
              <w:spacing w:after="0"/>
              <w:rPr>
                <w:sz w:val="20"/>
                <w:szCs w:val="20"/>
                <w:color w:val="auto"/>
              </w:rPr>
            </w:pPr>
            <w:r>
              <w:rPr>
                <w:rFonts w:ascii="Arial" w:cs="Arial" w:eastAsia="Arial" w:hAnsi="Arial"/>
                <w:sz w:val="17"/>
                <w:szCs w:val="17"/>
                <w:color w:val="0000FF"/>
              </w:rPr>
              <w:t>53045</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3"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9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9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900" w:type="dxa"/>
            <w:vAlign w:val="bottom"/>
          </w:tcPr>
          <w:p>
            <w:pPr>
              <w:ind w:left="60"/>
              <w:spacing w:after="0"/>
              <w:rPr>
                <w:sz w:val="20"/>
                <w:szCs w:val="20"/>
                <w:color w:val="auto"/>
              </w:rPr>
            </w:pPr>
            <w:r>
              <w:rPr>
                <w:rFonts w:ascii="Arial" w:cs="Arial" w:eastAsia="Arial" w:hAnsi="Arial"/>
                <w:sz w:val="13"/>
                <w:szCs w:val="13"/>
                <w:color w:val="0000FF"/>
              </w:rPr>
              <w:t>Deferred</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900" w:type="dxa"/>
            <w:vAlign w:val="bottom"/>
          </w:tcPr>
          <w:p>
            <w:pPr>
              <w:ind w:left="60"/>
              <w:spacing w:after="0" w:line="147" w:lineRule="exact"/>
              <w:rPr>
                <w:sz w:val="20"/>
                <w:szCs w:val="20"/>
                <w:color w:val="auto"/>
              </w:rPr>
            </w:pPr>
            <w:r>
              <w:rPr>
                <w:rFonts w:ascii="Arial" w:cs="Arial" w:eastAsia="Arial" w:hAnsi="Arial"/>
                <w:sz w:val="13"/>
                <w:szCs w:val="13"/>
                <w:color w:val="0000FF"/>
                <w:w w:val="97"/>
              </w:rPr>
              <w:t>Compensation</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120" w:type="dxa"/>
            <w:vAlign w:val="bottom"/>
            <w:vMerge w:val="restart"/>
          </w:tcPr>
          <w:p>
            <w:pPr>
              <w:jc w:val="right"/>
              <w:ind w:right="178"/>
              <w:spacing w:after="0"/>
              <w:rPr>
                <w:sz w:val="20"/>
                <w:szCs w:val="20"/>
                <w:color w:val="auto"/>
              </w:rPr>
            </w:pPr>
            <w:r>
              <w:rPr>
                <w:rFonts w:ascii="Arial" w:cs="Arial" w:eastAsia="Arial" w:hAnsi="Arial"/>
                <w:sz w:val="13"/>
                <w:szCs w:val="13"/>
                <w:color w:val="0000FF"/>
              </w:rPr>
              <w:t>12/31/2019</w:t>
            </w:r>
          </w:p>
        </w:tc>
        <w:tc>
          <w:tcPr>
            <w:tcW w:w="1120" w:type="dxa"/>
            <w:vAlign w:val="bottom"/>
          </w:tcPr>
          <w:p>
            <w:pPr>
              <w:spacing w:after="0"/>
              <w:rPr>
                <w:sz w:val="12"/>
                <w:szCs w:val="12"/>
                <w:color w:val="auto"/>
              </w:rPr>
            </w:pPr>
          </w:p>
        </w:tc>
        <w:tc>
          <w:tcPr>
            <w:tcW w:w="84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202</w:t>
            </w: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20" w:type="dxa"/>
            <w:vAlign w:val="bottom"/>
            <w:vMerge w:val="restart"/>
          </w:tcPr>
          <w:p>
            <w:pPr>
              <w:jc w:val="right"/>
              <w:ind w:right="221"/>
              <w:spacing w:after="0"/>
              <w:rPr>
                <w:sz w:val="20"/>
                <w:szCs w:val="20"/>
                <w:color w:val="auto"/>
              </w:rPr>
            </w:pPr>
            <w:r>
              <w:rPr>
                <w:rFonts w:ascii="Arial" w:cs="Arial" w:eastAsia="Arial" w:hAnsi="Arial"/>
                <w:sz w:val="11"/>
                <w:szCs w:val="11"/>
                <w:color w:val="008000"/>
              </w:rPr>
              <w:t>(1)</w:t>
            </w:r>
          </w:p>
        </w:tc>
        <w:tc>
          <w:tcPr>
            <w:tcW w:w="720" w:type="dxa"/>
            <w:vAlign w:val="bottom"/>
          </w:tcPr>
          <w:p>
            <w:pPr>
              <w:ind w:left="80"/>
              <w:spacing w:after="0" w:line="147"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100"/>
              <w:spacing w:after="0"/>
              <w:rPr>
                <w:sz w:val="20"/>
                <w:szCs w:val="20"/>
                <w:color w:val="auto"/>
              </w:rPr>
            </w:pPr>
            <w:r>
              <w:rPr>
                <w:rFonts w:ascii="Arial" w:cs="Arial" w:eastAsia="Arial" w:hAnsi="Arial"/>
                <w:sz w:val="17"/>
                <w:szCs w:val="17"/>
                <w:color w:val="0000FF"/>
              </w:rPr>
              <w:t>202</w:t>
            </w:r>
          </w:p>
        </w:tc>
        <w:tc>
          <w:tcPr>
            <w:tcW w:w="700" w:type="dxa"/>
            <w:vAlign w:val="bottom"/>
            <w:vMerge w:val="restart"/>
          </w:tcPr>
          <w:p>
            <w:pPr>
              <w:ind w:left="8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115.63</w:t>
            </w:r>
            <w:r>
              <w:rPr>
                <w:rFonts w:ascii="Arial" w:cs="Arial" w:eastAsia="Arial" w:hAnsi="Arial"/>
                <w:sz w:val="22"/>
                <w:szCs w:val="22"/>
                <w:color w:val="008000"/>
                <w:w w:val="93"/>
                <w:vertAlign w:val="superscript"/>
              </w:rPr>
              <w:t>(1)</w:t>
            </w:r>
          </w:p>
        </w:tc>
        <w:tc>
          <w:tcPr>
            <w:tcW w:w="980" w:type="dxa"/>
            <w:vAlign w:val="bottom"/>
            <w:vMerge w:val="restart"/>
          </w:tcPr>
          <w:p>
            <w:pPr>
              <w:ind w:left="400"/>
              <w:spacing w:after="0"/>
              <w:rPr>
                <w:sz w:val="20"/>
                <w:szCs w:val="20"/>
                <w:color w:val="auto"/>
              </w:rPr>
            </w:pPr>
            <w:r>
              <w:rPr>
                <w:rFonts w:ascii="Arial" w:cs="Arial" w:eastAsia="Arial" w:hAnsi="Arial"/>
                <w:sz w:val="13"/>
                <w:szCs w:val="13"/>
                <w:color w:val="0000FF"/>
              </w:rPr>
              <w:t>202</w:t>
            </w:r>
          </w:p>
        </w:tc>
        <w:tc>
          <w:tcPr>
            <w:tcW w:w="76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900" w:type="dxa"/>
            <w:vAlign w:val="bottom"/>
            <w:vMerge w:val="restart"/>
          </w:tcPr>
          <w:p>
            <w:pPr>
              <w:ind w:left="60"/>
              <w:spacing w:after="0"/>
              <w:rPr>
                <w:sz w:val="20"/>
                <w:szCs w:val="20"/>
                <w:color w:val="auto"/>
              </w:rPr>
            </w:pPr>
            <w:r>
              <w:rPr>
                <w:rFonts w:ascii="Arial" w:cs="Arial" w:eastAsia="Arial" w:hAnsi="Arial"/>
                <w:sz w:val="13"/>
                <w:szCs w:val="13"/>
                <w:color w:val="0000FF"/>
              </w:rPr>
              <w:t>Notional</w:t>
            </w:r>
          </w:p>
        </w:tc>
        <w:tc>
          <w:tcPr>
            <w:tcW w:w="80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2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90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Units</w:t>
      </w:r>
    </w:p>
    <w:p>
      <w:pPr>
        <w:spacing w:after="0" w:line="9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220" w:firstLine="7"/>
        <w:spacing w:after="0" w:line="24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deferred compensation notional units were allocated under the Fiserv, Inc. Non-Employee Director Deferred Compensation Plan (the "Plan"), under which director fees otherwise payable in cash may be deferred in exchange for the allocation of notional units under the Plan. This Form 4 reports the crediting of units under the Plan on December 31, 2019 in respect of $23,250 of deferred compensation. The number of notional units credited is calculated by dividing the amount of compensation that is deferred by the closing price of the company's common stock on the date of deferral, or last business day prior. On December 31, 2019, the closing price of Fiserv's common stock was $115.63 per share. Following cessation of the reporting person's service to the company, each notional unit will be settled in shares of Fiserv common stock on a one-for-one basis.</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860"/>
        <w:spacing w:after="0" w:line="230" w:lineRule="auto"/>
        <w:rPr>
          <w:sz w:val="20"/>
          <w:szCs w:val="20"/>
          <w:color w:val="auto"/>
        </w:rPr>
      </w:pPr>
      <w:r>
        <w:rPr>
          <w:rFonts w:ascii="Arial" w:cs="Arial" w:eastAsia="Arial" w:hAnsi="Arial"/>
          <w:sz w:val="17"/>
          <w:szCs w:val="17"/>
          <w:color w:val="0000FF"/>
        </w:rPr>
        <w:t xml:space="preserve">/s/ Lynn S. McCreary (attorney- </w:t>
      </w:r>
      <w:r>
        <w:rPr>
          <w:rFonts w:ascii="Arial" w:cs="Arial" w:eastAsia="Arial" w:hAnsi="Arial"/>
          <w:sz w:val="34"/>
          <w:szCs w:val="34"/>
          <w:color w:val="0000FF"/>
          <w:vertAlign w:val="subscript"/>
        </w:rPr>
        <w:t>01/03/2020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-27940</wp:posOffset>
            </wp:positionV>
            <wp:extent cx="14090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906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-17145</wp:posOffset>
            </wp:positionV>
            <wp:extent cx="3238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23850" cy="8255"/>
                    </a:xfrm>
                    <a:prstGeom prst="rect">
                      <a:avLst/>
                    </a:prstGeom>
                    <a:noFill/>
                  </pic:spPr>
                </pic:pic>
              </a:graphicData>
            </a:graphic>
          </wp:anchor>
        </w:drawing>
        <w:drawing>
          <wp:anchor simplePos="0" relativeHeight="251657728" behindDoc="1" locked="0" layoutInCell="0" allowOverlap="1">
            <wp:simplePos x="0" y="0"/>
            <wp:positionH relativeFrom="column">
              <wp:posOffset>5812790</wp:posOffset>
            </wp:positionH>
            <wp:positionV relativeFrom="paragraph">
              <wp:posOffset>-84455</wp:posOffset>
            </wp:positionV>
            <wp:extent cx="5016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1650" cy="8255"/>
                    </a:xfrm>
                    <a:prstGeom prst="rect">
                      <a:avLst/>
                    </a:prstGeom>
                    <a:noFill/>
                  </pic:spPr>
                </pic:pic>
              </a:graphicData>
            </a:graphic>
          </wp:anchor>
        </w:drawing>
      </w:r>
    </w:p>
    <w:p>
      <w:pPr>
        <w:spacing w:after="0" w:line="45"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8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9930" TargetMode="External"/><Relationship Id="rId13" Type="http://schemas.openxmlformats.org/officeDocument/2006/relationships/hyperlink" Target="http://www.sec.gov/cgi-bin/browse-edgar?action=getcompany&amp;CIK=00007983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2020-01-03T16:51:12Z</dcterms:created>
  <dcterms:modified xsi:type="dcterms:W3CDTF">2020-01-03T16:51:12Z</dcterms:modified>
</cp:coreProperties>
</file>