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CheckFree Holdings Corporation</w:t>
      </w:r>
    </w:p>
    <w:p>
      <w:pPr>
        <w:spacing w:after="0" w:line="238" w:lineRule="auto"/>
        <w:rPr>
          <w:sz w:val="20"/>
          <w:szCs w:val="20"/>
          <w:color w:val="auto"/>
        </w:rPr>
      </w:pPr>
      <w:r>
        <w:rPr>
          <w:rFonts w:ascii="Courier New" w:cs="Courier New" w:eastAsia="Courier New" w:hAnsi="Courier New"/>
          <w:sz w:val="18"/>
          <w:szCs w:val="18"/>
          <w:color w:val="auto"/>
        </w:rPr>
        <w:t>common stock</w:t>
      </w:r>
    </w:p>
    <w:tbl>
      <w:tblPr>
        <w:tblLayout w:type="fixed"/>
        <w:tblInd w:w="0" w:type="dxa"/>
        <w:tblCellMar>
          <w:top w:w="0" w:type="dxa"/>
          <w:left w:w="0" w:type="dxa"/>
          <w:bottom w:w="0" w:type="dxa"/>
          <w:right w:w="0" w:type="dxa"/>
        </w:tblCellMar>
      </w:tblP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162816102</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162816102</w:t>
            </w:r>
          </w:p>
        </w:tc>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Person - FMR Corp.</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1,560,700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2,856,100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6.293%</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HC</w:t>
            </w:r>
          </w:p>
        </w:tc>
        <w:tc>
          <w:tcPr>
            <w:tcW w:w="0" w:type="dxa"/>
            <w:vAlign w:val="bottom"/>
          </w:tcPr>
          <w:p>
            <w:pPr>
              <w:spacing w:after="0"/>
              <w:rPr>
                <w:sz w:val="1"/>
                <w:szCs w:val="1"/>
                <w:color w:val="auto"/>
              </w:rPr>
            </w:pPr>
          </w:p>
        </w:tc>
      </w:tr>
      <w:tr>
        <w:trPr>
          <w:trHeight w:val="51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162816102</w:t>
            </w:r>
          </w:p>
        </w:tc>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Person - Edward C. Johnson 3d</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6.293%</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IN</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162816102</w:t>
            </w:r>
          </w:p>
        </w:tc>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Person - Abigail P. Johnson</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6.293%</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IN</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162816102</w:t>
            </w:r>
          </w:p>
        </w:tc>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Person - Fidelity International Limited</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Bermuda</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591,530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591,530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3,447,630</w:t>
            </w: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6.293%</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HC</w:t>
            </w:r>
          </w:p>
        </w:tc>
        <w:tc>
          <w:tcPr>
            <w:tcW w:w="0" w:type="dxa"/>
            <w:vAlign w:val="bottom"/>
          </w:tcPr>
          <w:p>
            <w:pPr>
              <w:spacing w:after="0"/>
              <w:rPr>
                <w:sz w:val="1"/>
                <w:szCs w:val="1"/>
                <w:color w:val="auto"/>
              </w:rPr>
            </w:pPr>
          </w:p>
        </w:tc>
      </w:tr>
      <w:tr>
        <w:trPr>
          <w:trHeight w:val="717"/>
        </w:trPr>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rPr>
              <w:t>SCHEDULE 13G - TO</w:t>
            </w: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BE INCLUDED IN STATEMENTS</w:t>
            </w:r>
          </w:p>
        </w:tc>
        <w:tc>
          <w:tcPr>
            <w:tcW w:w="0" w:type="dxa"/>
            <w:vAlign w:val="bottom"/>
          </w:tcPr>
          <w:p>
            <w:pPr>
              <w:spacing w:after="0"/>
              <w:rPr>
                <w:sz w:val="1"/>
                <w:szCs w:val="1"/>
                <w:color w:val="auto"/>
              </w:rPr>
            </w:pPr>
          </w:p>
        </w:tc>
      </w:tr>
      <w:tr>
        <w:trPr>
          <w:trHeight w:val="296"/>
        </w:trPr>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rPr>
              <w:t>FILED PURSUANT TO</w:t>
            </w: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RULE 13d-1(c)</w:t>
            </w:r>
          </w:p>
        </w:tc>
        <w:tc>
          <w:tcPr>
            <w:tcW w:w="0" w:type="dxa"/>
            <w:vAlign w:val="bottom"/>
          </w:tcPr>
          <w:p>
            <w:pPr>
              <w:spacing w:after="0"/>
              <w:rPr>
                <w:sz w:val="1"/>
                <w:szCs w:val="1"/>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CheckFree Holdings Corporation</w:t>
            </w:r>
          </w:p>
        </w:tc>
        <w:tc>
          <w:tcPr>
            <w:tcW w:w="0" w:type="dxa"/>
            <w:vAlign w:val="bottom"/>
          </w:tcPr>
          <w:p>
            <w:pPr>
              <w:spacing w:after="0"/>
              <w:rPr>
                <w:sz w:val="1"/>
                <w:szCs w:val="1"/>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Issuer's Principal Executive Offices:</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4411 East Jones Bridge Road,</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Norcross, GA 30092</w:t>
            </w:r>
          </w:p>
        </w:tc>
        <w:tc>
          <w:tcPr>
            <w:tcW w:w="0" w:type="dxa"/>
            <w:vAlign w:val="bottom"/>
          </w:tcPr>
          <w:p>
            <w:pPr>
              <w:spacing w:after="0"/>
              <w:rPr>
                <w:sz w:val="1"/>
                <w:szCs w:val="1"/>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FMR Corp.</w:t>
            </w:r>
          </w:p>
        </w:tc>
        <w:tc>
          <w:tcPr>
            <w:tcW w:w="0" w:type="dxa"/>
            <w:vAlign w:val="bottom"/>
          </w:tcPr>
          <w:p>
            <w:pPr>
              <w:spacing w:after="0"/>
              <w:rPr>
                <w:sz w:val="1"/>
                <w:szCs w:val="1"/>
                <w:color w:val="auto"/>
              </w:rPr>
            </w:pPr>
          </w:p>
        </w:tc>
      </w:tr>
      <w:tr>
        <w:trPr>
          <w:trHeight w:val="311"/>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c>
          <w:tcPr>
            <w:tcW w:w="0" w:type="dxa"/>
            <w:vAlign w:val="bottom"/>
          </w:tcPr>
          <w:p>
            <w:pPr>
              <w:spacing w:after="0"/>
              <w:rPr>
                <w:sz w:val="1"/>
                <w:szCs w:val="1"/>
                <w:color w:val="auto"/>
              </w:rPr>
            </w:pPr>
          </w:p>
        </w:tc>
      </w:tr>
      <w:tr>
        <w:trPr>
          <w:trHeight w:val="296"/>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Residence:</w:t>
            </w: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c>
          <w:tcPr>
            <w:tcW w:w="0" w:type="dxa"/>
            <w:vAlign w:val="bottom"/>
          </w:tcPr>
          <w:p>
            <w:pPr>
              <w:spacing w:after="0"/>
              <w:rPr>
                <w:sz w:val="1"/>
                <w:szCs w:val="1"/>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sectPr>
      </w:pPr>
    </w:p>
    <w:bookmarkStart w:id="1" w:name="page2"/>
    <w:bookmarkEnd w:id="1"/>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162816102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right="5779" w:hanging="9"/>
        <w:spacing w:after="0" w:line="347"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3,447,630</w:t>
      </w:r>
    </w:p>
    <w:p>
      <w:pPr>
        <w:spacing w:after="0" w:line="1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6.293%</w:t>
      </w:r>
    </w:p>
    <w:p>
      <w:pPr>
        <w:spacing w:after="0" w:line="169"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860" w:right="4199" w:hanging="9"/>
        <w:spacing w:after="0" w:line="347"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2,152,230</w:t>
      </w:r>
    </w:p>
    <w:p>
      <w:pPr>
        <w:spacing w:after="0" w:line="1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rFonts w:ascii="Courier New" w:cs="Courier New" w:eastAsia="Courier New" w:hAnsi="Courier New"/>
          <w:sz w:val="18"/>
          <w:szCs w:val="18"/>
          <w:color w:val="auto"/>
        </w:rPr>
      </w:pPr>
    </w:p>
    <w:p>
      <w:pPr>
        <w:ind w:right="4519" w:firstLine="851"/>
        <w:spacing w:after="0" w:line="34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3,447,630</w:t>
      </w:r>
    </w:p>
    <w:p>
      <w:pPr>
        <w:spacing w:after="0" w:line="18" w:lineRule="exact"/>
        <w:rPr>
          <w:rFonts w:ascii="Courier New" w:cs="Courier New" w:eastAsia="Courier New" w:hAnsi="Courier New"/>
          <w:sz w:val="18"/>
          <w:szCs w:val="18"/>
          <w:color w:val="auto"/>
        </w:rPr>
      </w:pPr>
    </w:p>
    <w:p>
      <w:pPr>
        <w:ind w:right="4319" w:firstLine="851"/>
        <w:spacing w:after="0" w:line="34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 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4319" w:firstLine="843"/>
        <w:spacing w:after="0" w:line="25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ind w:right="4939"/>
        <w:spacing w:after="0" w:line="256" w:lineRule="auto"/>
        <w:rPr>
          <w:sz w:val="20"/>
          <w:szCs w:val="20"/>
          <w:color w:val="auto"/>
        </w:rPr>
      </w:pPr>
      <w:r>
        <w:rPr>
          <w:rFonts w:ascii="Courier New" w:cs="Courier New" w:eastAsia="Courier New" w:hAnsi="Courier New"/>
          <w:sz w:val="18"/>
          <w:szCs w:val="18"/>
          <w:color w:val="auto"/>
        </w:rPr>
        <w:t>the proceeds from the sale of, the common stock of CheckFree Holdings Corporation. No one person's interest in the common stock of CheckFree Holdings Corporation is more than five percent of the total outstanding common stock.</w:t>
      </w:r>
    </w:p>
    <w:p>
      <w:pPr>
        <w:spacing w:after="0" w:line="9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4099" w:firstLine="843"/>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w:t>
      </w:r>
    </w:p>
    <w:p>
      <w:pPr>
        <w:ind w:right="4739"/>
        <w:spacing w:after="0" w:line="252" w:lineRule="auto"/>
        <w:rPr>
          <w:sz w:val="20"/>
          <w:szCs w:val="20"/>
          <w:color w:val="auto"/>
        </w:rPr>
      </w:pPr>
      <w:r>
        <w:rPr>
          <w:rFonts w:ascii="Courier New" w:cs="Courier New" w:eastAsia="Courier New" w:hAnsi="Courier New"/>
          <w:sz w:val="18"/>
          <w:szCs w:val="18"/>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12" w:right="1440" w:bottom="0" w:gutter="0" w:footer="0" w:header="0"/>
        </w:sectPr>
      </w:pPr>
    </w:p>
    <w:bookmarkStart w:id="2" w:name="page3"/>
    <w:bookmarkEnd w:id="2"/>
    <w:p>
      <w:pPr>
        <w:ind w:right="4519" w:firstLine="843"/>
        <w:spacing w:after="0" w:line="28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w:t>
      </w:r>
    </w:p>
    <w:p>
      <w:pPr>
        <w:spacing w:after="0" w:line="1" w:lineRule="exact"/>
        <w:rPr>
          <w:sz w:val="20"/>
          <w:szCs w:val="20"/>
          <w:color w:val="auto"/>
        </w:rPr>
      </w:pPr>
    </w:p>
    <w:p>
      <w:pPr>
        <w:ind w:right="4739"/>
        <w:spacing w:after="0" w:line="273" w:lineRule="auto"/>
        <w:rPr>
          <w:sz w:val="20"/>
          <w:szCs w:val="20"/>
          <w:color w:val="auto"/>
        </w:rPr>
      </w:pPr>
      <w:r>
        <w:rPr>
          <w:rFonts w:ascii="Courier New" w:cs="Courier New" w:eastAsia="Courier New" w:hAnsi="Courier New"/>
          <w:sz w:val="18"/>
          <w:szCs w:val="18"/>
          <w:color w:val="auto"/>
        </w:rPr>
        <w:t>FMR Corp.'s beneficial ownership of the common stock of CheckFree Holdings Corporation at September 17, 1999 is true, complete and correct.</w:t>
      </w:r>
    </w:p>
    <w:p>
      <w:pPr>
        <w:spacing w:after="0" w:line="28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1999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Duly authorized under</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ind w:left="860"/>
        <w:spacing w:after="0"/>
        <w:rPr>
          <w:sz w:val="20"/>
          <w:szCs w:val="20"/>
          <w:color w:val="auto"/>
        </w:rPr>
      </w:pPr>
      <w:r>
        <w:rPr>
          <w:rFonts w:ascii="Courier New" w:cs="Courier New" w:eastAsia="Courier New" w:hAnsi="Courier New"/>
          <w:sz w:val="18"/>
          <w:szCs w:val="18"/>
          <w:color w:val="auto"/>
        </w:rPr>
        <w:t>dated December 30, 1997,</w:t>
      </w:r>
    </w:p>
    <w:p>
      <w:pPr>
        <w:spacing w:after="0" w:line="238" w:lineRule="auto"/>
        <w:rPr>
          <w:sz w:val="20"/>
          <w:szCs w:val="20"/>
          <w:color w:val="auto"/>
        </w:rPr>
      </w:pPr>
      <w:r>
        <w:rPr>
          <w:rFonts w:ascii="Courier New" w:cs="Courier New" w:eastAsia="Courier New" w:hAnsi="Courier New"/>
          <w:sz w:val="18"/>
          <w:szCs w:val="18"/>
          <w:color w:val="auto"/>
        </w:rPr>
        <w:t>by and on behalf</w:t>
      </w:r>
    </w:p>
    <w:p>
      <w:pPr>
        <w:ind w:left="860"/>
        <w:spacing w:after="0"/>
        <w:rPr>
          <w:sz w:val="20"/>
          <w:szCs w:val="20"/>
          <w:color w:val="auto"/>
        </w:rPr>
      </w:pPr>
      <w:r>
        <w:rPr>
          <w:rFonts w:ascii="Courier New" w:cs="Courier New" w:eastAsia="Courier New" w:hAnsi="Courier New"/>
          <w:sz w:val="18"/>
          <w:szCs w:val="18"/>
          <w:color w:val="auto"/>
        </w:rPr>
        <w:t>of FMR Corp. and its</w:t>
      </w:r>
    </w:p>
    <w:p>
      <w:pPr>
        <w:spacing w:after="0" w:line="238" w:lineRule="auto"/>
        <w:rPr>
          <w:sz w:val="20"/>
          <w:szCs w:val="20"/>
          <w:color w:val="auto"/>
        </w:rPr>
      </w:pPr>
      <w:r>
        <w:rPr>
          <w:rFonts w:ascii="Courier New" w:cs="Courier New" w:eastAsia="Courier New" w:hAnsi="Courier New"/>
          <w:sz w:val="18"/>
          <w:szCs w:val="18"/>
          <w:color w:val="auto"/>
        </w:rPr>
        <w:t>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13d-1(c)</w:t>
      </w:r>
    </w:p>
    <w:p>
      <w:pPr>
        <w:spacing w:after="0" w:line="169" w:lineRule="exact"/>
        <w:rPr>
          <w:sz w:val="20"/>
          <w:szCs w:val="20"/>
          <w:color w:val="auto"/>
        </w:rPr>
      </w:pPr>
    </w:p>
    <w:p>
      <w:pPr>
        <w:ind w:right="3479" w:firstLine="843"/>
        <w:spacing w:after="0" w:line="250"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1,292,900 shares or 2.360% of the common stock outstanding of CheckFree Holdings Corporation ("the Company") as a result of acting as investment adviser to various investment companies (the "funds") registered under Section 8 of the Investment Company Act of 1940.</w:t>
      </w:r>
    </w:p>
    <w:p>
      <w:pPr>
        <w:spacing w:after="0" w:line="104" w:lineRule="exact"/>
        <w:rPr>
          <w:sz w:val="20"/>
          <w:szCs w:val="20"/>
          <w:color w:val="auto"/>
        </w:rPr>
      </w:pPr>
    </w:p>
    <w:p>
      <w:pPr>
        <w:ind w:right="357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collectively each has sole power to dispose of the 1,292,900 shares owned by the Funds.</w:t>
      </w:r>
    </w:p>
    <w:p>
      <w:pPr>
        <w:spacing w:after="0" w:line="66" w:lineRule="exact"/>
        <w:rPr>
          <w:sz w:val="20"/>
          <w:szCs w:val="20"/>
          <w:color w:val="auto"/>
        </w:rPr>
      </w:pPr>
    </w:p>
    <w:p>
      <w:pPr>
        <w:ind w:right="3159" w:firstLine="843"/>
        <w:spacing w:after="0" w:line="24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funds, which power resides with the funds' Boards of Trustees. Fidelity carries out the voting of</w:t>
      </w:r>
    </w:p>
    <w:p>
      <w:pPr>
        <w:spacing w:after="0" w:line="3" w:lineRule="exact"/>
        <w:rPr>
          <w:sz w:val="20"/>
          <w:szCs w:val="20"/>
          <w:color w:val="auto"/>
        </w:rPr>
      </w:pPr>
    </w:p>
    <w:p>
      <w:pPr>
        <w:ind w:right="3779"/>
        <w:spacing w:after="0" w:line="309" w:lineRule="auto"/>
        <w:rPr>
          <w:sz w:val="20"/>
          <w:szCs w:val="20"/>
          <w:color w:val="auto"/>
        </w:rPr>
      </w:pPr>
      <w:r>
        <w:rPr>
          <w:rFonts w:ascii="Courier New" w:cs="Courier New" w:eastAsia="Courier New" w:hAnsi="Courier New"/>
          <w:sz w:val="18"/>
          <w:szCs w:val="18"/>
          <w:color w:val="auto"/>
        </w:rPr>
        <w:t>the shares under written guidelines established by the funds' Boards of Trustees.</w:t>
      </w:r>
    </w:p>
    <w:p>
      <w:pPr>
        <w:spacing w:after="0" w:line="51" w:lineRule="exact"/>
        <w:rPr>
          <w:sz w:val="20"/>
          <w:szCs w:val="20"/>
          <w:color w:val="auto"/>
        </w:rPr>
      </w:pPr>
    </w:p>
    <w:p>
      <w:pPr>
        <w:ind w:right="335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1,563,200 shares or 2.853% of the common stock outstanding of the Company as a result of its serving as investment manager of the institutional account(s).</w:t>
      </w:r>
    </w:p>
    <w:p>
      <w:pPr>
        <w:spacing w:after="0" w:line="98" w:lineRule="exact"/>
        <w:rPr>
          <w:sz w:val="20"/>
          <w:szCs w:val="20"/>
          <w:color w:val="auto"/>
        </w:rPr>
      </w:pPr>
    </w:p>
    <w:p>
      <w:pPr>
        <w:ind w:right="3259" w:firstLine="843"/>
        <w:spacing w:after="0" w:line="274"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1,563,200 shares and sole power to vote or to direct the voting of 1,560,700 shares.</w:t>
      </w:r>
    </w:p>
    <w:p>
      <w:pPr>
        <w:spacing w:after="0" w:line="82" w:lineRule="exact"/>
        <w:rPr>
          <w:sz w:val="20"/>
          <w:szCs w:val="20"/>
          <w:color w:val="auto"/>
        </w:rPr>
      </w:pPr>
    </w:p>
    <w:p>
      <w:pPr>
        <w:ind w:right="3479" w:firstLine="843"/>
        <w:spacing w:after="0" w:line="282" w:lineRule="auto"/>
        <w:rPr>
          <w:sz w:val="20"/>
          <w:szCs w:val="20"/>
          <w:color w:val="auto"/>
        </w:rPr>
      </w:pPr>
      <w:r>
        <w:rPr>
          <w:rFonts w:ascii="Courier New" w:cs="Courier New" w:eastAsia="Courier New" w:hAnsi="Courier New"/>
          <w:sz w:val="16"/>
          <w:szCs w:val="16"/>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w:t>
      </w:r>
    </w:p>
    <w:p>
      <w:pPr>
        <w:sectPr>
          <w:pgSz w:w="11900" w:h="16838" w:orient="portrait"/>
          <w:cols w:equalWidth="0" w:num="1">
            <w:col w:w="10219"/>
          </w:cols>
          <w:pgMar w:left="240" w:top="312" w:right="1440" w:bottom="0" w:gutter="0" w:footer="0" w:header="0"/>
        </w:sectPr>
      </w:pPr>
    </w:p>
    <w:bookmarkStart w:id="3" w:name="page4"/>
    <w:bookmarkEnd w:id="3"/>
    <w:p>
      <w:pPr>
        <w:ind w:right="3679"/>
        <w:spacing w:after="0" w:line="292" w:lineRule="auto"/>
        <w:rPr>
          <w:sz w:val="20"/>
          <w:szCs w:val="20"/>
          <w:color w:val="auto"/>
        </w:rPr>
      </w:pPr>
      <w:r>
        <w:rPr>
          <w:rFonts w:ascii="Courier New" w:cs="Courier New" w:eastAsia="Courier New" w:hAnsi="Courier New"/>
          <w:sz w:val="18"/>
          <w:szCs w:val="18"/>
          <w:color w:val="auto"/>
        </w:rPr>
        <w:t>the Johnson family may be deemed, under the Investment Company Act of 1940, to form a controlling group with respect to FMR Corp.</w:t>
      </w:r>
    </w:p>
    <w:p>
      <w:pPr>
        <w:spacing w:after="0" w:line="66" w:lineRule="exact"/>
        <w:rPr>
          <w:sz w:val="20"/>
          <w:szCs w:val="20"/>
          <w:color w:val="auto"/>
        </w:rPr>
      </w:pPr>
    </w:p>
    <w:p>
      <w:pPr>
        <w:ind w:right="3159" w:firstLine="843"/>
        <w:spacing w:after="0" w:line="289"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and certain institutional investors. Fidelity International Limited is the beneficial owner of 591,530 shares or 1.079%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82" w:lineRule="exact"/>
        <w:rPr>
          <w:sz w:val="20"/>
          <w:szCs w:val="20"/>
          <w:color w:val="auto"/>
        </w:rPr>
      </w:pPr>
    </w:p>
    <w:p>
      <w:pPr>
        <w:ind w:right="4519"/>
        <w:spacing w:after="0" w:line="347" w:lineRule="auto"/>
        <w:rPr>
          <w:sz w:val="20"/>
          <w:szCs w:val="20"/>
          <w:color w:val="auto"/>
        </w:rPr>
      </w:pPr>
      <w:r>
        <w:rPr>
          <w:rFonts w:ascii="Courier New" w:cs="Courier New" w:eastAsia="Courier New" w:hAnsi="Courier New"/>
          <w:sz w:val="18"/>
          <w:szCs w:val="18"/>
          <w:color w:val="auto"/>
        </w:rPr>
        <w:t>EXHIBIT to SCHEDULE 13G - TO BE INCLUDED IN STATEMENTS FILED PURSUANT TO RULE 13d-1(c)</w:t>
      </w:r>
    </w:p>
    <w:p>
      <w:pPr>
        <w:spacing w:after="0" w:line="18" w:lineRule="exact"/>
        <w:rPr>
          <w:sz w:val="20"/>
          <w:szCs w:val="20"/>
          <w:color w:val="auto"/>
        </w:rPr>
      </w:pPr>
    </w:p>
    <w:p>
      <w:pPr>
        <w:ind w:right="3459" w:firstLine="843"/>
        <w:spacing w:after="0" w:line="287"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591,530 shares or 1.079% of the common stock outstanding of CheckFree Holdings Corporation.</w:t>
      </w:r>
    </w:p>
    <w:p>
      <w:pPr>
        <w:spacing w:after="0" w:line="75" w:lineRule="exact"/>
        <w:rPr>
          <w:sz w:val="20"/>
          <w:szCs w:val="20"/>
          <w:color w:val="auto"/>
        </w:rPr>
      </w:pPr>
    </w:p>
    <w:p>
      <w:pPr>
        <w:ind w:right="3159" w:firstLine="843"/>
        <w:spacing w:after="0" w:line="253"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04" w:lineRule="exact"/>
        <w:rPr>
          <w:sz w:val="20"/>
          <w:szCs w:val="20"/>
          <w:color w:val="auto"/>
        </w:rPr>
      </w:pPr>
    </w:p>
    <w:p>
      <w:pPr>
        <w:ind w:right="3039" w:firstLine="843"/>
        <w:spacing w:after="0" w:line="27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 the right to cast approximately 39.89% of the total votes which may be cast by all holders of FIL voting stock. Mr. Johnson 3d is Chairman of</w:t>
      </w:r>
    </w:p>
    <w:p>
      <w:pPr>
        <w:spacing w:after="0" w:line="3"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8"/>
          <w:szCs w:val="18"/>
          <w:color w:val="auto"/>
        </w:rPr>
        <w:t>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01" w:lineRule="exact"/>
        <w:rPr>
          <w:sz w:val="20"/>
          <w:szCs w:val="20"/>
          <w:color w:val="auto"/>
        </w:rPr>
      </w:pPr>
    </w:p>
    <w:p>
      <w:pPr>
        <w:ind w:right="2939" w:firstLine="843"/>
        <w:spacing w:after="0" w:line="244"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w:t>
      </w:r>
    </w:p>
    <w:p>
      <w:pPr>
        <w:spacing w:after="0" w:line="4"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96" w:lineRule="exact"/>
        <w:rPr>
          <w:sz w:val="20"/>
          <w:szCs w:val="20"/>
          <w:color w:val="auto"/>
        </w:rPr>
      </w:pPr>
    </w:p>
    <w:p>
      <w:pPr>
        <w:ind w:right="3159" w:firstLine="843"/>
        <w:spacing w:after="0" w:line="274" w:lineRule="auto"/>
        <w:rPr>
          <w:sz w:val="20"/>
          <w:szCs w:val="20"/>
          <w:color w:val="auto"/>
        </w:rPr>
      </w:pPr>
      <w:r>
        <w:rPr>
          <w:rFonts w:ascii="Courier New" w:cs="Courier New" w:eastAsia="Courier New" w:hAnsi="Courier New"/>
          <w:sz w:val="18"/>
          <w:szCs w:val="18"/>
          <w:color w:val="auto"/>
        </w:rPr>
        <w:t>FIL has sole dispositive power over 591,530 shares owned by the International Funds. FIL has sole power to vote or direct the voting of 591,530 shares of common stock held by the International Funds as reported above.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SCHEDULE 13G -</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w w:val="97"/>
              </w:rPr>
              <w:t>BE INCLUDED IN STATEMENTS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PURSUANT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13d-1(c)</w:t>
            </w: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RULE 13d-1(f)(1)</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AGREEMENT</w:t>
            </w:r>
          </w:p>
        </w:tc>
      </w:tr>
    </w:tbl>
    <w:p>
      <w:pPr>
        <w:spacing w:after="0" w:line="109" w:lineRule="exact"/>
        <w:rPr>
          <w:sz w:val="20"/>
          <w:szCs w:val="20"/>
          <w:color w:val="auto"/>
        </w:rPr>
      </w:pPr>
    </w:p>
    <w:p>
      <w:pPr>
        <w:ind w:right="3359" w:firstLine="843"/>
        <w:spacing w:after="0" w:line="318" w:lineRule="auto"/>
        <w:rPr>
          <w:sz w:val="20"/>
          <w:szCs w:val="20"/>
          <w:color w:val="auto"/>
        </w:rPr>
      </w:pPr>
      <w:r>
        <w:rPr>
          <w:rFonts w:ascii="Courier New" w:cs="Courier New" w:eastAsia="Courier New" w:hAnsi="Courier New"/>
          <w:sz w:val="16"/>
          <w:szCs w:val="16"/>
          <w:color w:val="auto"/>
        </w:rPr>
        <w:t>The undersigned persons, on September 21, 1999, agree and consent to the joint filing on their behalf of this Schedule 13G in connection with their beneficial ownership of the common stock of CheckFree Holdings Corporation at September 17, 1999.</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9"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w:t>
      </w:r>
    </w:p>
    <w:p>
      <w:pPr>
        <w:sectPr>
          <w:pgSz w:w="11900" w:h="16838" w:orient="portrait"/>
          <w:cols w:equalWidth="0" w:num="1">
            <w:col w:w="10219"/>
          </w:cols>
          <w:pgMar w:left="24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Attorney</w:t>
      </w:r>
    </w:p>
    <w:p>
      <w:pPr>
        <w:spacing w:after="0" w:line="29"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dated December 30, 1997, by and on</w:t>
      </w:r>
    </w:p>
    <w:p>
      <w:pPr>
        <w:spacing w:after="0" w:line="238" w:lineRule="auto"/>
        <w:rPr>
          <w:sz w:val="20"/>
          <w:szCs w:val="20"/>
          <w:color w:val="auto"/>
        </w:rPr>
      </w:pPr>
      <w:r>
        <w:rPr>
          <w:rFonts w:ascii="Courier New" w:cs="Courier New" w:eastAsia="Courier New" w:hAnsi="Courier New"/>
          <w:sz w:val="18"/>
          <w:szCs w:val="18"/>
          <w:color w:val="auto"/>
        </w:rPr>
        <w:t>behalf</w:t>
      </w:r>
    </w:p>
    <w:p>
      <w:pPr>
        <w:ind w:left="860"/>
        <w:spacing w:after="0"/>
        <w:rPr>
          <w:sz w:val="20"/>
          <w:szCs w:val="20"/>
          <w:color w:val="auto"/>
        </w:rPr>
      </w:pPr>
      <w:r>
        <w:rPr>
          <w:rFonts w:ascii="Courier New" w:cs="Courier New" w:eastAsia="Courier New" w:hAnsi="Courier New"/>
          <w:sz w:val="18"/>
          <w:szCs w:val="18"/>
          <w:color w:val="auto"/>
        </w:rPr>
        <w:t>of FMR Corp. and its direct and</w:t>
      </w:r>
    </w:p>
    <w:p>
      <w:pPr>
        <w:spacing w:after="0" w:line="238" w:lineRule="auto"/>
        <w:rPr>
          <w:sz w:val="20"/>
          <w:szCs w:val="20"/>
          <w:color w:val="auto"/>
        </w:rPr>
      </w:pPr>
      <w:r>
        <w:rPr>
          <w:rFonts w:ascii="Courier New" w:cs="Courier New" w:eastAsia="Courier New" w:hAnsi="Courier New"/>
          <w:sz w:val="18"/>
          <w:szCs w:val="18"/>
          <w:color w:val="auto"/>
        </w:rPr>
        <w:t>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7"/>
              </w:rPr>
              <w:t>By   /s/Eric</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Eric</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Duly</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authorized under Power of</w:t>
            </w:r>
          </w:p>
        </w:tc>
      </w:tr>
      <w:tr>
        <w:trPr>
          <w:trHeight w:val="235"/>
        </w:trPr>
        <w:tc>
          <w:tcPr>
            <w:tcW w:w="132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Attorney</w:t>
            </w:r>
          </w:p>
        </w:tc>
        <w:tc>
          <w:tcPr>
            <w:tcW w:w="2700" w:type="dxa"/>
            <w:vAlign w:val="bottom"/>
          </w:tcPr>
          <w:p>
            <w:pPr>
              <w:spacing w:after="0"/>
              <w:rPr>
                <w:sz w:val="20"/>
                <w:szCs w:val="20"/>
                <w:color w:val="auto"/>
              </w:rPr>
            </w:pPr>
          </w:p>
        </w:tc>
      </w:tr>
    </w:tbl>
    <w:p>
      <w:pPr>
        <w:jc w:val="right"/>
        <w:ind w:right="5779"/>
        <w:spacing w:after="0" w:line="238" w:lineRule="auto"/>
        <w:rPr>
          <w:sz w:val="20"/>
          <w:szCs w:val="20"/>
          <w:color w:val="auto"/>
        </w:rPr>
      </w:pPr>
      <w:r>
        <w:rPr>
          <w:rFonts w:ascii="Courier New" w:cs="Courier New" w:eastAsia="Courier New" w:hAnsi="Courier New"/>
          <w:sz w:val="18"/>
          <w:szCs w:val="18"/>
          <w:color w:val="auto"/>
        </w:rPr>
        <w:t>dated December 30, 1997, by and on</w:t>
      </w:r>
    </w:p>
    <w:p>
      <w:pPr>
        <w:spacing w:after="0"/>
        <w:rPr>
          <w:sz w:val="20"/>
          <w:szCs w:val="20"/>
          <w:color w:val="auto"/>
        </w:rPr>
      </w:pPr>
      <w:r>
        <w:rPr>
          <w:rFonts w:ascii="Courier New" w:cs="Courier New" w:eastAsia="Courier New" w:hAnsi="Courier New"/>
          <w:sz w:val="18"/>
          <w:szCs w:val="18"/>
          <w:color w:val="auto"/>
        </w:rPr>
        <w:t>behalf</w:t>
      </w: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7"/>
              </w:rPr>
              <w:t>By   /s/Eric</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Eric</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Duly</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authorized under Power of</w:t>
            </w:r>
          </w:p>
        </w:tc>
      </w:tr>
      <w:tr>
        <w:trPr>
          <w:trHeight w:val="235"/>
        </w:trPr>
        <w:tc>
          <w:tcPr>
            <w:tcW w:w="132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Attorney</w:t>
            </w:r>
          </w:p>
        </w:tc>
        <w:tc>
          <w:tcPr>
            <w:tcW w:w="2700" w:type="dxa"/>
            <w:vAlign w:val="bottom"/>
          </w:tcPr>
          <w:p>
            <w:pPr>
              <w:spacing w:after="0"/>
              <w:rPr>
                <w:sz w:val="20"/>
                <w:szCs w:val="20"/>
                <w:color w:val="auto"/>
              </w:rPr>
            </w:pPr>
          </w:p>
        </w:tc>
      </w:tr>
    </w:tbl>
    <w:p>
      <w:pPr>
        <w:jc w:val="right"/>
        <w:ind w:right="5779"/>
        <w:spacing w:after="0" w:line="238" w:lineRule="auto"/>
        <w:rPr>
          <w:sz w:val="20"/>
          <w:szCs w:val="20"/>
          <w:color w:val="auto"/>
        </w:rPr>
      </w:pPr>
      <w:r>
        <w:rPr>
          <w:rFonts w:ascii="Courier New" w:cs="Courier New" w:eastAsia="Courier New" w:hAnsi="Courier New"/>
          <w:sz w:val="18"/>
          <w:szCs w:val="18"/>
          <w:color w:val="auto"/>
        </w:rPr>
        <w:t>dated December 30, 1997, by and on</w:t>
      </w:r>
    </w:p>
    <w:p>
      <w:pPr>
        <w:spacing w:after="0"/>
        <w:rPr>
          <w:sz w:val="20"/>
          <w:szCs w:val="20"/>
          <w:color w:val="auto"/>
        </w:rPr>
      </w:pPr>
      <w:r>
        <w:rPr>
          <w:rFonts w:ascii="Courier New" w:cs="Courier New" w:eastAsia="Courier New" w:hAnsi="Courier New"/>
          <w:sz w:val="18"/>
          <w:szCs w:val="18"/>
          <w:color w:val="auto"/>
        </w:rPr>
        <w:t>behalf</w:t>
      </w: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ectPr>
          <w:pgSz w:w="11900" w:h="16838" w:orient="portrait"/>
          <w:cols w:equalWidth="0" w:num="1">
            <w:col w:w="10219"/>
          </w:cols>
          <w:pgMar w:left="240" w:top="110"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6"/>
          <w:szCs w:val="16"/>
          <w:color w:val="auto"/>
        </w:rPr>
        <w:t>/s/Eric D. Roiter</w:t>
      </w:r>
    </w:p>
    <w:p>
      <w:pPr>
        <w:spacing w:after="0" w:line="53"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8"/>
          <w:szCs w:val="18"/>
          <w:color w:val="auto"/>
        </w:rPr>
        <w:t>Eric D. Roiter</w:t>
      </w:r>
    </w:p>
    <w:p>
      <w:pPr>
        <w:spacing w:after="0" w:line="60" w:lineRule="exact"/>
        <w:rPr>
          <w:sz w:val="20"/>
          <w:szCs w:val="20"/>
          <w:color w:val="auto"/>
        </w:rPr>
      </w:pPr>
    </w:p>
    <w:p>
      <w:pPr>
        <w:sectPr>
          <w:pgSz w:w="11900" w:h="16838" w:orient="portrait"/>
          <w:cols w:equalWidth="0" w:num="2">
            <w:col w:w="220" w:space="320"/>
            <w:col w:w="9679"/>
          </w:cols>
          <w:pgMar w:left="240" w:top="110"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Senior V.P. and General Counsel</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2020-02-22T13:58:09Z</dcterms:created>
  <dcterms:modified xsi:type="dcterms:W3CDTF">2020-02-22T13:58:09Z</dcterms:modified>
</cp:coreProperties>
</file>