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5231130</wp:posOffset>
            </wp:positionH>
            <wp:positionV relativeFrom="paragraph">
              <wp:posOffset>-614680</wp:posOffset>
            </wp:positionV>
            <wp:extent cx="57785" cy="628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13335</wp:posOffset>
            </wp:positionV>
            <wp:extent cx="7047865" cy="6297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6297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400"/>
            <w:col w:w="8460"/>
          </w:cols>
          <w:pgMar w:left="460" w:top="219" w:right="359" w:bottom="91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Bisignano Frank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FISV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09/01/2021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34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9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 and CEO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1" w:space="720"/>
            <w:col w:w="3339"/>
          </w:cols>
          <w:pgMar w:left="460" w:top="219" w:right="359" w:bottom="912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BROOKFIELD  WI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53045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X</w:t>
            </w:r>
          </w:p>
        </w:tc>
        <w:tc>
          <w:tcPr>
            <w:tcW w:w="2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08/20/2021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2,656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2,311,970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09/01/2021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377,955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36.54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2,718,716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09/01/2021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252,546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118.34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2,466,170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1,567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15,690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76,713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By 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46,209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05/07/2014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377,955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36.54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57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377,955</w:t>
            </w: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74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05/07/2023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1,259,857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912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exercise was effected pursuant to a Rule 10b5-1 trading plan entered into by the reporting person for estate and financial planning purposes.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28,791 shares distributed from the Frank J. Bisignano 2020 Grantor Retained Annuity Trust on September 1, 2021.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payment of exercise price and tax liability by withholding securities incident to exercise of stock options.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in an account, of which the reporting person acts as custodian, for the benefit of a minor.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by trusts, of which the reporting person serves as trustee, for the benefit of the reporting person's children.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distribution of 28,791 shares to the reporting person on September 1, 2021.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by the Frank J. Bisignano 2020 Grantor Retained Annuity Trust.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five equal installments on each anniversary of the grant date, May 7, 2013.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Eric C. Nelson (attorney-in-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635</wp:posOffset>
            </wp:positionV>
            <wp:extent cx="12960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91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09/02/2021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7620</wp:posOffset>
            </wp:positionV>
            <wp:extent cx="475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19" w:right="359" w:bottom="912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26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91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6629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2021-09-02T15:18:28Z</dcterms:created>
  <dcterms:modified xsi:type="dcterms:W3CDTF">2021-09-02T15:18:28Z</dcterms:modified>
</cp:coreProperties>
</file>