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ValueAct Holdings,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LETTERMAN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D,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20" w:type="dxa"/>
            <w:vAlign w:val="bottom"/>
            <w:gridSpan w:val="8"/>
          </w:tcPr>
          <w:p>
            <w:pPr>
              <w:jc w:val="center"/>
              <w:ind w:right="4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0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9"/>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2"/>
          </w:tcPr>
          <w:p>
            <w:pPr>
              <w:jc w:val="right"/>
              <w:ind w:righ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01/04/2023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1,060,030</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102.23</w:t>
            </w:r>
          </w:p>
        </w:tc>
        <w:tc>
          <w:tcPr>
            <w:tcW w:w="15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7"/>
                <w:szCs w:val="17"/>
                <w:color w:val="0000FF"/>
              </w:rPr>
              <w:t>13,587,746</w:t>
            </w:r>
          </w:p>
        </w:tc>
        <w:tc>
          <w:tcPr>
            <w:tcW w:w="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01/05/2023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1,264,956</w:t>
            </w: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99.55</w:t>
            </w:r>
          </w:p>
        </w:tc>
        <w:tc>
          <w:tcPr>
            <w:tcW w:w="1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4"/>
            <w:vMerge w:val="restart"/>
          </w:tcPr>
          <w:p>
            <w:pPr>
              <w:jc w:val="right"/>
              <w:ind w:right="500"/>
              <w:spacing w:after="0"/>
              <w:rPr>
                <w:sz w:val="20"/>
                <w:szCs w:val="20"/>
                <w:color w:val="auto"/>
              </w:rPr>
            </w:pPr>
            <w:r>
              <w:rPr>
                <w:rFonts w:ascii="Times New Roman" w:cs="Times New Roman" w:eastAsia="Times New Roman" w:hAnsi="Times New Roman"/>
                <w:sz w:val="17"/>
                <w:szCs w:val="17"/>
                <w:color w:val="0000FF"/>
              </w:rPr>
              <w:t>12,322,790</w:t>
            </w:r>
          </w:p>
        </w:tc>
        <w:tc>
          <w:tcPr>
            <w:tcW w:w="260" w:type="dxa"/>
            <w:vAlign w:val="bottom"/>
            <w:tcBorders>
              <w:top w:val="single" w:sz="8" w:color="2C2C2C"/>
            </w:tcBorders>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01/06/2023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675,014</w:t>
            </w: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101.51</w:t>
            </w:r>
          </w:p>
        </w:tc>
        <w:tc>
          <w:tcPr>
            <w:tcW w:w="1520" w:type="dxa"/>
            <w:vAlign w:val="bottom"/>
            <w:tcBorders>
              <w:top w:val="single" w:sz="8" w:color="2C2C2C"/>
            </w:tcBorders>
            <w:gridSpan w:val="4"/>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11,647,776</w:t>
            </w:r>
          </w:p>
        </w:tc>
        <w:tc>
          <w:tcPr>
            <w:tcW w:w="260" w:type="dxa"/>
            <w:vAlign w:val="bottom"/>
            <w:tcBorders>
              <w:top w:val="single" w:sz="8" w:color="2C2C2C"/>
            </w:tcBorders>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4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ValueAct Holdings, L.P.</w:t>
              </w:r>
            </w:hyperlink>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ValueAct Capital Master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LETTERMAN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D, 4TH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895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98958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VA Partners 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ValueAct Capital Management,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0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0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ValueAct Capital Management,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ValueAct Holdings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FOURTH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ValueAct Holdings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4TH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listed herein disclaims beneficial ownership of the reported securities except to the extent of its pecuniary interest therein, and this report shall not be deemed an admission that such person is the beneficial owner of the securities for purposes of Section 16 of the Securities Exchange Act of 1934, as amended, or for any other purpose.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ValueAct Capital Master Fund, L.P. and may be deemed to be indirectly beneficially owned by (i) VA Partners I, LLC as General Partner of ValueAct Capital</w:t>
      </w:r>
    </w:p>
    <w:p>
      <w:pPr>
        <w:sectPr>
          <w:pgSz w:w="11900" w:h="16838" w:orient="portrait"/>
          <w:cols w:equalWidth="0" w:num="1">
            <w:col w:w="10800"/>
          </w:cols>
          <w:pgMar w:left="480" w:top="300" w:right="619" w:bottom="0" w:gutter="0" w:footer="0" w:header="0"/>
        </w:sectPr>
      </w:pPr>
    </w:p>
    <w:bookmarkStart w:id="2" w:name="page3"/>
    <w:bookmarkEnd w:id="2"/>
    <w:p>
      <w:pPr>
        <w:ind w:right="60"/>
        <w:spacing w:after="0" w:line="247" w:lineRule="auto"/>
        <w:rPr>
          <w:sz w:val="20"/>
          <w:szCs w:val="20"/>
          <w:color w:val="auto"/>
        </w:rPr>
      </w:pPr>
      <w:r>
        <w:rPr>
          <w:rFonts w:ascii="Times New Roman" w:cs="Times New Roman" w:eastAsia="Times New Roman" w:hAnsi="Times New Roman"/>
          <w:sz w:val="13"/>
          <w:szCs w:val="13"/>
          <w:color w:val="008000"/>
        </w:rPr>
        <w:t>Master Fund, L.P., (ii) ValueAct Capital Management, L.P. as the manager of ValueAct Capital Master Fund, L.P., (iii) ValueAct Capital Management, LLC as General Partner of ValueAct Capital Management, L.P., (iv) ValueAct Holdings, L.P. as the majority owner of the membership interests of VA Partners I, LLC, (v) ValueAct Holdings II, L.P. as the sole owner of the membership interests of ValueAct Capital Management, LLC and as the majority owner of the limited partnership interests of ValueAct Capital Management, L.P., and (vi) ValueAct Holdings GP, LLC as General Partner of ValueAct Holdings, L.P. and ValueAct Holdings II, 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firstLine="7"/>
        <w:spacing w:after="0" w:line="247" w:lineRule="auto"/>
        <w:tabs>
          <w:tab w:leader="none" w:pos="7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herein may be deemed to be members of a "group" for purposes of the Securities Exchange Act of 1934, as amended. Each reporting person disclaims beneficial ownership of any securities deemed to be owned by the group that are not directly owned by such reporting person. This report shall not be deemed an admission that such reporting person is a member of a group or the beneficial owner of any securities not directly owned by such reporting person. - Dylan G. Haggart, a Partner at ValueAct Capital, serves on the board of directors of the Issuer. As a result, the other reporting persons herein may be deemed directors by deputization.</w:t>
      </w:r>
    </w:p>
    <w:p>
      <w:pPr>
        <w:sectPr>
          <w:pgSz w:w="11900" w:h="16838" w:orient="portrait"/>
          <w:cols w:equalWidth="0" w:num="1">
            <w:col w:w="10820"/>
          </w:cols>
          <w:pgMar w:left="500" w:top="127" w:right="57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5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VALUEACT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3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 PARTNERS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 PARTNERS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85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Jason B. Breeding,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6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1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1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Jason B. Breeding,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6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VALUEACT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1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6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 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VALUEACT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1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Jason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Breeding,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80" w:space="60"/>
            <w:col w:w="2080"/>
          </w:cols>
          <w:pgMar w:left="500" w:top="127"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2" Type="http://schemas.openxmlformats.org/officeDocument/2006/relationships/hyperlink" Target="http://www.sec.gov/cgi-bin/browse-edgar?action=getcompany&amp;CIK=0001418814" TargetMode="External"/><Relationship Id="rId13" Type="http://schemas.openxmlformats.org/officeDocument/2006/relationships/hyperlink" Target="http://www.sec.gov/cgi-bin/browse-edgar?action=getcompany&amp;CIK=0000798354" TargetMode="External"/><Relationship Id="rId14" Type="http://schemas.openxmlformats.org/officeDocument/2006/relationships/hyperlink" Target="http://www.sec.gov/cgi-bin/browse-edgar?action=getcompany&amp;CIK=0001464912" TargetMode="External"/><Relationship Id="rId17" Type="http://schemas.openxmlformats.org/officeDocument/2006/relationships/hyperlink" Target="http://www.sec.gov/cgi-bin/browse-edgar?action=getcompany&amp;CIK=0001418812" TargetMode="External"/><Relationship Id="rId18" Type="http://schemas.openxmlformats.org/officeDocument/2006/relationships/hyperlink" Target="http://www.sec.gov/cgi-bin/browse-edgar?action=getcompany&amp;CIK=0001351069" TargetMode="External"/><Relationship Id="rId19" Type="http://schemas.openxmlformats.org/officeDocument/2006/relationships/hyperlink" Target="http://www.sec.gov/cgi-bin/browse-edgar?action=getcompany&amp;CIK=0001351073" TargetMode="External"/><Relationship Id="rId20" Type="http://schemas.openxmlformats.org/officeDocument/2006/relationships/hyperlink" Target="http://www.sec.gov/cgi-bin/browse-edgar?action=getcompany&amp;CIK=0001763309" TargetMode="External"/><Relationship Id="rId21" Type="http://schemas.openxmlformats.org/officeDocument/2006/relationships/hyperlink" Target="http://www.sec.gov/cgi-bin/browse-edgar?action=getcompany&amp;CIK=00014188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2023-01-06T16:20:37Z</dcterms:created>
  <dcterms:modified xsi:type="dcterms:W3CDTF">2023-01-06T16:20:37Z</dcterms:modified>
</cp:coreProperties>
</file>