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80"/>
        <w:spacing w:after="0"/>
        <w:rPr>
          <w:sz w:val="20"/>
          <w:szCs w:val="20"/>
          <w:color w:val="auto"/>
        </w:rPr>
      </w:pPr>
      <w:r>
        <w:rPr>
          <w:rFonts w:ascii="Courier New" w:cs="Courier New" w:eastAsia="Courier New" w:hAnsi="Courier New"/>
          <w:sz w:val="15"/>
          <w:szCs w:val="15"/>
          <w:color w:val="auto"/>
        </w:rPr>
        <w:t>1</w:t>
      </w:r>
    </w:p>
    <w:p>
      <w:pPr>
        <w:jc w:val="center"/>
        <w:ind w:right="3239"/>
        <w:spacing w:after="0" w:line="237" w:lineRule="auto"/>
        <w:rPr>
          <w:sz w:val="20"/>
          <w:szCs w:val="20"/>
          <w:color w:val="auto"/>
        </w:rPr>
      </w:pPr>
      <w:r>
        <w:rPr>
          <w:rFonts w:ascii="Courier New" w:cs="Courier New" w:eastAsia="Courier New" w:hAnsi="Courier New"/>
          <w:sz w:val="15"/>
          <w:szCs w:val="15"/>
          <w:color w:val="auto"/>
        </w:rPr>
        <w:t>SECURITIES AND EXCHANGE COMMISSION</w:t>
      </w:r>
    </w:p>
    <w:p>
      <w:pPr>
        <w:jc w:val="center"/>
        <w:ind w:right="3239"/>
        <w:spacing w:after="0" w:line="238" w:lineRule="auto"/>
        <w:rPr>
          <w:sz w:val="20"/>
          <w:szCs w:val="20"/>
          <w:color w:val="auto"/>
        </w:rPr>
      </w:pPr>
      <w:r>
        <w:rPr>
          <w:rFonts w:ascii="Courier New" w:cs="Courier New" w:eastAsia="Courier New" w:hAnsi="Courier New"/>
          <w:sz w:val="15"/>
          <w:szCs w:val="15"/>
          <w:color w:val="auto"/>
        </w:rPr>
        <w:t>WASHINGTON, D.C. 20549</w:t>
      </w:r>
    </w:p>
    <w:p>
      <w:pPr>
        <w:spacing w:after="0" w:line="167" w:lineRule="exact"/>
        <w:rPr>
          <w:sz w:val="24"/>
          <w:szCs w:val="24"/>
          <w:color w:val="auto"/>
        </w:rPr>
      </w:pPr>
    </w:p>
    <w:p>
      <w:pPr>
        <w:ind w:left="2540"/>
        <w:spacing w:after="0"/>
        <w:rPr>
          <w:sz w:val="20"/>
          <w:szCs w:val="20"/>
          <w:color w:val="auto"/>
        </w:rPr>
      </w:pPr>
      <w:r>
        <w:rPr>
          <w:rFonts w:ascii="Courier New" w:cs="Courier New" w:eastAsia="Courier New" w:hAnsi="Courier New"/>
          <w:sz w:val="15"/>
          <w:szCs w:val="15"/>
          <w:color w:val="auto"/>
        </w:rPr>
        <w:t>-----------------------</w:t>
      </w:r>
    </w:p>
    <w:p>
      <w:pPr>
        <w:spacing w:after="0" w:line="166"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FORM 8-K/A NO. 2</w:t>
      </w:r>
    </w:p>
    <w:p>
      <w:pPr>
        <w:spacing w:after="0" w:line="166" w:lineRule="exact"/>
        <w:rPr>
          <w:sz w:val="24"/>
          <w:szCs w:val="24"/>
          <w:color w:val="auto"/>
        </w:rPr>
      </w:pPr>
    </w:p>
    <w:p>
      <w:pPr>
        <w:ind w:left="2900"/>
        <w:spacing w:after="0"/>
        <w:rPr>
          <w:sz w:val="20"/>
          <w:szCs w:val="20"/>
          <w:color w:val="auto"/>
        </w:rPr>
      </w:pPr>
      <w:r>
        <w:rPr>
          <w:rFonts w:ascii="Courier New" w:cs="Courier New" w:eastAsia="Courier New" w:hAnsi="Courier New"/>
          <w:sz w:val="15"/>
          <w:szCs w:val="15"/>
          <w:color w:val="auto"/>
        </w:rPr>
        <w:t>CURRENT REPORT</w:t>
      </w:r>
    </w:p>
    <w:p>
      <w:pPr>
        <w:ind w:left="2020"/>
        <w:spacing w:after="0" w:line="237" w:lineRule="auto"/>
        <w:rPr>
          <w:sz w:val="20"/>
          <w:szCs w:val="20"/>
          <w:color w:val="auto"/>
        </w:rPr>
      </w:pPr>
      <w:r>
        <w:rPr>
          <w:rFonts w:ascii="Courier New" w:cs="Courier New" w:eastAsia="Courier New" w:hAnsi="Courier New"/>
          <w:sz w:val="15"/>
          <w:szCs w:val="15"/>
          <w:color w:val="auto"/>
        </w:rPr>
        <w:t>PURSUANT TO SECTION 13 OR 15(d) OF</w:t>
      </w:r>
    </w:p>
    <w:p>
      <w:pPr>
        <w:ind w:left="2020"/>
        <w:spacing w:after="0" w:line="238" w:lineRule="auto"/>
        <w:rPr>
          <w:sz w:val="20"/>
          <w:szCs w:val="20"/>
          <w:color w:val="auto"/>
        </w:rPr>
      </w:pPr>
      <w:r>
        <w:rPr>
          <w:rFonts w:ascii="Courier New" w:cs="Courier New" w:eastAsia="Courier New" w:hAnsi="Courier New"/>
          <w:sz w:val="15"/>
          <w:szCs w:val="15"/>
          <w:color w:val="auto"/>
        </w:rPr>
        <w:t>THE SECURITIES EXCHANGE ACT OF 1934</w:t>
      </w:r>
    </w:p>
    <w:p>
      <w:pPr>
        <w:spacing w:after="0" w:line="335" w:lineRule="exact"/>
        <w:rPr>
          <w:sz w:val="24"/>
          <w:szCs w:val="24"/>
          <w:color w:val="auto"/>
        </w:rPr>
      </w:pPr>
    </w:p>
    <w:p>
      <w:pPr>
        <w:ind w:left="2540"/>
        <w:spacing w:after="0"/>
        <w:rPr>
          <w:sz w:val="20"/>
          <w:szCs w:val="20"/>
          <w:color w:val="auto"/>
        </w:rPr>
      </w:pPr>
      <w:r>
        <w:rPr>
          <w:rFonts w:ascii="Courier New" w:cs="Courier New" w:eastAsia="Courier New" w:hAnsi="Courier New"/>
          <w:sz w:val="15"/>
          <w:szCs w:val="15"/>
          <w:color w:val="auto"/>
        </w:rPr>
        <w:t>-----------------------</w:t>
      </w:r>
    </w:p>
    <w:p>
      <w:pPr>
        <w:spacing w:after="0" w:line="335"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5"/>
          <w:szCs w:val="15"/>
          <w:color w:val="auto"/>
        </w:rPr>
        <w:t>DATE OF REPORT: MAY 9, 1996</w:t>
      </w:r>
    </w:p>
    <w:p>
      <w:pPr>
        <w:spacing w:after="0" w:line="166" w:lineRule="exact"/>
        <w:rPr>
          <w:sz w:val="24"/>
          <w:szCs w:val="24"/>
          <w:color w:val="auto"/>
        </w:rPr>
      </w:pPr>
    </w:p>
    <w:p>
      <w:pPr>
        <w:ind w:left="2540"/>
        <w:spacing w:after="0"/>
        <w:rPr>
          <w:sz w:val="20"/>
          <w:szCs w:val="20"/>
          <w:color w:val="auto"/>
        </w:rPr>
      </w:pPr>
      <w:r>
        <w:rPr>
          <w:rFonts w:ascii="Courier New" w:cs="Courier New" w:eastAsia="Courier New" w:hAnsi="Courier New"/>
          <w:sz w:val="15"/>
          <w:szCs w:val="15"/>
          <w:color w:val="auto"/>
        </w:rPr>
        <w:t>-----------------------</w:t>
      </w:r>
    </w:p>
    <w:p>
      <w:pPr>
        <w:spacing w:after="0" w:line="166"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5"/>
          <w:szCs w:val="15"/>
          <w:color w:val="auto"/>
        </w:rPr>
        <w:t>CHECKFREE CORPORATION</w:t>
      </w:r>
    </w:p>
    <w:p>
      <w:pPr>
        <w:spacing w:after="0" w:line="5"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4"/>
          <w:szCs w:val="14"/>
          <w:color w:val="auto"/>
        </w:rPr>
        <w:t>(EXACT NAME OF REGISTRANT AS SPECIFIED IN ITS CHARTER)</w:t>
      </w:r>
    </w:p>
    <w:p>
      <w:pPr>
        <w:spacing w:after="0" w:line="171" w:lineRule="exact"/>
        <w:rPr>
          <w:sz w:val="24"/>
          <w:szCs w:val="24"/>
          <w:color w:val="auto"/>
        </w:rPr>
      </w:pPr>
    </w:p>
    <w:p>
      <w:pPr>
        <w:ind w:left="254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39"/>
          </w:cols>
          <w:pgMar w:left="220" w:top="225" w:right="1440" w:bottom="1440" w:gutter="0" w:footer="0" w:header="0"/>
        </w:sectPr>
      </w:pPr>
    </w:p>
    <w:p>
      <w:pPr>
        <w:spacing w:after="0" w:line="200" w:lineRule="exact"/>
        <w:rPr>
          <w:sz w:val="24"/>
          <w:szCs w:val="24"/>
          <w:color w:val="auto"/>
        </w:rPr>
      </w:pPr>
    </w:p>
    <w:p>
      <w:pPr>
        <w:spacing w:after="0" w:line="303" w:lineRule="exact"/>
        <w:rPr>
          <w:sz w:val="24"/>
          <w:szCs w:val="24"/>
          <w:color w:val="auto"/>
        </w:rPr>
      </w:pPr>
    </w:p>
    <w:p>
      <w:pPr>
        <w:ind w:left="360"/>
        <w:spacing w:after="0"/>
        <w:rPr>
          <w:sz w:val="20"/>
          <w:szCs w:val="20"/>
          <w:color w:val="auto"/>
        </w:rPr>
      </w:pPr>
      <w:r>
        <w:rPr>
          <w:rFonts w:ascii="Courier New" w:cs="Courier New" w:eastAsia="Courier New" w:hAnsi="Courier New"/>
          <w:sz w:val="15"/>
          <w:szCs w:val="15"/>
          <w:color w:val="auto"/>
        </w:rPr>
        <w:t>Delaware</w:t>
      </w:r>
    </w:p>
    <w:p>
      <w:pPr>
        <w:ind w:left="36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(STATE OR OTHER</w:t>
      </w:r>
    </w:p>
    <w:p>
      <w:pPr>
        <w:spacing w:after="0" w:line="10"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JURISDICTION OF</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3" w:lineRule="exact"/>
        <w:rPr>
          <w:sz w:val="24"/>
          <w:szCs w:val="24"/>
          <w:color w:val="auto"/>
        </w:rPr>
      </w:pPr>
    </w:p>
    <w:p>
      <w:pPr>
        <w:ind w:left="520"/>
        <w:spacing w:after="0"/>
        <w:rPr>
          <w:sz w:val="20"/>
          <w:szCs w:val="20"/>
          <w:color w:val="auto"/>
        </w:rPr>
      </w:pPr>
      <w:r>
        <w:rPr>
          <w:rFonts w:ascii="Courier New" w:cs="Courier New" w:eastAsia="Courier New" w:hAnsi="Courier New"/>
          <w:sz w:val="15"/>
          <w:szCs w:val="15"/>
          <w:color w:val="auto"/>
        </w:rPr>
        <w:t>0-26802</w:t>
      </w:r>
    </w:p>
    <w:p>
      <w:pPr>
        <w:ind w:left="52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(COMMISSION FILE NO.)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3" w:lineRule="exact"/>
        <w:rPr>
          <w:sz w:val="24"/>
          <w:szCs w:val="24"/>
          <w:color w:val="auto"/>
        </w:rPr>
      </w:pPr>
    </w:p>
    <w:p>
      <w:pPr>
        <w:ind w:left="440"/>
        <w:spacing w:after="0"/>
        <w:rPr>
          <w:sz w:val="20"/>
          <w:szCs w:val="20"/>
          <w:color w:val="auto"/>
        </w:rPr>
      </w:pPr>
      <w:r>
        <w:rPr>
          <w:rFonts w:ascii="Courier New" w:cs="Courier New" w:eastAsia="Courier New" w:hAnsi="Courier New"/>
          <w:sz w:val="15"/>
          <w:szCs w:val="15"/>
          <w:color w:val="auto"/>
        </w:rPr>
        <w:t>31-1013521</w:t>
      </w:r>
    </w:p>
    <w:p>
      <w:pPr>
        <w:ind w:left="440"/>
        <w:spacing w:after="0" w:line="237" w:lineRule="auto"/>
        <w:rPr>
          <w:sz w:val="20"/>
          <w:szCs w:val="20"/>
          <w:color w:val="auto"/>
        </w:rPr>
      </w:pPr>
      <w:r>
        <w:rPr>
          <w:rFonts w:ascii="Courier New" w:cs="Courier New" w:eastAsia="Courier New" w:hAnsi="Courier New"/>
          <w:sz w:val="15"/>
          <w:szCs w:val="15"/>
          <w:color w:val="auto"/>
        </w:rPr>
        <w:t>----------</w:t>
      </w:r>
    </w:p>
    <w:p>
      <w:pPr>
        <w:ind w:left="360"/>
        <w:spacing w:after="0" w:line="238" w:lineRule="auto"/>
        <w:rPr>
          <w:sz w:val="20"/>
          <w:szCs w:val="20"/>
          <w:color w:val="auto"/>
        </w:rPr>
      </w:pPr>
      <w:r>
        <w:rPr>
          <w:rFonts w:ascii="Courier New" w:cs="Courier New" w:eastAsia="Courier New" w:hAnsi="Courier New"/>
          <w:sz w:val="15"/>
          <w:szCs w:val="15"/>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IDENTIFICATION NUMBER)</w:t>
      </w:r>
    </w:p>
    <w:p>
      <w:pPr>
        <w:spacing w:after="0" w:line="3" w:lineRule="exact"/>
        <w:rPr>
          <w:sz w:val="24"/>
          <w:szCs w:val="24"/>
          <w:color w:val="auto"/>
        </w:rPr>
      </w:pPr>
    </w:p>
    <w:p>
      <w:pPr>
        <w:sectPr>
          <w:pgSz w:w="11900" w:h="16838" w:orient="portrait"/>
          <w:cols w:equalWidth="0" w:num="3">
            <w:col w:w="1920" w:space="720"/>
            <w:col w:w="1840" w:space="600"/>
            <w:col w:w="5159"/>
          </w:cols>
          <w:pgMar w:left="220" w:top="225"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INCORPORATION OR</w:t>
      </w:r>
    </w:p>
    <w:p>
      <w:pPr>
        <w:spacing w:after="0" w:line="237" w:lineRule="auto"/>
        <w:rPr>
          <w:sz w:val="20"/>
          <w:szCs w:val="20"/>
          <w:color w:val="auto"/>
        </w:rPr>
      </w:pPr>
      <w:r>
        <w:rPr>
          <w:rFonts w:ascii="Courier New" w:cs="Courier New" w:eastAsia="Courier New" w:hAnsi="Courier New"/>
          <w:sz w:val="15"/>
          <w:szCs w:val="15"/>
          <w:color w:val="auto"/>
        </w:rPr>
        <w:t>ORGANIZATION)</w:t>
      </w:r>
    </w:p>
    <w:p>
      <w:pPr>
        <w:spacing w:after="0" w:line="167" w:lineRule="exact"/>
        <w:rPr>
          <w:sz w:val="24"/>
          <w:szCs w:val="24"/>
          <w:color w:val="auto"/>
        </w:rPr>
      </w:pPr>
    </w:p>
    <w:p>
      <w:pPr>
        <w:ind w:left="2540"/>
        <w:spacing w:after="0"/>
        <w:rPr>
          <w:sz w:val="20"/>
          <w:szCs w:val="20"/>
          <w:color w:val="auto"/>
        </w:rPr>
      </w:pPr>
      <w:r>
        <w:rPr>
          <w:rFonts w:ascii="Courier New" w:cs="Courier New" w:eastAsia="Courier New" w:hAnsi="Courier New"/>
          <w:sz w:val="15"/>
          <w:szCs w:val="15"/>
          <w:color w:val="auto"/>
        </w:rPr>
        <w:t>-----------------------</w:t>
      </w:r>
    </w:p>
    <w:p>
      <w:pPr>
        <w:spacing w:after="0" w:line="335" w:lineRule="exact"/>
        <w:rPr>
          <w:sz w:val="24"/>
          <w:szCs w:val="24"/>
          <w:color w:val="auto"/>
        </w:rPr>
      </w:pPr>
    </w:p>
    <w:p>
      <w:pPr>
        <w:ind w:left="2540"/>
        <w:spacing w:after="0"/>
        <w:rPr>
          <w:sz w:val="20"/>
          <w:szCs w:val="20"/>
          <w:color w:val="auto"/>
        </w:rPr>
      </w:pPr>
      <w:r>
        <w:rPr>
          <w:rFonts w:ascii="Courier New" w:cs="Courier New" w:eastAsia="Courier New" w:hAnsi="Courier New"/>
          <w:sz w:val="15"/>
          <w:szCs w:val="15"/>
          <w:color w:val="auto"/>
        </w:rPr>
        <w:t>8275 North High Street</w:t>
      </w:r>
    </w:p>
    <w:p>
      <w:pPr>
        <w:ind w:left="2640"/>
        <w:spacing w:after="0" w:line="237" w:lineRule="auto"/>
        <w:rPr>
          <w:sz w:val="20"/>
          <w:szCs w:val="20"/>
          <w:color w:val="auto"/>
        </w:rPr>
      </w:pPr>
      <w:r>
        <w:rPr>
          <w:rFonts w:ascii="Courier New" w:cs="Courier New" w:eastAsia="Courier New" w:hAnsi="Courier New"/>
          <w:sz w:val="15"/>
          <w:szCs w:val="15"/>
          <w:color w:val="auto"/>
        </w:rPr>
        <w:t>Columbus, Ohio 43235</w:t>
      </w:r>
    </w:p>
    <w:p>
      <w:pPr>
        <w:ind w:left="2900"/>
        <w:spacing w:after="0" w:line="238" w:lineRule="auto"/>
        <w:rPr>
          <w:sz w:val="20"/>
          <w:szCs w:val="20"/>
          <w:color w:val="auto"/>
        </w:rPr>
      </w:pPr>
      <w:r>
        <w:rPr>
          <w:rFonts w:ascii="Courier New" w:cs="Courier New" w:eastAsia="Courier New" w:hAnsi="Courier New"/>
          <w:sz w:val="15"/>
          <w:szCs w:val="15"/>
          <w:color w:val="auto"/>
        </w:rPr>
        <w:t>(614) 825-3000</w:t>
      </w:r>
    </w:p>
    <w:p>
      <w:pPr>
        <w:ind w:left="1320"/>
        <w:spacing w:after="0" w:line="237" w:lineRule="auto"/>
        <w:rPr>
          <w:sz w:val="20"/>
          <w:szCs w:val="20"/>
          <w:color w:val="auto"/>
        </w:rPr>
      </w:pPr>
      <w:r>
        <w:rPr>
          <w:rFonts w:ascii="Courier New" w:cs="Courier New" w:eastAsia="Courier New" w:hAnsi="Courier New"/>
          <w:sz w:val="15"/>
          <w:szCs w:val="15"/>
          <w:color w:val="auto"/>
        </w:rPr>
        <w:t>(ADDRESS, INCLUDING ZIP CODE, AND TELEPHONE NUMBER</w:t>
      </w:r>
    </w:p>
    <w:p>
      <w:pPr>
        <w:ind w:left="2020"/>
        <w:spacing w:after="0" w:line="238" w:lineRule="auto"/>
        <w:rPr>
          <w:sz w:val="20"/>
          <w:szCs w:val="20"/>
          <w:color w:val="auto"/>
        </w:rPr>
      </w:pPr>
      <w:r>
        <w:rPr>
          <w:rFonts w:ascii="Courier New" w:cs="Courier New" w:eastAsia="Courier New" w:hAnsi="Courier New"/>
          <w:sz w:val="15"/>
          <w:szCs w:val="15"/>
          <w:color w:val="auto"/>
        </w:rPr>
        <w:t>INCLUDING AREA CODE OF REGISTRANT'S</w:t>
      </w:r>
    </w:p>
    <w:p>
      <w:pPr>
        <w:ind w:left="2280"/>
        <w:spacing w:after="0" w:line="237" w:lineRule="auto"/>
        <w:rPr>
          <w:sz w:val="20"/>
          <w:szCs w:val="20"/>
          <w:color w:val="auto"/>
        </w:rPr>
      </w:pPr>
      <w:r>
        <w:rPr>
          <w:rFonts w:ascii="Courier New" w:cs="Courier New" w:eastAsia="Courier New" w:hAnsi="Courier New"/>
          <w:sz w:val="15"/>
          <w:szCs w:val="15"/>
          <w:color w:val="auto"/>
        </w:rPr>
        <w:t>PRINCIPAL EXECUTIVE OFFICES)</w:t>
      </w:r>
    </w:p>
    <w:p>
      <w:pPr>
        <w:spacing w:after="0" w:line="335" w:lineRule="exact"/>
        <w:rPr>
          <w:sz w:val="24"/>
          <w:szCs w:val="24"/>
          <w:color w:val="auto"/>
        </w:rPr>
      </w:pPr>
    </w:p>
    <w:p>
      <w:pPr>
        <w:ind w:left="254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4"/>
          <w:szCs w:val="24"/>
          <w:color w:val="auto"/>
        </w:rPr>
      </w:pPr>
    </w:p>
    <w:p>
      <w:pPr>
        <w:spacing w:after="0" w:line="303" w:lineRule="exact"/>
        <w:rPr>
          <w:sz w:val="24"/>
          <w:szCs w:val="24"/>
          <w:color w:val="auto"/>
        </w:rPr>
      </w:pPr>
    </w:p>
    <w:p>
      <w:pPr>
        <w:jc w:val="center"/>
        <w:ind w:right="3219"/>
        <w:spacing w:after="0"/>
        <w:rPr>
          <w:sz w:val="20"/>
          <w:szCs w:val="20"/>
          <w:color w:val="auto"/>
        </w:rPr>
      </w:pPr>
      <w:r>
        <w:rPr>
          <w:rFonts w:ascii="Courier New" w:cs="Courier New" w:eastAsia="Courier New" w:hAnsi="Courier New"/>
          <w:sz w:val="15"/>
          <w:szCs w:val="15"/>
          <w:color w:val="auto"/>
        </w:rPr>
        <w:t>Not Applicable</w:t>
      </w:r>
    </w:p>
    <w:p>
      <w:pPr>
        <w:spacing w:after="0" w:line="5"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4"/>
          <w:szCs w:val="14"/>
          <w:color w:val="auto"/>
        </w:rPr>
        <w:t>(FORMER NAME OR FORMER ADDRESS, IF CHANGED SINCE LAST REPORT)</w:t>
      </w:r>
    </w:p>
    <w:p>
      <w:pPr>
        <w:spacing w:after="0" w:line="340" w:lineRule="exact"/>
        <w:rPr>
          <w:sz w:val="24"/>
          <w:szCs w:val="24"/>
          <w:color w:val="auto"/>
        </w:rPr>
      </w:pPr>
    </w:p>
    <w:p>
      <w:pPr>
        <w:ind w:left="254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39"/>
          </w:cols>
          <w:pgMar w:left="220" w:top="225" w:right="1440" w:bottom="1440" w:gutter="0" w:footer="0" w:header="0"/>
          <w:type w:val="continuous"/>
        </w:sectPr>
      </w:pPr>
    </w:p>
    <w:bookmarkStart w:id="1" w:name="page2"/>
    <w:bookmarkEnd w:id="1"/>
    <w:p>
      <w:pPr>
        <w:ind w:left="280"/>
        <w:spacing w:after="0"/>
        <w:rPr>
          <w:sz w:val="20"/>
          <w:szCs w:val="20"/>
          <w:color w:val="auto"/>
        </w:rPr>
      </w:pPr>
      <w:r>
        <w:rPr>
          <w:rFonts w:ascii="Courier New" w:cs="Courier New" w:eastAsia="Courier New" w:hAnsi="Courier New"/>
          <w:sz w:val="15"/>
          <w:szCs w:val="15"/>
          <w:color w:val="auto"/>
        </w:rPr>
        <w:t>2</w:t>
      </w:r>
    </w:p>
    <w:p>
      <w:pPr>
        <w:spacing w:after="0" w:line="200" w:lineRule="exact"/>
        <w:rPr>
          <w:sz w:val="20"/>
          <w:szCs w:val="20"/>
          <w:color w:val="auto"/>
        </w:rPr>
      </w:pPr>
    </w:p>
    <w:p>
      <w:pPr>
        <w:spacing w:after="0" w:line="303"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2.</w:t>
      </w:r>
      <w:r>
        <w:rPr>
          <w:sz w:val="20"/>
          <w:szCs w:val="20"/>
          <w:color w:val="auto"/>
        </w:rPr>
        <w:tab/>
      </w:r>
      <w:r>
        <w:rPr>
          <w:rFonts w:ascii="Courier New" w:cs="Courier New" w:eastAsia="Courier New" w:hAnsi="Courier New"/>
          <w:sz w:val="14"/>
          <w:szCs w:val="14"/>
          <w:color w:val="auto"/>
        </w:rPr>
        <w:t>ACQUISITION OR DISPOSITION OF ASSETS.</w:t>
      </w:r>
    </w:p>
    <w:p>
      <w:pPr>
        <w:spacing w:after="0" w:line="173" w:lineRule="exact"/>
        <w:rPr>
          <w:sz w:val="20"/>
          <w:szCs w:val="20"/>
          <w:color w:val="auto"/>
        </w:rPr>
      </w:pPr>
    </w:p>
    <w:p>
      <w:pPr>
        <w:ind w:right="3239" w:firstLine="787"/>
        <w:spacing w:after="0" w:line="237" w:lineRule="auto"/>
        <w:rPr>
          <w:sz w:val="20"/>
          <w:szCs w:val="20"/>
          <w:color w:val="auto"/>
        </w:rPr>
      </w:pPr>
      <w:r>
        <w:rPr>
          <w:rFonts w:ascii="Courier New" w:cs="Courier New" w:eastAsia="Courier New" w:hAnsi="Courier New"/>
          <w:sz w:val="15"/>
          <w:szCs w:val="15"/>
          <w:color w:val="auto"/>
        </w:rPr>
        <w:t>On March 21, 1996, Checkfree Corporation, a Delaware corporation ("Checkfree"), ISC Acquisition Corporation, an Ohio corporation and a wholly owned subsidiary of Checkfree ("ISC Acquisition"), and Security APL, Inc., an Illinois corporation ("Security"), entered into an Agreement and Plan of Merger, dated as of March 21, 1996, as amended (the "Merger Agreement"), whereby ISC Acquisition would be merged with and into Security with Security being the surviving entity as a wholly owned subsidiary of Checkfree (the "Acquisition"). Under the terms of the Merger Agreement, Checkfree agreed to acquire the stock of Security in exchange for common stock, $.01 par value, of Checkfree (the "Common Stock"). The Acquisition was completed on May 9, 1996. The total consideration paid by Checkfree was $53,307,815. Pursuant to the terms of the Merger Agreement, 2,822,325 shares of the Common Stock were issued, based upon an average stock price of $18.50 per share. Security is a full service provider of fully integrated, customized portfolio management software services, including performance measurement, trading and reporting for over 180 Institutional Money managers, along with brokers, financial planners and banks. Security handles nearly 300,000 professional portfolios and hundreds of thousands of trades per day.</w:t>
      </w:r>
    </w:p>
    <w:p>
      <w:pPr>
        <w:spacing w:after="0" w:line="175"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Checkfree's Board of Directors approved the issuance of the additional 2,822,325 shares on March 21, 1996. The shares of Common Stock received by the stockholders of Security are not registered under the Securities Act of 1933, as amended (the "Securities Act"), in reliance upon Section 4(2) of the Securities Act and Rule 506 of Regulation D thereunder.</w:t>
      </w:r>
    </w:p>
    <w:p>
      <w:pPr>
        <w:spacing w:after="0" w:line="174" w:lineRule="exact"/>
        <w:rPr>
          <w:sz w:val="20"/>
          <w:szCs w:val="20"/>
          <w:color w:val="auto"/>
        </w:rPr>
      </w:pPr>
    </w:p>
    <w:p>
      <w:pPr>
        <w:ind w:right="3319" w:firstLine="962"/>
        <w:spacing w:after="0" w:line="255" w:lineRule="auto"/>
        <w:rPr>
          <w:sz w:val="20"/>
          <w:szCs w:val="20"/>
          <w:color w:val="auto"/>
        </w:rPr>
      </w:pPr>
      <w:r>
        <w:rPr>
          <w:rFonts w:ascii="Courier New" w:cs="Courier New" w:eastAsia="Courier New" w:hAnsi="Courier New"/>
          <w:sz w:val="14"/>
          <w:szCs w:val="14"/>
          <w:color w:val="auto"/>
        </w:rPr>
        <w:t>The transaction was accomplished through arms-length negotiations between Checkfree's management and Security's management. Security's stockholders approved the Acquisition on May 6, 1996. There was no material relationship between the stockholders of Security and Checkfree or any of Checkfree's affiliates, any of Checkfree's directors or officers, or any associate of any such Checkfree director or officer, prior to this transaction.</w:t>
      </w:r>
    </w:p>
    <w:p>
      <w:pPr>
        <w:spacing w:after="0" w:line="166" w:lineRule="exact"/>
        <w:rPr>
          <w:sz w:val="20"/>
          <w:szCs w:val="20"/>
          <w:color w:val="auto"/>
        </w:rPr>
      </w:pPr>
    </w:p>
    <w:p>
      <w:pPr>
        <w:jc w:val="both"/>
        <w:ind w:right="3239" w:firstLine="787"/>
        <w:spacing w:after="0" w:line="235" w:lineRule="auto"/>
        <w:rPr>
          <w:sz w:val="20"/>
          <w:szCs w:val="20"/>
          <w:color w:val="auto"/>
        </w:rPr>
      </w:pPr>
      <w:r>
        <w:rPr>
          <w:rFonts w:ascii="Courier New" w:cs="Courier New" w:eastAsia="Courier New" w:hAnsi="Courier New"/>
          <w:sz w:val="15"/>
          <w:szCs w:val="15"/>
          <w:color w:val="auto"/>
        </w:rPr>
        <w:t>Checkfree's press release issued May 9, 1996 regarding the consummation of the Acquisition is attached as an exhibit to this report and is incorporated herein by reference.</w:t>
      </w:r>
    </w:p>
    <w:p>
      <w:pPr>
        <w:spacing w:after="0" w:line="16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7.</w:t>
      </w:r>
      <w:r>
        <w:rPr>
          <w:sz w:val="20"/>
          <w:szCs w:val="20"/>
          <w:color w:val="auto"/>
        </w:rPr>
        <w:tab/>
      </w:r>
      <w:r>
        <w:rPr>
          <w:rFonts w:ascii="Courier New" w:cs="Courier New" w:eastAsia="Courier New" w:hAnsi="Courier New"/>
          <w:sz w:val="14"/>
          <w:szCs w:val="14"/>
          <w:color w:val="auto"/>
        </w:rPr>
        <w:t>FINANCIAL STATEMENTS AND EXHIBITS.</w:t>
      </w:r>
    </w:p>
    <w:p>
      <w:pPr>
        <w:spacing w:after="0" w:line="16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(a) FINANCIAL STATEMENTS OF BUSINESS ACQUIRED.</w:t>
      </w:r>
    </w:p>
    <w:p>
      <w:pPr>
        <w:spacing w:after="0" w:line="173"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The financial statements of Security APL, Inc. as audited by its independent auditors, were previously filed on the original Current Report on Form 8-K dated May 9, 1996, filed with the Securities and Exchange Commission on May 20, 1996, and are deemed to be a part of this Amendment No. 2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281" w:right="1440" w:bottom="1440" w:gutter="0" w:footer="0" w:header="0"/>
        </w:sectPr>
      </w:pPr>
    </w:p>
    <w:bookmarkStart w:id="2" w:name="page3"/>
    <w:bookmarkEnd w:id="2"/>
    <w:p>
      <w:pPr>
        <w:ind w:left="280"/>
        <w:spacing w:after="0"/>
        <w:rPr>
          <w:sz w:val="20"/>
          <w:szCs w:val="20"/>
          <w:color w:val="auto"/>
        </w:rPr>
      </w:pPr>
      <w:r>
        <w:rPr>
          <w:rFonts w:ascii="Courier New" w:cs="Courier New" w:eastAsia="Courier New" w:hAnsi="Courier New"/>
          <w:sz w:val="15"/>
          <w:szCs w:val="15"/>
          <w:color w:val="auto"/>
        </w:rPr>
        <w:t>3</w:t>
      </w:r>
    </w:p>
    <w:p>
      <w:pPr>
        <w:spacing w:after="0" w:line="200" w:lineRule="exact"/>
        <w:rPr>
          <w:sz w:val="20"/>
          <w:szCs w:val="20"/>
          <w:color w:val="auto"/>
        </w:rPr>
      </w:pPr>
    </w:p>
    <w:p>
      <w:pPr>
        <w:spacing w:after="0" w:line="30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(b) PRO FORMA FINANCIAL INFORMATION.</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On July 22, 1996, Checkfree filed the Form 8-K/A. No.1 which provided the pro forma financials of Checkfree and Security under the pooling of interests accounting method. Due to the sale of assets by two subsidiaries of Checkfree to SunGard SSI Inc., Checkfree is required to treat the acquisition of Security under the purchase method of accounting rather than the pooling of interest method. Therefore, the following are the pro forma financial statements of Checkfree and Security, under the purchase method of accounting for the periods provided therein:</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UNAUDITED PRO FORMA CONDENSED COMBINING FINANCIAL INFORMATION</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Checkfree's acquisition of Security has been treated as a purchase for accounting purposes. Checkfree acquired Servantis Holdings, Inc. ("Servantis") in February 1996 (the "Servantis Acquisition"). The Servantis Acquisition was also treated as a purchase for accounting purposes. Under the purchase method of accounting, the assets and liabilities of the acquired company are recorded at their independently appraised fair values at the date of the acquisition, and the results of the operations are included in the consolidated financial statements from the effective date of the Acquisition.</w:t>
      </w:r>
    </w:p>
    <w:p>
      <w:pPr>
        <w:spacing w:after="0" w:line="177" w:lineRule="exact"/>
        <w:rPr>
          <w:sz w:val="20"/>
          <w:szCs w:val="20"/>
          <w:color w:val="auto"/>
        </w:rPr>
      </w:pPr>
    </w:p>
    <w:p>
      <w:pPr>
        <w:ind w:right="3239" w:firstLine="787"/>
        <w:spacing w:after="0" w:line="237" w:lineRule="auto"/>
        <w:rPr>
          <w:sz w:val="20"/>
          <w:szCs w:val="20"/>
          <w:color w:val="auto"/>
        </w:rPr>
      </w:pPr>
      <w:r>
        <w:rPr>
          <w:rFonts w:ascii="Courier New" w:cs="Courier New" w:eastAsia="Courier New" w:hAnsi="Courier New"/>
          <w:sz w:val="15"/>
          <w:szCs w:val="15"/>
          <w:color w:val="auto"/>
        </w:rPr>
        <w:t>The unaudited pro forma condensed combining statement of operations combines Checkfree's and Security's results of operations for the fiscal year ended December 31, 1995, with Servantis' results of operations for the twelve months ended December 31, 1995, giving effect to the Acquisition and the Servantis Acquisition as if they had occurred as of January 1, 1995. The unaudited pro forma condensed combining balance sheet combines Checkfree's and Security's balance sheets with Servantis' balance sheet as of December 31, 1995, giving effect to the Acquisition and the Servantis Acquisition as if they had occurred on that date. The pro forma financial information is presented for illustrative purposes only and is not necessarily indicative of the operating results or financial position that would have occurred had the Acquisition or the Servantis Acquisition been consummated at the beginning of the period presented, nor is it necessarily indicative of future operating results or financial position.</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281"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70"/>
        </w:trPr>
        <w:tc>
          <w:tcPr>
            <w:tcW w:w="3280" w:type="dxa"/>
            <w:vAlign w:val="bottom"/>
          </w:tcPr>
          <w:p>
            <w:pPr>
              <w:ind w:left="280"/>
              <w:spacing w:after="0"/>
              <w:rPr>
                <w:sz w:val="20"/>
                <w:szCs w:val="20"/>
                <w:color w:val="auto"/>
              </w:rPr>
            </w:pPr>
            <w:r>
              <w:rPr>
                <w:rFonts w:ascii="Courier New" w:cs="Courier New" w:eastAsia="Courier New" w:hAnsi="Courier New"/>
                <w:sz w:val="15"/>
                <w:szCs w:val="15"/>
                <w:color w:val="auto"/>
              </w:rPr>
              <w:t>4</w:t>
            </w: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673"/>
        </w:trPr>
        <w:tc>
          <w:tcPr>
            <w:tcW w:w="3280" w:type="dxa"/>
            <w:vAlign w:val="bottom"/>
          </w:tcPr>
          <w:p>
            <w:pPr>
              <w:spacing w:after="0"/>
              <w:rPr>
                <w:sz w:val="24"/>
                <w:szCs w:val="24"/>
                <w:color w:val="auto"/>
              </w:rPr>
            </w:pPr>
          </w:p>
        </w:tc>
        <w:tc>
          <w:tcPr>
            <w:tcW w:w="4960" w:type="dxa"/>
            <w:vAlign w:val="bottom"/>
            <w:gridSpan w:val="8"/>
          </w:tcPr>
          <w:p>
            <w:pPr>
              <w:jc w:val="right"/>
              <w:ind w:right="207"/>
              <w:spacing w:after="0"/>
              <w:rPr>
                <w:sz w:val="20"/>
                <w:szCs w:val="20"/>
                <w:color w:val="auto"/>
              </w:rPr>
            </w:pPr>
            <w:r>
              <w:rPr>
                <w:rFonts w:ascii="Courier New" w:cs="Courier New" w:eastAsia="Courier New" w:hAnsi="Courier New"/>
                <w:sz w:val="15"/>
                <w:szCs w:val="15"/>
                <w:color w:val="auto"/>
                <w:w w:val="97"/>
              </w:rPr>
              <w:t>Unaudited Pro Forma Condensed Combining Balance Sheet</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68"/>
        </w:trPr>
        <w:tc>
          <w:tcPr>
            <w:tcW w:w="3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80" w:type="dxa"/>
            <w:vAlign w:val="bottom"/>
            <w:gridSpan w:val="4"/>
          </w:tcPr>
          <w:p>
            <w:pPr>
              <w:jc w:val="right"/>
              <w:ind w:right="487"/>
              <w:spacing w:after="0" w:line="168" w:lineRule="exact"/>
              <w:rPr>
                <w:sz w:val="20"/>
                <w:szCs w:val="20"/>
                <w:color w:val="auto"/>
              </w:rPr>
            </w:pPr>
            <w:r>
              <w:rPr>
                <w:rFonts w:ascii="Courier New" w:cs="Courier New" w:eastAsia="Courier New" w:hAnsi="Courier New"/>
                <w:sz w:val="15"/>
                <w:szCs w:val="15"/>
                <w:color w:val="auto"/>
                <w:w w:val="95"/>
              </w:rPr>
              <w:t>As of December 31,1995</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8"/>
        </w:trPr>
        <w:tc>
          <w:tcPr>
            <w:tcW w:w="3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40" w:type="dxa"/>
            <w:vAlign w:val="bottom"/>
            <w:gridSpan w:val="3"/>
          </w:tcPr>
          <w:p>
            <w:pPr>
              <w:jc w:val="right"/>
              <w:ind w:right="107"/>
              <w:spacing w:after="0" w:line="168" w:lineRule="exact"/>
              <w:rPr>
                <w:sz w:val="20"/>
                <w:szCs w:val="20"/>
                <w:color w:val="auto"/>
              </w:rPr>
            </w:pPr>
            <w:r>
              <w:rPr>
                <w:rFonts w:ascii="Courier New" w:cs="Courier New" w:eastAsia="Courier New" w:hAnsi="Courier New"/>
                <w:sz w:val="15"/>
                <w:szCs w:val="15"/>
                <w:color w:val="auto"/>
              </w:rPr>
              <w:t>(In thousands)</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505"/>
        </w:trPr>
        <w:tc>
          <w:tcPr>
            <w:tcW w:w="3280" w:type="dxa"/>
            <w:vAlign w:val="bottom"/>
          </w:tcPr>
          <w:p>
            <w:pPr>
              <w:spacing w:after="0"/>
              <w:rPr>
                <w:sz w:val="24"/>
                <w:szCs w:val="24"/>
                <w:color w:val="auto"/>
              </w:rPr>
            </w:pPr>
          </w:p>
        </w:tc>
        <w:tc>
          <w:tcPr>
            <w:tcW w:w="2280" w:type="dxa"/>
            <w:vAlign w:val="bottom"/>
            <w:gridSpan w:val="3"/>
          </w:tcPr>
          <w:p>
            <w:pPr>
              <w:jc w:val="right"/>
              <w:ind w:right="227"/>
              <w:spacing w:after="0"/>
              <w:rPr>
                <w:sz w:val="20"/>
                <w:szCs w:val="20"/>
                <w:color w:val="auto"/>
              </w:rPr>
            </w:pPr>
            <w:r>
              <w:rPr>
                <w:rFonts w:ascii="Courier New" w:cs="Courier New" w:eastAsia="Courier New" w:hAnsi="Courier New"/>
                <w:sz w:val="15"/>
                <w:szCs w:val="15"/>
                <w:color w:val="auto"/>
              </w:rPr>
              <w:t>Historical Amounts</w:t>
            </w: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Historical</w:t>
            </w: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68"/>
        </w:trPr>
        <w:tc>
          <w:tcPr>
            <w:tcW w:w="3280" w:type="dxa"/>
            <w:vAlign w:val="bottom"/>
          </w:tcPr>
          <w:p>
            <w:pPr>
              <w:spacing w:after="0"/>
              <w:rPr>
                <w:sz w:val="14"/>
                <w:szCs w:val="14"/>
                <w:color w:val="auto"/>
              </w:rPr>
            </w:pPr>
          </w:p>
        </w:tc>
        <w:tc>
          <w:tcPr>
            <w:tcW w:w="14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79"/>
              </w:rPr>
              <w:t>--------------------</w:t>
            </w: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Pro Forma</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Amounts</w:t>
            </w:r>
          </w:p>
        </w:tc>
        <w:tc>
          <w:tcPr>
            <w:tcW w:w="140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Pro Forma</w:t>
            </w: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8"/>
        </w:trPr>
        <w:tc>
          <w:tcPr>
            <w:tcW w:w="3280" w:type="dxa"/>
            <w:vAlign w:val="bottom"/>
          </w:tcPr>
          <w:p>
            <w:pPr>
              <w:spacing w:after="0"/>
              <w:rPr>
                <w:sz w:val="14"/>
                <w:szCs w:val="14"/>
                <w:color w:val="auto"/>
              </w:rPr>
            </w:pP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Checkfree</w:t>
            </w:r>
          </w:p>
        </w:tc>
        <w:tc>
          <w:tcPr>
            <w:tcW w:w="10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Servantis</w:t>
            </w:r>
          </w:p>
        </w:tc>
        <w:tc>
          <w:tcPr>
            <w:tcW w:w="166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rPr>
              <w:t>Adjustments</w:t>
            </w:r>
          </w:p>
        </w:tc>
        <w:tc>
          <w:tcPr>
            <w:tcW w:w="102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Pro Forma</w:t>
            </w:r>
          </w:p>
        </w:tc>
        <w:tc>
          <w:tcPr>
            <w:tcW w:w="1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Security</w:t>
            </w:r>
          </w:p>
        </w:tc>
        <w:tc>
          <w:tcPr>
            <w:tcW w:w="14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Adjustments</w:t>
            </w:r>
          </w:p>
        </w:tc>
        <w:tc>
          <w:tcPr>
            <w:tcW w:w="140" w:type="dxa"/>
            <w:vAlign w:val="bottom"/>
          </w:tcPr>
          <w:p>
            <w:pPr>
              <w:spacing w:after="0"/>
              <w:rPr>
                <w:sz w:val="14"/>
                <w:szCs w:val="14"/>
                <w:color w:val="auto"/>
              </w:rPr>
            </w:pPr>
          </w:p>
        </w:tc>
        <w:tc>
          <w:tcPr>
            <w:tcW w:w="72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Total</w:t>
            </w:r>
          </w:p>
        </w:tc>
      </w:tr>
      <w:tr>
        <w:trPr>
          <w:trHeight w:val="168"/>
        </w:trPr>
        <w:tc>
          <w:tcPr>
            <w:tcW w:w="3280" w:type="dxa"/>
            <w:vAlign w:val="bottom"/>
          </w:tcPr>
          <w:p>
            <w:pPr>
              <w:spacing w:after="0"/>
              <w:rPr>
                <w:sz w:val="14"/>
                <w:szCs w:val="14"/>
                <w:color w:val="auto"/>
              </w:rPr>
            </w:pPr>
          </w:p>
        </w:tc>
        <w:tc>
          <w:tcPr>
            <w:tcW w:w="8260" w:type="dxa"/>
            <w:vAlign w:val="bottom"/>
            <w:gridSpan w:val="14"/>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28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assets</w:t>
            </w: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8"/>
        </w:trPr>
        <w:tc>
          <w:tcPr>
            <w:tcW w:w="32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Cash and short term investments</w:t>
            </w: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84,852</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2,511</w:t>
            </w:r>
          </w:p>
        </w:tc>
        <w:tc>
          <w:tcPr>
            <w:tcW w:w="1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88"/>
              </w:rPr>
              <w:t>$</w:t>
            </w:r>
          </w:p>
        </w:tc>
        <w:tc>
          <w:tcPr>
            <w:tcW w:w="152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(42,500)(1)</w:t>
            </w:r>
          </w:p>
        </w:tc>
        <w:tc>
          <w:tcPr>
            <w:tcW w:w="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44,863</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3,050</w:t>
            </w:r>
          </w:p>
        </w:tc>
        <w:tc>
          <w:tcPr>
            <w:tcW w:w="3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88"/>
              </w:rPr>
              <w:t>$</w:t>
            </w:r>
          </w:p>
        </w:tc>
        <w:tc>
          <w:tcPr>
            <w:tcW w:w="10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47,913</w:t>
            </w:r>
          </w:p>
        </w:tc>
      </w:tr>
      <w:tr>
        <w:trPr>
          <w:trHeight w:val="168"/>
        </w:trPr>
        <w:tc>
          <w:tcPr>
            <w:tcW w:w="32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Receivables - trade and other</w:t>
            </w: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3,533</w:t>
            </w:r>
          </w:p>
        </w:tc>
        <w:tc>
          <w:tcPr>
            <w:tcW w:w="1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20,921</w:t>
            </w:r>
          </w:p>
        </w:tc>
        <w:tc>
          <w:tcPr>
            <w:tcW w:w="1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24,454</w:t>
            </w:r>
          </w:p>
        </w:tc>
        <w:tc>
          <w:tcPr>
            <w:tcW w:w="1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1,518</w:t>
            </w:r>
          </w:p>
        </w:tc>
        <w:tc>
          <w:tcPr>
            <w:tcW w:w="360" w:type="dxa"/>
            <w:vAlign w:val="bottom"/>
          </w:tcPr>
          <w:p>
            <w:pPr>
              <w:spacing w:after="0"/>
              <w:rPr>
                <w:sz w:val="14"/>
                <w:szCs w:val="14"/>
                <w:color w:val="auto"/>
              </w:rPr>
            </w:pPr>
          </w:p>
        </w:tc>
        <w:tc>
          <w:tcPr>
            <w:tcW w:w="10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7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25,972</w:t>
            </w:r>
          </w:p>
        </w:tc>
      </w:tr>
      <w:tr>
        <w:trPr>
          <w:trHeight w:val="168"/>
        </w:trPr>
        <w:tc>
          <w:tcPr>
            <w:tcW w:w="32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Prepaid expenses and other</w:t>
            </w: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1,916</w:t>
            </w:r>
          </w:p>
        </w:tc>
        <w:tc>
          <w:tcPr>
            <w:tcW w:w="1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380</w:t>
            </w:r>
          </w:p>
        </w:tc>
        <w:tc>
          <w:tcPr>
            <w:tcW w:w="1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2,296</w:t>
            </w:r>
          </w:p>
        </w:tc>
        <w:tc>
          <w:tcPr>
            <w:tcW w:w="1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0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7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2,296</w:t>
            </w:r>
          </w:p>
        </w:tc>
      </w:tr>
      <w:tr>
        <w:trPr>
          <w:trHeight w:val="168"/>
        </w:trPr>
        <w:tc>
          <w:tcPr>
            <w:tcW w:w="32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Deferred income taxes</w:t>
            </w: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166</w:t>
            </w:r>
          </w:p>
        </w:tc>
        <w:tc>
          <w:tcPr>
            <w:tcW w:w="1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785</w:t>
            </w:r>
          </w:p>
        </w:tc>
        <w:tc>
          <w:tcPr>
            <w:tcW w:w="1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972</w:t>
            </w: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2"/>
              </w:rPr>
              <w:t>(2)(6)</w:t>
            </w:r>
          </w:p>
        </w:tc>
        <w:tc>
          <w:tcPr>
            <w:tcW w:w="18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1,923</w:t>
            </w:r>
          </w:p>
        </w:tc>
        <w:tc>
          <w:tcPr>
            <w:tcW w:w="1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0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7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1,923</w:t>
            </w:r>
          </w:p>
        </w:tc>
      </w:tr>
      <w:tr>
        <w:trPr>
          <w:trHeight w:val="168"/>
        </w:trPr>
        <w:tc>
          <w:tcPr>
            <w:tcW w:w="3280" w:type="dxa"/>
            <w:vAlign w:val="bottom"/>
          </w:tcPr>
          <w:p>
            <w:pPr>
              <w:spacing w:after="0"/>
              <w:rPr>
                <w:sz w:val="14"/>
                <w:szCs w:val="14"/>
                <w:color w:val="auto"/>
              </w:rPr>
            </w:pPr>
          </w:p>
        </w:tc>
        <w:tc>
          <w:tcPr>
            <w:tcW w:w="8260" w:type="dxa"/>
            <w:vAlign w:val="bottom"/>
            <w:gridSpan w:val="14"/>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Total Current Assets</w:t>
            </w: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90,467</w:t>
            </w:r>
          </w:p>
        </w:tc>
        <w:tc>
          <w:tcPr>
            <w:tcW w:w="1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24,597</w:t>
            </w:r>
          </w:p>
        </w:tc>
        <w:tc>
          <w:tcPr>
            <w:tcW w:w="14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(41,528)</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73,536</w:t>
            </w:r>
          </w:p>
        </w:tc>
        <w:tc>
          <w:tcPr>
            <w:tcW w:w="1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4,568</w:t>
            </w:r>
          </w:p>
        </w:tc>
        <w:tc>
          <w:tcPr>
            <w:tcW w:w="360" w:type="dxa"/>
            <w:vAlign w:val="bottom"/>
          </w:tcPr>
          <w:p>
            <w:pPr>
              <w:spacing w:after="0"/>
              <w:rPr>
                <w:sz w:val="14"/>
                <w:szCs w:val="14"/>
                <w:color w:val="auto"/>
              </w:rPr>
            </w:pPr>
          </w:p>
        </w:tc>
        <w:tc>
          <w:tcPr>
            <w:tcW w:w="10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7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78,104</w:t>
            </w:r>
          </w:p>
        </w:tc>
      </w:tr>
      <w:tr>
        <w:trPr>
          <w:trHeight w:val="168"/>
        </w:trPr>
        <w:tc>
          <w:tcPr>
            <w:tcW w:w="3280" w:type="dxa"/>
            <w:vAlign w:val="bottom"/>
          </w:tcPr>
          <w:p>
            <w:pPr>
              <w:spacing w:after="0"/>
              <w:rPr>
                <w:sz w:val="14"/>
                <w:szCs w:val="14"/>
                <w:color w:val="auto"/>
              </w:rPr>
            </w:pPr>
          </w:p>
        </w:tc>
        <w:tc>
          <w:tcPr>
            <w:tcW w:w="8260" w:type="dxa"/>
            <w:vAlign w:val="bottom"/>
            <w:gridSpan w:val="14"/>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280" w:type="dxa"/>
            <w:vAlign w:val="bottom"/>
          </w:tcPr>
          <w:p>
            <w:pPr>
              <w:spacing w:after="0"/>
              <w:rPr>
                <w:sz w:val="20"/>
                <w:szCs w:val="20"/>
                <w:color w:val="auto"/>
              </w:rPr>
            </w:pPr>
            <w:r>
              <w:rPr>
                <w:rFonts w:ascii="Courier New" w:cs="Courier New" w:eastAsia="Courier New" w:hAnsi="Courier New"/>
                <w:sz w:val="15"/>
                <w:szCs w:val="15"/>
                <w:color w:val="auto"/>
              </w:rPr>
              <w:t>Property and equipment - net</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13,559</w:t>
            </w:r>
          </w:p>
        </w:tc>
        <w:tc>
          <w:tcPr>
            <w:tcW w:w="180" w:type="dxa"/>
            <w:vAlign w:val="bottom"/>
          </w:tcPr>
          <w:p>
            <w:pPr>
              <w:spacing w:after="0"/>
              <w:rPr>
                <w:sz w:val="24"/>
                <w:szCs w:val="24"/>
                <w:color w:val="auto"/>
              </w:rPr>
            </w:pP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10,775</w:t>
            </w:r>
          </w:p>
        </w:tc>
        <w:tc>
          <w:tcPr>
            <w:tcW w:w="140" w:type="dxa"/>
            <w:vAlign w:val="bottom"/>
          </w:tcPr>
          <w:p>
            <w:pPr>
              <w:spacing w:after="0"/>
              <w:rPr>
                <w:sz w:val="24"/>
                <w:szCs w:val="2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4,528</w:t>
            </w:r>
          </w:p>
        </w:tc>
        <w:tc>
          <w:tcPr>
            <w:tcW w:w="74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88"/>
              </w:rPr>
              <w:t>(2)</w:t>
            </w:r>
          </w:p>
        </w:tc>
        <w:tc>
          <w:tcPr>
            <w:tcW w:w="180" w:type="dxa"/>
            <w:vAlign w:val="bottom"/>
          </w:tcPr>
          <w:p>
            <w:pPr>
              <w:spacing w:after="0"/>
              <w:rPr>
                <w:sz w:val="24"/>
                <w:szCs w:val="24"/>
                <w:color w:val="auto"/>
              </w:rPr>
            </w:pP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28,862</w:t>
            </w:r>
          </w:p>
        </w:tc>
        <w:tc>
          <w:tcPr>
            <w:tcW w:w="160" w:type="dxa"/>
            <w:vAlign w:val="bottom"/>
          </w:tcPr>
          <w:p>
            <w:pPr>
              <w:spacing w:after="0"/>
              <w:rPr>
                <w:sz w:val="24"/>
                <w:szCs w:val="2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3,211</w:t>
            </w:r>
          </w:p>
        </w:tc>
        <w:tc>
          <w:tcPr>
            <w:tcW w:w="360" w:type="dxa"/>
            <w:vAlign w:val="bottom"/>
          </w:tcPr>
          <w:p>
            <w:pPr>
              <w:spacing w:after="0"/>
              <w:rPr>
                <w:sz w:val="24"/>
                <w:szCs w:val="24"/>
                <w:color w:val="auto"/>
              </w:rPr>
            </w:pPr>
          </w:p>
        </w:tc>
        <w:tc>
          <w:tcPr>
            <w:tcW w:w="10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24"/>
                <w:szCs w:val="24"/>
                <w:color w:val="auto"/>
              </w:rPr>
            </w:pPr>
          </w:p>
        </w:tc>
        <w:tc>
          <w:tcPr>
            <w:tcW w:w="7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32,073</w:t>
            </w:r>
          </w:p>
        </w:tc>
      </w:tr>
      <w:tr>
        <w:trPr>
          <w:trHeight w:val="168"/>
        </w:trPr>
        <w:tc>
          <w:tcPr>
            <w:tcW w:w="3280" w:type="dxa"/>
            <w:vAlign w:val="bottom"/>
          </w:tcPr>
          <w:p>
            <w:pPr>
              <w:spacing w:after="0"/>
              <w:rPr>
                <w:sz w:val="14"/>
                <w:szCs w:val="14"/>
                <w:color w:val="auto"/>
              </w:rPr>
            </w:pPr>
          </w:p>
        </w:tc>
        <w:tc>
          <w:tcPr>
            <w:tcW w:w="8260" w:type="dxa"/>
            <w:vAlign w:val="bottom"/>
            <w:gridSpan w:val="14"/>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28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68"/>
        </w:trPr>
        <w:tc>
          <w:tcPr>
            <w:tcW w:w="32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Investments</w:t>
            </w: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7,499</w:t>
            </w:r>
          </w:p>
        </w:tc>
        <w:tc>
          <w:tcPr>
            <w:tcW w:w="18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7,499</w:t>
            </w:r>
          </w:p>
        </w:tc>
        <w:tc>
          <w:tcPr>
            <w:tcW w:w="1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1,198</w:t>
            </w:r>
          </w:p>
        </w:tc>
        <w:tc>
          <w:tcPr>
            <w:tcW w:w="360" w:type="dxa"/>
            <w:vAlign w:val="bottom"/>
          </w:tcPr>
          <w:p>
            <w:pPr>
              <w:spacing w:after="0"/>
              <w:rPr>
                <w:sz w:val="14"/>
                <w:szCs w:val="14"/>
                <w:color w:val="auto"/>
              </w:rPr>
            </w:pPr>
          </w:p>
        </w:tc>
        <w:tc>
          <w:tcPr>
            <w:tcW w:w="10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7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8,697</w:t>
            </w:r>
          </w:p>
        </w:tc>
      </w:tr>
      <w:tr>
        <w:trPr>
          <w:trHeight w:val="168"/>
        </w:trPr>
        <w:tc>
          <w:tcPr>
            <w:tcW w:w="32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Capitalized software, net</w:t>
            </w: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286</w:t>
            </w:r>
          </w:p>
        </w:tc>
        <w:tc>
          <w:tcPr>
            <w:tcW w:w="1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11,004</w:t>
            </w:r>
          </w:p>
        </w:tc>
        <w:tc>
          <w:tcPr>
            <w:tcW w:w="1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20,396</w:t>
            </w:r>
          </w:p>
        </w:tc>
        <w:tc>
          <w:tcPr>
            <w:tcW w:w="7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88"/>
              </w:rPr>
              <w:t>(2)</w:t>
            </w:r>
          </w:p>
        </w:tc>
        <w:tc>
          <w:tcPr>
            <w:tcW w:w="18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31,686</w:t>
            </w:r>
          </w:p>
        </w:tc>
        <w:tc>
          <w:tcPr>
            <w:tcW w:w="1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409</w:t>
            </w:r>
          </w:p>
        </w:tc>
        <w:tc>
          <w:tcPr>
            <w:tcW w:w="36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6,391(8)</w:t>
            </w:r>
          </w:p>
        </w:tc>
        <w:tc>
          <w:tcPr>
            <w:tcW w:w="140" w:type="dxa"/>
            <w:vAlign w:val="bottom"/>
          </w:tcPr>
          <w:p>
            <w:pPr>
              <w:spacing w:after="0"/>
              <w:rPr>
                <w:sz w:val="14"/>
                <w:szCs w:val="14"/>
                <w:color w:val="auto"/>
              </w:rPr>
            </w:pPr>
          </w:p>
        </w:tc>
        <w:tc>
          <w:tcPr>
            <w:tcW w:w="7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38,486</w:t>
            </w:r>
          </w:p>
        </w:tc>
      </w:tr>
      <w:tr>
        <w:trPr>
          <w:trHeight w:val="168"/>
        </w:trPr>
        <w:tc>
          <w:tcPr>
            <w:tcW w:w="32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Intangible assets, net</w:t>
            </w:r>
          </w:p>
        </w:tc>
        <w:tc>
          <w:tcPr>
            <w:tcW w:w="12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12,424</w:t>
            </w:r>
          </w:p>
        </w:tc>
        <w:tc>
          <w:tcPr>
            <w:tcW w:w="1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13,864</w:t>
            </w:r>
          </w:p>
        </w:tc>
        <w:tc>
          <w:tcPr>
            <w:tcW w:w="7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88"/>
              </w:rPr>
              <w:t>(2)</w:t>
            </w:r>
          </w:p>
        </w:tc>
        <w:tc>
          <w:tcPr>
            <w:tcW w:w="18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26,288</w:t>
            </w:r>
          </w:p>
        </w:tc>
        <w:tc>
          <w:tcPr>
            <w:tcW w:w="1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3"/>
              </w:rPr>
              <w:t>13,069(8)</w:t>
            </w:r>
          </w:p>
        </w:tc>
        <w:tc>
          <w:tcPr>
            <w:tcW w:w="140" w:type="dxa"/>
            <w:vAlign w:val="bottom"/>
          </w:tcPr>
          <w:p>
            <w:pPr>
              <w:spacing w:after="0"/>
              <w:rPr>
                <w:sz w:val="14"/>
                <w:szCs w:val="14"/>
                <w:color w:val="auto"/>
              </w:rPr>
            </w:pPr>
          </w:p>
        </w:tc>
        <w:tc>
          <w:tcPr>
            <w:tcW w:w="7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39,357</w:t>
            </w:r>
          </w:p>
        </w:tc>
      </w:tr>
      <w:tr>
        <w:trPr>
          <w:trHeight w:val="168"/>
        </w:trPr>
        <w:tc>
          <w:tcPr>
            <w:tcW w:w="32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Deferred income taxes</w:t>
            </w:r>
          </w:p>
        </w:tc>
        <w:tc>
          <w:tcPr>
            <w:tcW w:w="12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8,949</w:t>
            </w:r>
          </w:p>
        </w:tc>
        <w:tc>
          <w:tcPr>
            <w:tcW w:w="140" w:type="dxa"/>
            <w:vAlign w:val="bottom"/>
          </w:tcPr>
          <w:p>
            <w:pPr>
              <w:spacing w:after="0"/>
              <w:rPr>
                <w:sz w:val="14"/>
                <w:szCs w:val="14"/>
                <w:color w:val="auto"/>
              </w:rPr>
            </w:pPr>
          </w:p>
        </w:tc>
        <w:tc>
          <w:tcPr>
            <w:tcW w:w="15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(254)(2)(6)</w:t>
            </w:r>
          </w:p>
        </w:tc>
        <w:tc>
          <w:tcPr>
            <w:tcW w:w="18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8,695</w:t>
            </w:r>
          </w:p>
        </w:tc>
        <w:tc>
          <w:tcPr>
            <w:tcW w:w="1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0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7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8,695</w:t>
            </w:r>
          </w:p>
        </w:tc>
      </w:tr>
      <w:tr>
        <w:trPr>
          <w:trHeight w:val="168"/>
        </w:trPr>
        <w:tc>
          <w:tcPr>
            <w:tcW w:w="32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Other noncurrent assets</w:t>
            </w: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3,831</w:t>
            </w:r>
          </w:p>
        </w:tc>
        <w:tc>
          <w:tcPr>
            <w:tcW w:w="1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299</w:t>
            </w:r>
          </w:p>
        </w:tc>
        <w:tc>
          <w:tcPr>
            <w:tcW w:w="1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4,130</w:t>
            </w:r>
          </w:p>
        </w:tc>
        <w:tc>
          <w:tcPr>
            <w:tcW w:w="1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266</w:t>
            </w:r>
          </w:p>
        </w:tc>
        <w:tc>
          <w:tcPr>
            <w:tcW w:w="360" w:type="dxa"/>
            <w:vAlign w:val="bottom"/>
          </w:tcPr>
          <w:p>
            <w:pPr>
              <w:spacing w:after="0"/>
              <w:rPr>
                <w:sz w:val="14"/>
                <w:szCs w:val="14"/>
                <w:color w:val="auto"/>
              </w:rPr>
            </w:pPr>
          </w:p>
        </w:tc>
        <w:tc>
          <w:tcPr>
            <w:tcW w:w="10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7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4,396</w:t>
            </w:r>
          </w:p>
        </w:tc>
      </w:tr>
      <w:tr>
        <w:trPr>
          <w:trHeight w:val="168"/>
        </w:trPr>
        <w:tc>
          <w:tcPr>
            <w:tcW w:w="3280" w:type="dxa"/>
            <w:vAlign w:val="bottom"/>
          </w:tcPr>
          <w:p>
            <w:pPr>
              <w:spacing w:after="0"/>
              <w:rPr>
                <w:sz w:val="14"/>
                <w:szCs w:val="14"/>
                <w:color w:val="auto"/>
              </w:rPr>
            </w:pPr>
          </w:p>
        </w:tc>
        <w:tc>
          <w:tcPr>
            <w:tcW w:w="8260" w:type="dxa"/>
            <w:vAlign w:val="bottom"/>
            <w:gridSpan w:val="14"/>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other assets</w:t>
            </w: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11,616</w:t>
            </w:r>
          </w:p>
        </w:tc>
        <w:tc>
          <w:tcPr>
            <w:tcW w:w="1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32,676</w:t>
            </w:r>
          </w:p>
        </w:tc>
        <w:tc>
          <w:tcPr>
            <w:tcW w:w="1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34,006</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78,298</w:t>
            </w:r>
          </w:p>
        </w:tc>
        <w:tc>
          <w:tcPr>
            <w:tcW w:w="1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1,873</w:t>
            </w:r>
          </w:p>
        </w:tc>
        <w:tc>
          <w:tcPr>
            <w:tcW w:w="360" w:type="dxa"/>
            <w:vAlign w:val="bottom"/>
          </w:tcPr>
          <w:p>
            <w:pPr>
              <w:spacing w:after="0"/>
              <w:rPr>
                <w:sz w:val="14"/>
                <w:szCs w:val="14"/>
                <w:color w:val="auto"/>
              </w:rPr>
            </w:pPr>
          </w:p>
        </w:tc>
        <w:tc>
          <w:tcPr>
            <w:tcW w:w="10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2"/>
              </w:rPr>
              <w:t>19,460</w:t>
            </w:r>
          </w:p>
        </w:tc>
        <w:tc>
          <w:tcPr>
            <w:tcW w:w="140" w:type="dxa"/>
            <w:vAlign w:val="bottom"/>
          </w:tcPr>
          <w:p>
            <w:pPr>
              <w:spacing w:after="0"/>
              <w:rPr>
                <w:sz w:val="14"/>
                <w:szCs w:val="14"/>
                <w:color w:val="auto"/>
              </w:rPr>
            </w:pPr>
          </w:p>
        </w:tc>
        <w:tc>
          <w:tcPr>
            <w:tcW w:w="7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99,631</w:t>
            </w:r>
          </w:p>
        </w:tc>
      </w:tr>
      <w:tr>
        <w:trPr>
          <w:trHeight w:val="168"/>
        </w:trPr>
        <w:tc>
          <w:tcPr>
            <w:tcW w:w="3280" w:type="dxa"/>
            <w:vAlign w:val="bottom"/>
          </w:tcPr>
          <w:p>
            <w:pPr>
              <w:spacing w:after="0"/>
              <w:rPr>
                <w:sz w:val="14"/>
                <w:szCs w:val="14"/>
                <w:color w:val="auto"/>
              </w:rPr>
            </w:pPr>
          </w:p>
        </w:tc>
        <w:tc>
          <w:tcPr>
            <w:tcW w:w="8260" w:type="dxa"/>
            <w:vAlign w:val="bottom"/>
            <w:gridSpan w:val="14"/>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28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$ 115,642</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68,048</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(2,994)</w:t>
            </w:r>
          </w:p>
        </w:tc>
        <w:tc>
          <w:tcPr>
            <w:tcW w:w="740" w:type="dxa"/>
            <w:vAlign w:val="bottom"/>
          </w:tcPr>
          <w:p>
            <w:pPr>
              <w:spacing w:after="0"/>
              <w:rPr>
                <w:sz w:val="24"/>
                <w:szCs w:val="24"/>
                <w:color w:val="auto"/>
              </w:rPr>
            </w:pP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180,696</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9,652</w:t>
            </w:r>
          </w:p>
        </w:tc>
        <w:tc>
          <w:tcPr>
            <w:tcW w:w="3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47"/>
              <w:spacing w:after="0"/>
              <w:rPr>
                <w:sz w:val="20"/>
                <w:szCs w:val="20"/>
                <w:color w:val="auto"/>
              </w:rPr>
            </w:pPr>
            <w:r>
              <w:rPr>
                <w:rFonts w:ascii="Courier New" w:cs="Courier New" w:eastAsia="Courier New" w:hAnsi="Courier New"/>
                <w:sz w:val="15"/>
                <w:szCs w:val="15"/>
                <w:color w:val="auto"/>
                <w:w w:val="92"/>
              </w:rPr>
              <w:t>19,460</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8"/>
              </w:rPr>
              <w:t>209,808</w:t>
            </w:r>
          </w:p>
        </w:tc>
      </w:tr>
      <w:tr>
        <w:trPr>
          <w:trHeight w:val="168"/>
        </w:trPr>
        <w:tc>
          <w:tcPr>
            <w:tcW w:w="3280" w:type="dxa"/>
            <w:vAlign w:val="bottom"/>
          </w:tcPr>
          <w:p>
            <w:pPr>
              <w:spacing w:after="0"/>
              <w:rPr>
                <w:sz w:val="14"/>
                <w:szCs w:val="14"/>
                <w:color w:val="auto"/>
              </w:rPr>
            </w:pPr>
          </w:p>
        </w:tc>
        <w:tc>
          <w:tcPr>
            <w:tcW w:w="8260" w:type="dxa"/>
            <w:vAlign w:val="bottom"/>
            <w:gridSpan w:val="14"/>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280" w:type="dxa"/>
            <w:vAlign w:val="bottom"/>
          </w:tcPr>
          <w:p>
            <w:pPr>
              <w:spacing w:after="0"/>
              <w:rPr>
                <w:sz w:val="20"/>
                <w:szCs w:val="20"/>
                <w:color w:val="auto"/>
              </w:rPr>
            </w:pPr>
            <w:r>
              <w:rPr>
                <w:rFonts w:ascii="Courier New" w:cs="Courier New" w:eastAsia="Courier New" w:hAnsi="Courier New"/>
                <w:sz w:val="15"/>
                <w:szCs w:val="15"/>
                <w:color w:val="auto"/>
              </w:rPr>
              <w:t>Liabilities and Stockholders' Equity</w:t>
            </w: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liabilities</w:t>
            </w: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8"/>
        </w:trPr>
        <w:tc>
          <w:tcPr>
            <w:tcW w:w="32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7"/>
              </w:rPr>
              <w:t>Accounts payable and accrued and</w:t>
            </w: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8"/>
        </w:trPr>
        <w:tc>
          <w:tcPr>
            <w:tcW w:w="32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other liabilities</w:t>
            </w: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6,532</w:t>
            </w:r>
          </w:p>
        </w:tc>
        <w:tc>
          <w:tcPr>
            <w:tcW w:w="1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5,982</w:t>
            </w:r>
          </w:p>
        </w:tc>
        <w:tc>
          <w:tcPr>
            <w:tcW w:w="1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12,514</w:t>
            </w:r>
          </w:p>
        </w:tc>
        <w:tc>
          <w:tcPr>
            <w:tcW w:w="1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467</w:t>
            </w:r>
          </w:p>
        </w:tc>
        <w:tc>
          <w:tcPr>
            <w:tcW w:w="360" w:type="dxa"/>
            <w:vAlign w:val="bottom"/>
          </w:tcPr>
          <w:p>
            <w:pPr>
              <w:spacing w:after="0"/>
              <w:rPr>
                <w:sz w:val="14"/>
                <w:szCs w:val="14"/>
                <w:color w:val="auto"/>
              </w:rPr>
            </w:pPr>
          </w:p>
        </w:tc>
        <w:tc>
          <w:tcPr>
            <w:tcW w:w="10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7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12,981</w:t>
            </w:r>
          </w:p>
        </w:tc>
      </w:tr>
      <w:tr>
        <w:trPr>
          <w:trHeight w:val="168"/>
        </w:trPr>
        <w:tc>
          <w:tcPr>
            <w:tcW w:w="32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Current portion of long-term</w:t>
            </w: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8"/>
        </w:trPr>
        <w:tc>
          <w:tcPr>
            <w:tcW w:w="32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obligations</w:t>
            </w: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1,161</w:t>
            </w:r>
          </w:p>
        </w:tc>
        <w:tc>
          <w:tcPr>
            <w:tcW w:w="18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1,161</w:t>
            </w:r>
          </w:p>
        </w:tc>
        <w:tc>
          <w:tcPr>
            <w:tcW w:w="1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0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7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1,161</w:t>
            </w:r>
          </w:p>
        </w:tc>
      </w:tr>
      <w:tr>
        <w:trPr>
          <w:trHeight w:val="168"/>
        </w:trPr>
        <w:tc>
          <w:tcPr>
            <w:tcW w:w="32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Deferred revenues</w:t>
            </w: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982</w:t>
            </w:r>
          </w:p>
        </w:tc>
        <w:tc>
          <w:tcPr>
            <w:tcW w:w="1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19,167</w:t>
            </w:r>
          </w:p>
        </w:tc>
        <w:tc>
          <w:tcPr>
            <w:tcW w:w="140" w:type="dxa"/>
            <w:vAlign w:val="bottom"/>
          </w:tcPr>
          <w:p>
            <w:pPr>
              <w:spacing w:after="0"/>
              <w:rPr>
                <w:sz w:val="14"/>
                <w:szCs w:val="14"/>
                <w:color w:val="auto"/>
              </w:rPr>
            </w:pPr>
          </w:p>
        </w:tc>
        <w:tc>
          <w:tcPr>
            <w:tcW w:w="15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(20,701)(2)(7)</w:t>
            </w:r>
          </w:p>
        </w:tc>
        <w:tc>
          <w:tcPr>
            <w:tcW w:w="18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(552)</w:t>
            </w:r>
          </w:p>
        </w:tc>
        <w:tc>
          <w:tcPr>
            <w:tcW w:w="1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0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7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(552)</w:t>
            </w:r>
          </w:p>
        </w:tc>
      </w:tr>
      <w:tr>
        <w:trPr>
          <w:trHeight w:val="168"/>
        </w:trPr>
        <w:tc>
          <w:tcPr>
            <w:tcW w:w="32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Deferred income taxes</w:t>
            </w:r>
          </w:p>
        </w:tc>
        <w:tc>
          <w:tcPr>
            <w:tcW w:w="12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w:t>
            </w:r>
          </w:p>
        </w:tc>
        <w:tc>
          <w:tcPr>
            <w:tcW w:w="1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8,284</w:t>
            </w: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2"/>
              </w:rPr>
              <w:t>(2)(6)</w:t>
            </w:r>
          </w:p>
        </w:tc>
        <w:tc>
          <w:tcPr>
            <w:tcW w:w="18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8,288</w:t>
            </w:r>
          </w:p>
        </w:tc>
        <w:tc>
          <w:tcPr>
            <w:tcW w:w="1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0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8,288</w:t>
            </w: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8"/>
        </w:trPr>
        <w:tc>
          <w:tcPr>
            <w:tcW w:w="3280" w:type="dxa"/>
            <w:vAlign w:val="bottom"/>
          </w:tcPr>
          <w:p>
            <w:pPr>
              <w:spacing w:after="0"/>
              <w:rPr>
                <w:sz w:val="14"/>
                <w:szCs w:val="14"/>
                <w:color w:val="auto"/>
              </w:rPr>
            </w:pPr>
          </w:p>
        </w:tc>
        <w:tc>
          <w:tcPr>
            <w:tcW w:w="8260" w:type="dxa"/>
            <w:vAlign w:val="bottom"/>
            <w:gridSpan w:val="14"/>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Total Current Liabilities</w:t>
            </w: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8,675</w:t>
            </w:r>
          </w:p>
        </w:tc>
        <w:tc>
          <w:tcPr>
            <w:tcW w:w="1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25,153</w:t>
            </w:r>
          </w:p>
        </w:tc>
        <w:tc>
          <w:tcPr>
            <w:tcW w:w="14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(12,417)</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21,411</w:t>
            </w:r>
          </w:p>
        </w:tc>
        <w:tc>
          <w:tcPr>
            <w:tcW w:w="1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467</w:t>
            </w:r>
          </w:p>
        </w:tc>
        <w:tc>
          <w:tcPr>
            <w:tcW w:w="360" w:type="dxa"/>
            <w:vAlign w:val="bottom"/>
          </w:tcPr>
          <w:p>
            <w:pPr>
              <w:spacing w:after="0"/>
              <w:rPr>
                <w:sz w:val="14"/>
                <w:szCs w:val="14"/>
                <w:color w:val="auto"/>
              </w:rPr>
            </w:pPr>
          </w:p>
        </w:tc>
        <w:tc>
          <w:tcPr>
            <w:tcW w:w="10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7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21,878</w:t>
            </w:r>
          </w:p>
        </w:tc>
      </w:tr>
      <w:tr>
        <w:trPr>
          <w:trHeight w:val="336"/>
        </w:trPr>
        <w:tc>
          <w:tcPr>
            <w:tcW w:w="3280" w:type="dxa"/>
            <w:vAlign w:val="bottom"/>
          </w:tcPr>
          <w:p>
            <w:pPr>
              <w:spacing w:after="0"/>
              <w:rPr>
                <w:sz w:val="20"/>
                <w:szCs w:val="20"/>
                <w:color w:val="auto"/>
              </w:rPr>
            </w:pPr>
            <w:r>
              <w:rPr>
                <w:rFonts w:ascii="Courier New" w:cs="Courier New" w:eastAsia="Courier New" w:hAnsi="Courier New"/>
                <w:sz w:val="15"/>
                <w:szCs w:val="15"/>
                <w:color w:val="auto"/>
              </w:rPr>
              <w:t>Stockholders' and bank notes payable</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125</w:t>
            </w:r>
          </w:p>
        </w:tc>
        <w:tc>
          <w:tcPr>
            <w:tcW w:w="180" w:type="dxa"/>
            <w:vAlign w:val="bottom"/>
          </w:tcPr>
          <w:p>
            <w:pPr>
              <w:spacing w:after="0"/>
              <w:rPr>
                <w:sz w:val="24"/>
                <w:szCs w:val="24"/>
                <w:color w:val="auto"/>
              </w:rPr>
            </w:pP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41,914</w:t>
            </w:r>
          </w:p>
        </w:tc>
        <w:tc>
          <w:tcPr>
            <w:tcW w:w="140" w:type="dxa"/>
            <w:vAlign w:val="bottom"/>
          </w:tcPr>
          <w:p>
            <w:pPr>
              <w:spacing w:after="0"/>
              <w:rPr>
                <w:sz w:val="24"/>
                <w:szCs w:val="24"/>
                <w:color w:val="auto"/>
              </w:rPr>
            </w:pPr>
          </w:p>
        </w:tc>
        <w:tc>
          <w:tcPr>
            <w:tcW w:w="152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(41,914)(1)</w:t>
            </w:r>
          </w:p>
        </w:tc>
        <w:tc>
          <w:tcPr>
            <w:tcW w:w="180" w:type="dxa"/>
            <w:vAlign w:val="bottom"/>
          </w:tcPr>
          <w:p>
            <w:pPr>
              <w:spacing w:after="0"/>
              <w:rPr>
                <w:sz w:val="24"/>
                <w:szCs w:val="24"/>
                <w:color w:val="auto"/>
              </w:rPr>
            </w:pP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125</w:t>
            </w:r>
          </w:p>
        </w:tc>
        <w:tc>
          <w:tcPr>
            <w:tcW w:w="160" w:type="dxa"/>
            <w:vAlign w:val="bottom"/>
          </w:tcPr>
          <w:p>
            <w:pPr>
              <w:spacing w:after="0"/>
              <w:rPr>
                <w:sz w:val="24"/>
                <w:szCs w:val="2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24"/>
                <w:szCs w:val="24"/>
                <w:color w:val="auto"/>
              </w:rPr>
            </w:pPr>
          </w:p>
        </w:tc>
        <w:tc>
          <w:tcPr>
            <w:tcW w:w="10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24"/>
                <w:szCs w:val="24"/>
                <w:color w:val="auto"/>
              </w:rPr>
            </w:pPr>
          </w:p>
        </w:tc>
        <w:tc>
          <w:tcPr>
            <w:tcW w:w="7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125</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Accrued rent and other</w:t>
            </w: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7,157</w:t>
            </w:r>
          </w:p>
        </w:tc>
        <w:tc>
          <w:tcPr>
            <w:tcW w:w="18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7,157</w:t>
            </w:r>
          </w:p>
        </w:tc>
        <w:tc>
          <w:tcPr>
            <w:tcW w:w="1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0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7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7,157</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Deferred lease obligation</w:t>
            </w: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51</w:t>
            </w:r>
          </w:p>
        </w:tc>
        <w:tc>
          <w:tcPr>
            <w:tcW w:w="1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2,285</w:t>
            </w:r>
          </w:p>
        </w:tc>
        <w:tc>
          <w:tcPr>
            <w:tcW w:w="1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(2,285</w:t>
            </w:r>
          </w:p>
        </w:tc>
        <w:tc>
          <w:tcPr>
            <w:tcW w:w="7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88"/>
              </w:rPr>
              <w:t>(2)</w:t>
            </w:r>
          </w:p>
        </w:tc>
        <w:tc>
          <w:tcPr>
            <w:tcW w:w="18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51</w:t>
            </w:r>
          </w:p>
        </w:tc>
        <w:tc>
          <w:tcPr>
            <w:tcW w:w="1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0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7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51</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Deferred income taxes</w:t>
            </w: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309</w:t>
            </w:r>
          </w:p>
        </w:tc>
        <w:tc>
          <w:tcPr>
            <w:tcW w:w="1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2,898</w:t>
            </w:r>
          </w:p>
        </w:tc>
        <w:tc>
          <w:tcPr>
            <w:tcW w:w="1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12,242</w:t>
            </w: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2"/>
              </w:rPr>
              <w:t>(2)(6)</w:t>
            </w:r>
          </w:p>
        </w:tc>
        <w:tc>
          <w:tcPr>
            <w:tcW w:w="18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15,449</w:t>
            </w:r>
          </w:p>
        </w:tc>
        <w:tc>
          <w:tcPr>
            <w:tcW w:w="1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4,036(8)(11)</w:t>
            </w:r>
          </w:p>
        </w:tc>
        <w:tc>
          <w:tcPr>
            <w:tcW w:w="7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19,485</w:t>
            </w:r>
          </w:p>
        </w:tc>
      </w:tr>
      <w:tr>
        <w:trPr>
          <w:trHeight w:val="168"/>
        </w:trPr>
        <w:tc>
          <w:tcPr>
            <w:tcW w:w="3280" w:type="dxa"/>
            <w:vAlign w:val="bottom"/>
          </w:tcPr>
          <w:p>
            <w:pPr>
              <w:spacing w:after="0"/>
              <w:rPr>
                <w:sz w:val="14"/>
                <w:szCs w:val="14"/>
                <w:color w:val="auto"/>
              </w:rPr>
            </w:pPr>
          </w:p>
        </w:tc>
        <w:tc>
          <w:tcPr>
            <w:tcW w:w="8260" w:type="dxa"/>
            <w:vAlign w:val="bottom"/>
            <w:gridSpan w:val="14"/>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280" w:type="dxa"/>
            <w:vAlign w:val="bottom"/>
          </w:tcPr>
          <w:p>
            <w:pPr>
              <w:ind w:left="440"/>
              <w:spacing w:after="0"/>
              <w:rPr>
                <w:sz w:val="20"/>
                <w:szCs w:val="20"/>
                <w:color w:val="auto"/>
              </w:rPr>
            </w:pPr>
            <w:r>
              <w:rPr>
                <w:rFonts w:ascii="Courier New" w:cs="Courier New" w:eastAsia="Courier New" w:hAnsi="Courier New"/>
                <w:sz w:val="15"/>
                <w:szCs w:val="15"/>
                <w:color w:val="auto"/>
              </w:rPr>
              <w:t>Total liabilities</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16,317</w:t>
            </w:r>
          </w:p>
        </w:tc>
        <w:tc>
          <w:tcPr>
            <w:tcW w:w="180" w:type="dxa"/>
            <w:vAlign w:val="bottom"/>
          </w:tcPr>
          <w:p>
            <w:pPr>
              <w:spacing w:after="0"/>
              <w:rPr>
                <w:sz w:val="24"/>
                <w:szCs w:val="24"/>
                <w:color w:val="auto"/>
              </w:rPr>
            </w:pP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72,250</w:t>
            </w: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(44,374)</w:t>
            </w: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44,193</w:t>
            </w:r>
          </w:p>
        </w:tc>
        <w:tc>
          <w:tcPr>
            <w:tcW w:w="160" w:type="dxa"/>
            <w:vAlign w:val="bottom"/>
          </w:tcPr>
          <w:p>
            <w:pPr>
              <w:spacing w:after="0"/>
              <w:rPr>
                <w:sz w:val="24"/>
                <w:szCs w:val="2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467</w:t>
            </w:r>
          </w:p>
        </w:tc>
        <w:tc>
          <w:tcPr>
            <w:tcW w:w="360" w:type="dxa"/>
            <w:vAlign w:val="bottom"/>
          </w:tcPr>
          <w:p>
            <w:pPr>
              <w:spacing w:after="0"/>
              <w:rPr>
                <w:sz w:val="24"/>
                <w:szCs w:val="24"/>
                <w:color w:val="auto"/>
              </w:rPr>
            </w:pPr>
          </w:p>
        </w:tc>
        <w:tc>
          <w:tcPr>
            <w:tcW w:w="10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4,036</w:t>
            </w:r>
          </w:p>
        </w:tc>
        <w:tc>
          <w:tcPr>
            <w:tcW w:w="140" w:type="dxa"/>
            <w:vAlign w:val="bottom"/>
          </w:tcPr>
          <w:p>
            <w:pPr>
              <w:spacing w:after="0"/>
              <w:rPr>
                <w:sz w:val="24"/>
                <w:szCs w:val="24"/>
                <w:color w:val="auto"/>
              </w:rPr>
            </w:pPr>
          </w:p>
        </w:tc>
        <w:tc>
          <w:tcPr>
            <w:tcW w:w="720" w:type="dxa"/>
            <w:vAlign w:val="bottom"/>
          </w:tcPr>
          <w:p>
            <w:pPr>
              <w:jc w:val="right"/>
              <w:ind w:right="7"/>
              <w:spacing w:after="0"/>
              <w:rPr>
                <w:sz w:val="20"/>
                <w:szCs w:val="20"/>
                <w:color w:val="auto"/>
              </w:rPr>
            </w:pPr>
            <w:r>
              <w:rPr>
                <w:rFonts w:ascii="Courier New" w:cs="Courier New" w:eastAsia="Courier New" w:hAnsi="Courier New"/>
                <w:sz w:val="15"/>
                <w:szCs w:val="15"/>
                <w:color w:val="auto"/>
              </w:rPr>
              <w:t>48,696</w:t>
            </w:r>
          </w:p>
        </w:tc>
      </w:tr>
      <w:tr>
        <w:trPr>
          <w:trHeight w:val="336"/>
        </w:trPr>
        <w:tc>
          <w:tcPr>
            <w:tcW w:w="328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68"/>
        </w:trPr>
        <w:tc>
          <w:tcPr>
            <w:tcW w:w="32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Preferred stock</w:t>
            </w:r>
          </w:p>
        </w:tc>
        <w:tc>
          <w:tcPr>
            <w:tcW w:w="12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13,052</w:t>
            </w:r>
          </w:p>
        </w:tc>
        <w:tc>
          <w:tcPr>
            <w:tcW w:w="140" w:type="dxa"/>
            <w:vAlign w:val="bottom"/>
          </w:tcPr>
          <w:p>
            <w:pPr>
              <w:spacing w:after="0"/>
              <w:rPr>
                <w:sz w:val="14"/>
                <w:szCs w:val="14"/>
                <w:color w:val="auto"/>
              </w:rPr>
            </w:pPr>
          </w:p>
        </w:tc>
        <w:tc>
          <w:tcPr>
            <w:tcW w:w="152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(13,052)(3)</w:t>
            </w:r>
          </w:p>
        </w:tc>
        <w:tc>
          <w:tcPr>
            <w:tcW w:w="18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0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72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280" w:type="dxa"/>
            <w:vAlign w:val="bottom"/>
          </w:tcPr>
          <w:p>
            <w:pPr>
              <w:ind w:left="440"/>
              <w:spacing w:after="0"/>
              <w:rPr>
                <w:sz w:val="20"/>
                <w:szCs w:val="20"/>
                <w:color w:val="auto"/>
              </w:rPr>
            </w:pPr>
            <w:r>
              <w:rPr>
                <w:rFonts w:ascii="Courier New" w:cs="Courier New" w:eastAsia="Courier New" w:hAnsi="Courier New"/>
                <w:sz w:val="15"/>
                <w:szCs w:val="15"/>
                <w:color w:val="auto"/>
              </w:rPr>
              <w:t>Stockholders' equity</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99,325</w:t>
            </w: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(17,254)</w:t>
            </w:r>
          </w:p>
        </w:tc>
        <w:tc>
          <w:tcPr>
            <w:tcW w:w="140" w:type="dxa"/>
            <w:vAlign w:val="bottom"/>
          </w:tcPr>
          <w:p>
            <w:pPr>
              <w:spacing w:after="0"/>
              <w:rPr>
                <w:sz w:val="24"/>
                <w:szCs w:val="24"/>
                <w:color w:val="auto"/>
              </w:rPr>
            </w:pPr>
          </w:p>
        </w:tc>
        <w:tc>
          <w:tcPr>
            <w:tcW w:w="15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54,432(1)(2)(3)</w:t>
            </w:r>
          </w:p>
        </w:tc>
        <w:tc>
          <w:tcPr>
            <w:tcW w:w="180" w:type="dxa"/>
            <w:vAlign w:val="bottom"/>
          </w:tcPr>
          <w:p>
            <w:pPr>
              <w:spacing w:after="0"/>
              <w:rPr>
                <w:sz w:val="24"/>
                <w:szCs w:val="24"/>
                <w:color w:val="auto"/>
              </w:rPr>
            </w:pP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136,503</w:t>
            </w:r>
          </w:p>
        </w:tc>
        <w:tc>
          <w:tcPr>
            <w:tcW w:w="160" w:type="dxa"/>
            <w:vAlign w:val="bottom"/>
          </w:tcPr>
          <w:p>
            <w:pPr>
              <w:spacing w:after="0"/>
              <w:rPr>
                <w:sz w:val="24"/>
                <w:szCs w:val="2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9,185</w:t>
            </w:r>
          </w:p>
        </w:tc>
        <w:tc>
          <w:tcPr>
            <w:tcW w:w="3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w w:val="94"/>
              </w:rPr>
              <w:t>15,424(8)(9)</w:t>
            </w:r>
          </w:p>
        </w:tc>
        <w:tc>
          <w:tcPr>
            <w:tcW w:w="140" w:type="dxa"/>
            <w:vAlign w:val="bottom"/>
          </w:tcPr>
          <w:p>
            <w:pPr>
              <w:spacing w:after="0"/>
              <w:rPr>
                <w:sz w:val="24"/>
                <w:szCs w:val="24"/>
                <w:color w:val="auto"/>
              </w:rPr>
            </w:pPr>
          </w:p>
        </w:tc>
        <w:tc>
          <w:tcPr>
            <w:tcW w:w="7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8"/>
              </w:rPr>
              <w:t>161,112</w:t>
            </w:r>
          </w:p>
        </w:tc>
      </w:tr>
      <w:tr>
        <w:trPr>
          <w:trHeight w:val="168"/>
        </w:trPr>
        <w:tc>
          <w:tcPr>
            <w:tcW w:w="3280" w:type="dxa"/>
            <w:vAlign w:val="bottom"/>
          </w:tcPr>
          <w:p>
            <w:pPr>
              <w:spacing w:after="0"/>
              <w:rPr>
                <w:sz w:val="14"/>
                <w:szCs w:val="14"/>
                <w:color w:val="auto"/>
              </w:rPr>
            </w:pPr>
          </w:p>
        </w:tc>
        <w:tc>
          <w:tcPr>
            <w:tcW w:w="8260" w:type="dxa"/>
            <w:vAlign w:val="bottom"/>
            <w:gridSpan w:val="14"/>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Liabilities and Stockholders'</w:t>
            </w: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8"/>
        </w:trPr>
        <w:tc>
          <w:tcPr>
            <w:tcW w:w="3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Equity</w:t>
            </w: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$ 115,642</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68,048</w:t>
            </w:r>
          </w:p>
        </w:tc>
        <w:tc>
          <w:tcPr>
            <w:tcW w:w="1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(2,994)</w:t>
            </w:r>
          </w:p>
        </w:tc>
        <w:tc>
          <w:tcPr>
            <w:tcW w:w="740" w:type="dxa"/>
            <w:vAlign w:val="bottom"/>
          </w:tcPr>
          <w:p>
            <w:pPr>
              <w:spacing w:after="0"/>
              <w:rPr>
                <w:sz w:val="14"/>
                <w:szCs w:val="14"/>
                <w:color w:val="auto"/>
              </w:rPr>
            </w:pPr>
          </w:p>
        </w:tc>
        <w:tc>
          <w:tcPr>
            <w:tcW w:w="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180,696</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9,652</w:t>
            </w:r>
          </w:p>
        </w:tc>
        <w:tc>
          <w:tcPr>
            <w:tcW w:w="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2"/>
              </w:rPr>
              <w:t>19,460</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209,808</w:t>
            </w:r>
          </w:p>
        </w:tc>
      </w:tr>
    </w:tbl>
    <w:p>
      <w:pPr>
        <w:spacing w:after="0" w:line="5" w:lineRule="exact"/>
        <w:rPr>
          <w:sz w:val="20"/>
          <w:szCs w:val="20"/>
          <w:color w:val="auto"/>
        </w:rPr>
      </w:pPr>
    </w:p>
    <w:p>
      <w:pPr>
        <w:ind w:left="3600"/>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Unaudited Pro Forma Condensed Combining Financial Information</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1540"/>
          </w:cols>
          <w:pgMar w:left="220" w:top="281" w:right="139" w:bottom="1440" w:gutter="0" w:footer="0" w:header="0"/>
        </w:sectPr>
      </w:pPr>
    </w:p>
    <w:bookmarkStart w:id="4" w:name="page5"/>
    <w:bookmarkEnd w:id="4"/>
    <w:p>
      <w:pPr>
        <w:ind w:left="280"/>
        <w:spacing w:after="0"/>
        <w:rPr>
          <w:sz w:val="20"/>
          <w:szCs w:val="20"/>
          <w:color w:val="auto"/>
        </w:rPr>
      </w:pPr>
      <w:r>
        <w:rPr>
          <w:rFonts w:ascii="Courier New" w:cs="Courier New" w:eastAsia="Courier New" w:hAnsi="Courier New"/>
          <w:sz w:val="15"/>
          <w:szCs w:val="15"/>
          <w:color w:val="auto"/>
        </w:rPr>
        <w:t>5</w:t>
      </w:r>
    </w:p>
    <w:p>
      <w:pPr>
        <w:spacing w:after="0" w:line="335" w:lineRule="exact"/>
        <w:rPr>
          <w:sz w:val="20"/>
          <w:szCs w:val="20"/>
          <w:color w:val="auto"/>
        </w:rPr>
      </w:pPr>
    </w:p>
    <w:p>
      <w:pPr>
        <w:jc w:val="center"/>
        <w:ind w:right="240"/>
        <w:spacing w:after="0"/>
        <w:rPr>
          <w:sz w:val="20"/>
          <w:szCs w:val="20"/>
          <w:color w:val="auto"/>
        </w:rPr>
      </w:pPr>
      <w:r>
        <w:rPr>
          <w:rFonts w:ascii="Courier New" w:cs="Courier New" w:eastAsia="Courier New" w:hAnsi="Courier New"/>
          <w:sz w:val="15"/>
          <w:szCs w:val="15"/>
          <w:color w:val="auto"/>
        </w:rPr>
        <w:t>Unaudited Pro Forma Condensed Combining Statement of Operations</w:t>
      </w:r>
    </w:p>
    <w:p>
      <w:pPr>
        <w:jc w:val="center"/>
        <w:ind w:right="240"/>
        <w:spacing w:after="0" w:line="237" w:lineRule="auto"/>
        <w:rPr>
          <w:sz w:val="20"/>
          <w:szCs w:val="20"/>
          <w:color w:val="auto"/>
        </w:rPr>
      </w:pPr>
      <w:r>
        <w:rPr>
          <w:rFonts w:ascii="Courier New" w:cs="Courier New" w:eastAsia="Courier New" w:hAnsi="Courier New"/>
          <w:sz w:val="15"/>
          <w:szCs w:val="15"/>
          <w:color w:val="auto"/>
        </w:rPr>
        <w:t>For the Twelve Months Ended December 31, 1995</w:t>
      </w:r>
    </w:p>
    <w:p>
      <w:pPr>
        <w:jc w:val="center"/>
        <w:ind w:right="160"/>
        <w:spacing w:after="0" w:line="238" w:lineRule="auto"/>
        <w:rPr>
          <w:sz w:val="20"/>
          <w:szCs w:val="20"/>
          <w:color w:val="auto"/>
        </w:rPr>
      </w:pPr>
      <w:r>
        <w:rPr>
          <w:rFonts w:ascii="Courier New" w:cs="Courier New" w:eastAsia="Courier New" w:hAnsi="Courier New"/>
          <w:sz w:val="15"/>
          <w:szCs w:val="15"/>
          <w:color w:val="auto"/>
        </w:rPr>
        <w:t>(In thousands)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7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w w:val="95"/>
              </w:rPr>
              <w:t>Historical Amounts</w:t>
            </w:r>
          </w:p>
        </w:tc>
        <w:tc>
          <w:tcPr>
            <w:tcW w:w="1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Historical</w:t>
            </w: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8"/>
        </w:trPr>
        <w:tc>
          <w:tcPr>
            <w:tcW w:w="3280" w:type="dxa"/>
            <w:vAlign w:val="bottom"/>
          </w:tcPr>
          <w:p>
            <w:pPr>
              <w:spacing w:after="0"/>
              <w:rPr>
                <w:sz w:val="14"/>
                <w:szCs w:val="14"/>
                <w:color w:val="auto"/>
              </w:rPr>
            </w:pPr>
          </w:p>
        </w:tc>
        <w:tc>
          <w:tcPr>
            <w:tcW w:w="1280" w:type="dxa"/>
            <w:vAlign w:val="bottom"/>
            <w:gridSpan w:val="2"/>
          </w:tcPr>
          <w:p>
            <w:pPr>
              <w:ind w:left="220"/>
              <w:spacing w:after="0"/>
              <w:rPr>
                <w:sz w:val="20"/>
                <w:szCs w:val="20"/>
                <w:color w:val="auto"/>
              </w:rPr>
            </w:pPr>
            <w:r>
              <w:rPr>
                <w:rFonts w:ascii="Courier New" w:cs="Courier New" w:eastAsia="Courier New" w:hAnsi="Courier New"/>
                <w:sz w:val="11"/>
                <w:szCs w:val="11"/>
                <w:color w:val="auto"/>
                <w:w w:val="71"/>
              </w:rPr>
              <w:t>----------------------</w:t>
            </w:r>
          </w:p>
        </w:tc>
        <w:tc>
          <w:tcPr>
            <w:tcW w:w="1000" w:type="dxa"/>
            <w:vAlign w:val="bottom"/>
          </w:tcPr>
          <w:p>
            <w:pPr>
              <w:spacing w:after="0"/>
              <w:rPr>
                <w:sz w:val="14"/>
                <w:szCs w:val="14"/>
                <w:color w:val="auto"/>
              </w:rPr>
            </w:pPr>
          </w:p>
        </w:tc>
        <w:tc>
          <w:tcPr>
            <w:tcW w:w="14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Pro Forma</w:t>
            </w: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Amounts</w:t>
            </w:r>
          </w:p>
        </w:tc>
        <w:tc>
          <w:tcPr>
            <w:tcW w:w="260" w:type="dxa"/>
            <w:vAlign w:val="bottom"/>
          </w:tcPr>
          <w:p>
            <w:pPr>
              <w:spacing w:after="0"/>
              <w:rPr>
                <w:sz w:val="14"/>
                <w:szCs w:val="14"/>
                <w:color w:val="auto"/>
              </w:rPr>
            </w:pP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6"/>
              </w:rPr>
              <w:t>Pro Forma</w:t>
            </w: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8"/>
        </w:trPr>
        <w:tc>
          <w:tcPr>
            <w:tcW w:w="3280" w:type="dxa"/>
            <w:vAlign w:val="bottom"/>
          </w:tcPr>
          <w:p>
            <w:pPr>
              <w:spacing w:after="0"/>
              <w:rPr>
                <w:sz w:val="14"/>
                <w:szCs w:val="14"/>
                <w:color w:val="auto"/>
              </w:rPr>
            </w:pPr>
          </w:p>
        </w:tc>
        <w:tc>
          <w:tcPr>
            <w:tcW w:w="12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Checkfree</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Servantis</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8"/>
              </w:rPr>
              <w:t>Adjustments</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Pro Forma</w:t>
            </w:r>
          </w:p>
        </w:tc>
        <w:tc>
          <w:tcPr>
            <w:tcW w:w="11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Security</w:t>
            </w:r>
          </w:p>
        </w:tc>
        <w:tc>
          <w:tcPr>
            <w:tcW w:w="136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Adjustments</w:t>
            </w:r>
          </w:p>
        </w:tc>
        <w:tc>
          <w:tcPr>
            <w:tcW w:w="220" w:type="dxa"/>
            <w:vAlign w:val="bottom"/>
          </w:tcPr>
          <w:p>
            <w:pPr>
              <w:spacing w:after="0"/>
              <w:rPr>
                <w:sz w:val="14"/>
                <w:szCs w:val="14"/>
                <w:color w:val="auto"/>
              </w:rPr>
            </w:pPr>
          </w:p>
        </w:tc>
        <w:tc>
          <w:tcPr>
            <w:tcW w:w="68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w w:val="93"/>
              </w:rPr>
              <w:t>Total</w:t>
            </w:r>
          </w:p>
        </w:tc>
      </w:tr>
      <w:tr>
        <w:trPr>
          <w:trHeight w:val="168"/>
        </w:trPr>
        <w:tc>
          <w:tcPr>
            <w:tcW w:w="3280" w:type="dxa"/>
            <w:vAlign w:val="bottom"/>
          </w:tcPr>
          <w:p>
            <w:pPr>
              <w:spacing w:after="0"/>
              <w:rPr>
                <w:sz w:val="14"/>
                <w:szCs w:val="14"/>
                <w:color w:val="auto"/>
              </w:rPr>
            </w:pPr>
          </w:p>
        </w:tc>
        <w:tc>
          <w:tcPr>
            <w:tcW w:w="8260" w:type="dxa"/>
            <w:vAlign w:val="bottom"/>
            <w:gridSpan w:val="12"/>
          </w:tcPr>
          <w:p>
            <w:pPr>
              <w:ind w:left="220"/>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3280" w:type="dxa"/>
            <w:vAlign w:val="bottom"/>
          </w:tcPr>
          <w:p>
            <w:pPr>
              <w:spacing w:after="0"/>
              <w:rPr>
                <w:sz w:val="20"/>
                <w:szCs w:val="20"/>
                <w:color w:val="auto"/>
              </w:rPr>
            </w:pPr>
            <w:r>
              <w:rPr>
                <w:rFonts w:ascii="Courier New" w:cs="Courier New" w:eastAsia="Courier New" w:hAnsi="Courier New"/>
                <w:sz w:val="15"/>
                <w:szCs w:val="15"/>
                <w:color w:val="auto"/>
              </w:rPr>
              <w:t>OPERATING REVENUES:</w:t>
            </w: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68"/>
        </w:trPr>
        <w:tc>
          <w:tcPr>
            <w:tcW w:w="3280" w:type="dxa"/>
            <w:vAlign w:val="bottom"/>
          </w:tcPr>
          <w:p>
            <w:pPr>
              <w:spacing w:after="0"/>
              <w:rPr>
                <w:sz w:val="14"/>
                <w:szCs w:val="14"/>
                <w:color w:val="auto"/>
              </w:rPr>
            </w:pPr>
          </w:p>
        </w:tc>
        <w:tc>
          <w:tcPr>
            <w:tcW w:w="8260" w:type="dxa"/>
            <w:vAlign w:val="bottom"/>
            <w:gridSpan w:val="1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32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Total operating revenues, net</w:t>
            </w:r>
          </w:p>
        </w:tc>
        <w:tc>
          <w:tcPr>
            <w:tcW w:w="12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$ 49,330</w:t>
            </w:r>
          </w:p>
        </w:tc>
        <w:tc>
          <w:tcPr>
            <w:tcW w:w="10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66,675</w:t>
            </w:r>
          </w:p>
        </w:tc>
        <w:tc>
          <w:tcPr>
            <w:tcW w:w="14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9"/>
              </w:rPr>
              <w:t>$ (20,701) (7)</w:t>
            </w:r>
          </w:p>
        </w:tc>
        <w:tc>
          <w:tcPr>
            <w:tcW w:w="3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95,304</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15,670</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11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1"/>
              </w:rPr>
              <w:t>110,974</w:t>
            </w:r>
          </w:p>
        </w:tc>
      </w:tr>
      <w:tr>
        <w:trPr>
          <w:trHeight w:val="168"/>
        </w:trPr>
        <w:tc>
          <w:tcPr>
            <w:tcW w:w="3280" w:type="dxa"/>
            <w:vAlign w:val="bottom"/>
          </w:tcPr>
          <w:p>
            <w:pPr>
              <w:spacing w:after="0"/>
              <w:rPr>
                <w:sz w:val="14"/>
                <w:szCs w:val="14"/>
                <w:color w:val="auto"/>
              </w:rPr>
            </w:pPr>
          </w:p>
        </w:tc>
        <w:tc>
          <w:tcPr>
            <w:tcW w:w="8260" w:type="dxa"/>
            <w:vAlign w:val="bottom"/>
            <w:gridSpan w:val="1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328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68"/>
        </w:trPr>
        <w:tc>
          <w:tcPr>
            <w:tcW w:w="32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Cost of processing, servicing,</w:t>
            </w:r>
          </w:p>
        </w:tc>
        <w:tc>
          <w:tcPr>
            <w:tcW w:w="5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8"/>
        </w:trPr>
        <w:tc>
          <w:tcPr>
            <w:tcW w:w="32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and support</w:t>
            </w:r>
          </w:p>
        </w:tc>
        <w:tc>
          <w:tcPr>
            <w:tcW w:w="50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30,293</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24,610</w:t>
            </w:r>
          </w:p>
        </w:tc>
        <w:tc>
          <w:tcPr>
            <w:tcW w:w="14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54,903</w:t>
            </w:r>
          </w:p>
        </w:tc>
        <w:tc>
          <w:tcPr>
            <w:tcW w:w="2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7,041</w:t>
            </w:r>
          </w:p>
        </w:tc>
        <w:tc>
          <w:tcPr>
            <w:tcW w:w="260" w:type="dxa"/>
            <w:vAlign w:val="bottom"/>
          </w:tcPr>
          <w:p>
            <w:pPr>
              <w:spacing w:after="0"/>
              <w:rPr>
                <w:sz w:val="14"/>
                <w:szCs w:val="14"/>
                <w:color w:val="auto"/>
              </w:rPr>
            </w:pPr>
          </w:p>
        </w:tc>
        <w:tc>
          <w:tcPr>
            <w:tcW w:w="11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6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61,944</w:t>
            </w:r>
          </w:p>
        </w:tc>
      </w:tr>
      <w:tr>
        <w:trPr>
          <w:trHeight w:val="168"/>
        </w:trPr>
        <w:tc>
          <w:tcPr>
            <w:tcW w:w="32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Research  and development</w:t>
            </w:r>
          </w:p>
        </w:tc>
        <w:tc>
          <w:tcPr>
            <w:tcW w:w="50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6,892</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13,483</w:t>
            </w:r>
          </w:p>
        </w:tc>
        <w:tc>
          <w:tcPr>
            <w:tcW w:w="14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20,375</w:t>
            </w:r>
          </w:p>
        </w:tc>
        <w:tc>
          <w:tcPr>
            <w:tcW w:w="2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1,756</w:t>
            </w:r>
          </w:p>
        </w:tc>
        <w:tc>
          <w:tcPr>
            <w:tcW w:w="260" w:type="dxa"/>
            <w:vAlign w:val="bottom"/>
          </w:tcPr>
          <w:p>
            <w:pPr>
              <w:spacing w:after="0"/>
              <w:rPr>
                <w:sz w:val="14"/>
                <w:szCs w:val="14"/>
                <w:color w:val="auto"/>
              </w:rPr>
            </w:pPr>
          </w:p>
        </w:tc>
        <w:tc>
          <w:tcPr>
            <w:tcW w:w="11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6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22,131</w:t>
            </w:r>
          </w:p>
        </w:tc>
      </w:tr>
      <w:tr>
        <w:trPr>
          <w:trHeight w:val="168"/>
        </w:trPr>
        <w:tc>
          <w:tcPr>
            <w:tcW w:w="32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Sales and marketing</w:t>
            </w:r>
          </w:p>
        </w:tc>
        <w:tc>
          <w:tcPr>
            <w:tcW w:w="50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7,261</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6,879</w:t>
            </w:r>
          </w:p>
        </w:tc>
        <w:tc>
          <w:tcPr>
            <w:tcW w:w="14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14,140</w:t>
            </w:r>
          </w:p>
        </w:tc>
        <w:tc>
          <w:tcPr>
            <w:tcW w:w="2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1,553</w:t>
            </w:r>
          </w:p>
        </w:tc>
        <w:tc>
          <w:tcPr>
            <w:tcW w:w="260" w:type="dxa"/>
            <w:vAlign w:val="bottom"/>
          </w:tcPr>
          <w:p>
            <w:pPr>
              <w:spacing w:after="0"/>
              <w:rPr>
                <w:sz w:val="14"/>
                <w:szCs w:val="14"/>
                <w:color w:val="auto"/>
              </w:rPr>
            </w:pPr>
          </w:p>
        </w:tc>
        <w:tc>
          <w:tcPr>
            <w:tcW w:w="11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6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15,693</w:t>
            </w:r>
          </w:p>
        </w:tc>
      </w:tr>
      <w:tr>
        <w:trPr>
          <w:trHeight w:val="168"/>
        </w:trPr>
        <w:tc>
          <w:tcPr>
            <w:tcW w:w="32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General and administrative</w:t>
            </w:r>
          </w:p>
        </w:tc>
        <w:tc>
          <w:tcPr>
            <w:tcW w:w="50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4,064</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11,537</w:t>
            </w:r>
          </w:p>
        </w:tc>
        <w:tc>
          <w:tcPr>
            <w:tcW w:w="14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15,601</w:t>
            </w:r>
          </w:p>
        </w:tc>
        <w:tc>
          <w:tcPr>
            <w:tcW w:w="2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1,967</w:t>
            </w:r>
          </w:p>
        </w:tc>
        <w:tc>
          <w:tcPr>
            <w:tcW w:w="260" w:type="dxa"/>
            <w:vAlign w:val="bottom"/>
          </w:tcPr>
          <w:p>
            <w:pPr>
              <w:spacing w:after="0"/>
              <w:rPr>
                <w:sz w:val="14"/>
                <w:szCs w:val="14"/>
                <w:color w:val="auto"/>
              </w:rPr>
            </w:pPr>
          </w:p>
        </w:tc>
        <w:tc>
          <w:tcPr>
            <w:tcW w:w="11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6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17,568</w:t>
            </w:r>
          </w:p>
        </w:tc>
      </w:tr>
      <w:tr>
        <w:trPr>
          <w:trHeight w:val="168"/>
        </w:trPr>
        <w:tc>
          <w:tcPr>
            <w:tcW w:w="32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50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2,485</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11,097</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3,223 (4)</w:t>
            </w:r>
          </w:p>
        </w:tc>
        <w:tc>
          <w:tcPr>
            <w:tcW w:w="36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16,805</w:t>
            </w:r>
          </w:p>
        </w:tc>
        <w:tc>
          <w:tcPr>
            <w:tcW w:w="2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1,454</w:t>
            </w:r>
          </w:p>
        </w:tc>
        <w:tc>
          <w:tcPr>
            <w:tcW w:w="26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2,574 (10)</w:t>
            </w:r>
          </w:p>
        </w:tc>
        <w:tc>
          <w:tcPr>
            <w:tcW w:w="220" w:type="dxa"/>
            <w:vAlign w:val="bottom"/>
          </w:tcPr>
          <w:p>
            <w:pPr>
              <w:spacing w:after="0"/>
              <w:rPr>
                <w:sz w:val="14"/>
                <w:szCs w:val="14"/>
                <w:color w:val="auto"/>
              </w:rPr>
            </w:pPr>
          </w:p>
        </w:tc>
        <w:tc>
          <w:tcPr>
            <w:tcW w:w="6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20,833</w:t>
            </w:r>
          </w:p>
        </w:tc>
      </w:tr>
      <w:tr>
        <w:trPr>
          <w:trHeight w:val="168"/>
        </w:trPr>
        <w:tc>
          <w:tcPr>
            <w:tcW w:w="3280" w:type="dxa"/>
            <w:vAlign w:val="bottom"/>
          </w:tcPr>
          <w:p>
            <w:pPr>
              <w:spacing w:after="0"/>
              <w:rPr>
                <w:sz w:val="14"/>
                <w:szCs w:val="14"/>
                <w:color w:val="auto"/>
              </w:rPr>
            </w:pPr>
          </w:p>
        </w:tc>
        <w:tc>
          <w:tcPr>
            <w:tcW w:w="8260" w:type="dxa"/>
            <w:vAlign w:val="bottom"/>
            <w:gridSpan w:val="1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328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Total operating expenses</w:t>
            </w:r>
          </w:p>
        </w:tc>
        <w:tc>
          <w:tcPr>
            <w:tcW w:w="50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50,995</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67,606</w:t>
            </w:r>
          </w:p>
        </w:tc>
        <w:tc>
          <w:tcPr>
            <w:tcW w:w="14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3,223</w:t>
            </w:r>
          </w:p>
        </w:tc>
        <w:tc>
          <w:tcPr>
            <w:tcW w:w="36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1"/>
              </w:rPr>
              <w:t>121,824</w:t>
            </w:r>
          </w:p>
        </w:tc>
        <w:tc>
          <w:tcPr>
            <w:tcW w:w="2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13,771</w:t>
            </w:r>
          </w:p>
        </w:tc>
        <w:tc>
          <w:tcPr>
            <w:tcW w:w="260" w:type="dxa"/>
            <w:vAlign w:val="bottom"/>
          </w:tcPr>
          <w:p>
            <w:pPr>
              <w:spacing w:after="0"/>
              <w:rPr>
                <w:sz w:val="14"/>
                <w:szCs w:val="14"/>
                <w:color w:val="auto"/>
              </w:rPr>
            </w:pPr>
          </w:p>
        </w:tc>
        <w:tc>
          <w:tcPr>
            <w:tcW w:w="11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2,574</w:t>
            </w:r>
          </w:p>
        </w:tc>
        <w:tc>
          <w:tcPr>
            <w:tcW w:w="220" w:type="dxa"/>
            <w:vAlign w:val="bottom"/>
          </w:tcPr>
          <w:p>
            <w:pPr>
              <w:spacing w:after="0"/>
              <w:rPr>
                <w:sz w:val="14"/>
                <w:szCs w:val="14"/>
                <w:color w:val="auto"/>
              </w:rPr>
            </w:pPr>
          </w:p>
        </w:tc>
        <w:tc>
          <w:tcPr>
            <w:tcW w:w="6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1"/>
              </w:rPr>
              <w:t>138,169</w:t>
            </w:r>
          </w:p>
        </w:tc>
      </w:tr>
      <w:tr>
        <w:trPr>
          <w:trHeight w:val="168"/>
        </w:trPr>
        <w:tc>
          <w:tcPr>
            <w:tcW w:w="3280" w:type="dxa"/>
            <w:vAlign w:val="bottom"/>
          </w:tcPr>
          <w:p>
            <w:pPr>
              <w:spacing w:after="0"/>
              <w:rPr>
                <w:sz w:val="14"/>
                <w:szCs w:val="14"/>
                <w:color w:val="auto"/>
              </w:rPr>
            </w:pPr>
          </w:p>
        </w:tc>
        <w:tc>
          <w:tcPr>
            <w:tcW w:w="8260" w:type="dxa"/>
            <w:vAlign w:val="bottom"/>
            <w:gridSpan w:val="1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3280" w:type="dxa"/>
            <w:vAlign w:val="bottom"/>
          </w:tcPr>
          <w:p>
            <w:pPr>
              <w:spacing w:after="0"/>
              <w:rPr>
                <w:sz w:val="20"/>
                <w:szCs w:val="20"/>
                <w:color w:val="auto"/>
              </w:rPr>
            </w:pPr>
            <w:r>
              <w:rPr>
                <w:rFonts w:ascii="Courier New" w:cs="Courier New" w:eastAsia="Courier New" w:hAnsi="Courier New"/>
                <w:sz w:val="15"/>
                <w:szCs w:val="15"/>
                <w:color w:val="auto"/>
              </w:rPr>
              <w:t>INCOME (LOSS) FROM OPERATIONS</w:t>
            </w:r>
          </w:p>
        </w:tc>
        <w:tc>
          <w:tcPr>
            <w:tcW w:w="500" w:type="dxa"/>
            <w:vAlign w:val="bottom"/>
          </w:tcPr>
          <w:p>
            <w:pPr>
              <w:spacing w:after="0"/>
              <w:rPr>
                <w:sz w:val="24"/>
                <w:szCs w:val="2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(1,665)</w:t>
            </w: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(931)</w:t>
            </w:r>
          </w:p>
        </w:tc>
        <w:tc>
          <w:tcPr>
            <w:tcW w:w="14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(23,924)</w:t>
            </w:r>
          </w:p>
        </w:tc>
        <w:tc>
          <w:tcPr>
            <w:tcW w:w="360" w:type="dxa"/>
            <w:vAlign w:val="bottom"/>
          </w:tcPr>
          <w:p>
            <w:pPr>
              <w:spacing w:after="0"/>
              <w:rPr>
                <w:sz w:val="24"/>
                <w:szCs w:val="2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4"/>
              </w:rPr>
              <w:t>(26,520)</w:t>
            </w:r>
          </w:p>
        </w:tc>
        <w:tc>
          <w:tcPr>
            <w:tcW w:w="260" w:type="dxa"/>
            <w:vAlign w:val="bottom"/>
          </w:tcPr>
          <w:p>
            <w:pPr>
              <w:spacing w:after="0"/>
              <w:rPr>
                <w:sz w:val="24"/>
                <w:szCs w:val="2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1,899</w:t>
            </w:r>
          </w:p>
        </w:tc>
        <w:tc>
          <w:tcPr>
            <w:tcW w:w="260" w:type="dxa"/>
            <w:vAlign w:val="bottom"/>
          </w:tcPr>
          <w:p>
            <w:pPr>
              <w:spacing w:after="0"/>
              <w:rPr>
                <w:sz w:val="24"/>
                <w:szCs w:val="24"/>
                <w:color w:val="auto"/>
              </w:rPr>
            </w:pPr>
          </w:p>
        </w:tc>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5"/>
              </w:rPr>
              <w:t>(2,574)</w:t>
            </w: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w w:val="91"/>
              </w:rPr>
              <w:t>(27,195)</w:t>
            </w:r>
          </w:p>
        </w:tc>
      </w:tr>
      <w:tr>
        <w:trPr>
          <w:trHeight w:val="168"/>
        </w:trPr>
        <w:tc>
          <w:tcPr>
            <w:tcW w:w="3280" w:type="dxa"/>
            <w:vAlign w:val="bottom"/>
          </w:tcPr>
          <w:p>
            <w:pPr>
              <w:spacing w:after="0"/>
              <w:rPr>
                <w:sz w:val="14"/>
                <w:szCs w:val="14"/>
                <w:color w:val="auto"/>
              </w:rPr>
            </w:pPr>
          </w:p>
        </w:tc>
        <w:tc>
          <w:tcPr>
            <w:tcW w:w="8260" w:type="dxa"/>
            <w:vAlign w:val="bottom"/>
            <w:gridSpan w:val="1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328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68"/>
        </w:trPr>
        <w:tc>
          <w:tcPr>
            <w:tcW w:w="32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INVESTMENT INCOME</w:t>
            </w:r>
          </w:p>
        </w:tc>
        <w:tc>
          <w:tcPr>
            <w:tcW w:w="50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2,135</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471</w:t>
            </w:r>
          </w:p>
        </w:tc>
        <w:tc>
          <w:tcPr>
            <w:tcW w:w="14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2,606</w:t>
            </w:r>
          </w:p>
        </w:tc>
        <w:tc>
          <w:tcPr>
            <w:tcW w:w="2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201</w:t>
            </w:r>
          </w:p>
        </w:tc>
        <w:tc>
          <w:tcPr>
            <w:tcW w:w="260" w:type="dxa"/>
            <w:vAlign w:val="bottom"/>
          </w:tcPr>
          <w:p>
            <w:pPr>
              <w:spacing w:after="0"/>
              <w:rPr>
                <w:sz w:val="14"/>
                <w:szCs w:val="14"/>
                <w:color w:val="auto"/>
              </w:rPr>
            </w:pPr>
          </w:p>
        </w:tc>
        <w:tc>
          <w:tcPr>
            <w:tcW w:w="11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6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2,807</w:t>
            </w:r>
          </w:p>
        </w:tc>
      </w:tr>
      <w:tr>
        <w:trPr>
          <w:trHeight w:val="168"/>
        </w:trPr>
        <w:tc>
          <w:tcPr>
            <w:tcW w:w="32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INTEREST EXPENSE</w:t>
            </w:r>
          </w:p>
        </w:tc>
        <w:tc>
          <w:tcPr>
            <w:tcW w:w="5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(645)</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(3,490)</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3,490 (5)</w:t>
            </w:r>
          </w:p>
        </w:tc>
        <w:tc>
          <w:tcPr>
            <w:tcW w:w="3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(645)</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6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(645)</w:t>
            </w:r>
          </w:p>
        </w:tc>
      </w:tr>
      <w:tr>
        <w:trPr>
          <w:trHeight w:val="168"/>
        </w:trPr>
        <w:tc>
          <w:tcPr>
            <w:tcW w:w="3280" w:type="dxa"/>
            <w:vAlign w:val="bottom"/>
          </w:tcPr>
          <w:p>
            <w:pPr>
              <w:spacing w:after="0"/>
              <w:rPr>
                <w:sz w:val="14"/>
                <w:szCs w:val="14"/>
                <w:color w:val="auto"/>
              </w:rPr>
            </w:pPr>
          </w:p>
        </w:tc>
        <w:tc>
          <w:tcPr>
            <w:tcW w:w="8260" w:type="dxa"/>
            <w:vAlign w:val="bottom"/>
            <w:gridSpan w:val="1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3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1,490</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(3,019)</w:t>
            </w:r>
          </w:p>
        </w:tc>
        <w:tc>
          <w:tcPr>
            <w:tcW w:w="14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3,490</w:t>
            </w:r>
          </w:p>
        </w:tc>
        <w:tc>
          <w:tcPr>
            <w:tcW w:w="36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1,961</w:t>
            </w:r>
          </w:p>
        </w:tc>
        <w:tc>
          <w:tcPr>
            <w:tcW w:w="2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201</w:t>
            </w:r>
          </w:p>
        </w:tc>
        <w:tc>
          <w:tcPr>
            <w:tcW w:w="260" w:type="dxa"/>
            <w:vAlign w:val="bottom"/>
          </w:tcPr>
          <w:p>
            <w:pPr>
              <w:spacing w:after="0"/>
              <w:rPr>
                <w:sz w:val="14"/>
                <w:szCs w:val="14"/>
                <w:color w:val="auto"/>
              </w:rPr>
            </w:pPr>
          </w:p>
        </w:tc>
        <w:tc>
          <w:tcPr>
            <w:tcW w:w="11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6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2,162</w:t>
            </w:r>
          </w:p>
        </w:tc>
      </w:tr>
      <w:tr>
        <w:trPr>
          <w:trHeight w:val="168"/>
        </w:trPr>
        <w:tc>
          <w:tcPr>
            <w:tcW w:w="3280" w:type="dxa"/>
            <w:vAlign w:val="bottom"/>
          </w:tcPr>
          <w:p>
            <w:pPr>
              <w:spacing w:after="0"/>
              <w:rPr>
                <w:sz w:val="14"/>
                <w:szCs w:val="14"/>
                <w:color w:val="auto"/>
              </w:rPr>
            </w:pPr>
          </w:p>
        </w:tc>
        <w:tc>
          <w:tcPr>
            <w:tcW w:w="8260" w:type="dxa"/>
            <w:vAlign w:val="bottom"/>
            <w:gridSpan w:val="1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3280" w:type="dxa"/>
            <w:vAlign w:val="bottom"/>
          </w:tcPr>
          <w:p>
            <w:pPr>
              <w:spacing w:after="0"/>
              <w:rPr>
                <w:sz w:val="20"/>
                <w:szCs w:val="20"/>
                <w:color w:val="auto"/>
              </w:rPr>
            </w:pPr>
            <w:r>
              <w:rPr>
                <w:rFonts w:ascii="Courier New" w:cs="Courier New" w:eastAsia="Courier New" w:hAnsi="Courier New"/>
                <w:sz w:val="15"/>
                <w:szCs w:val="15"/>
                <w:color w:val="auto"/>
              </w:rPr>
              <w:t>INCOME (LOSS) BEFORE INCOME TAXES</w:t>
            </w:r>
          </w:p>
        </w:tc>
        <w:tc>
          <w:tcPr>
            <w:tcW w:w="500" w:type="dxa"/>
            <w:vAlign w:val="bottom"/>
          </w:tcPr>
          <w:p>
            <w:pPr>
              <w:spacing w:after="0"/>
              <w:rPr>
                <w:sz w:val="24"/>
                <w:szCs w:val="2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(175)</w:t>
            </w: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(3,950)</w:t>
            </w:r>
          </w:p>
        </w:tc>
        <w:tc>
          <w:tcPr>
            <w:tcW w:w="14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(20,434)</w:t>
            </w:r>
          </w:p>
        </w:tc>
        <w:tc>
          <w:tcPr>
            <w:tcW w:w="360" w:type="dxa"/>
            <w:vAlign w:val="bottom"/>
          </w:tcPr>
          <w:p>
            <w:pPr>
              <w:spacing w:after="0"/>
              <w:rPr>
                <w:sz w:val="24"/>
                <w:szCs w:val="2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4"/>
              </w:rPr>
              <w:t>(24,559)</w:t>
            </w:r>
          </w:p>
        </w:tc>
        <w:tc>
          <w:tcPr>
            <w:tcW w:w="260" w:type="dxa"/>
            <w:vAlign w:val="bottom"/>
          </w:tcPr>
          <w:p>
            <w:pPr>
              <w:spacing w:after="0"/>
              <w:rPr>
                <w:sz w:val="24"/>
                <w:szCs w:val="2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2,100</w:t>
            </w:r>
          </w:p>
        </w:tc>
        <w:tc>
          <w:tcPr>
            <w:tcW w:w="260" w:type="dxa"/>
            <w:vAlign w:val="bottom"/>
          </w:tcPr>
          <w:p>
            <w:pPr>
              <w:spacing w:after="0"/>
              <w:rPr>
                <w:sz w:val="24"/>
                <w:szCs w:val="24"/>
                <w:color w:val="auto"/>
              </w:rPr>
            </w:pPr>
          </w:p>
        </w:tc>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5"/>
              </w:rPr>
              <w:t>(2,574)</w:t>
            </w: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36"/>
        </w:trPr>
        <w:tc>
          <w:tcPr>
            <w:tcW w:w="3280" w:type="dxa"/>
            <w:vAlign w:val="bottom"/>
          </w:tcPr>
          <w:p>
            <w:pPr>
              <w:spacing w:after="0"/>
              <w:rPr>
                <w:sz w:val="20"/>
                <w:szCs w:val="20"/>
                <w:color w:val="auto"/>
              </w:rPr>
            </w:pPr>
            <w:r>
              <w:rPr>
                <w:rFonts w:ascii="Courier New" w:cs="Courier New" w:eastAsia="Courier New" w:hAnsi="Courier New"/>
                <w:sz w:val="15"/>
                <w:szCs w:val="15"/>
                <w:color w:val="auto"/>
              </w:rPr>
              <w:t>INCOME TAX EXPENSE (BENEFIT)</w:t>
            </w:r>
          </w:p>
        </w:tc>
        <w:tc>
          <w:tcPr>
            <w:tcW w:w="500" w:type="dxa"/>
            <w:vAlign w:val="bottom"/>
          </w:tcPr>
          <w:p>
            <w:pPr>
              <w:spacing w:after="0"/>
              <w:rPr>
                <w:sz w:val="24"/>
                <w:szCs w:val="24"/>
                <w:color w:val="auto"/>
              </w:rPr>
            </w:pP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40</w:t>
            </w: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(1,236)</w:t>
            </w:r>
          </w:p>
        </w:tc>
        <w:tc>
          <w:tcPr>
            <w:tcW w:w="14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(7,720)(6)</w:t>
            </w:r>
          </w:p>
        </w:tc>
        <w:tc>
          <w:tcPr>
            <w:tcW w:w="360" w:type="dxa"/>
            <w:vAlign w:val="bottom"/>
          </w:tcPr>
          <w:p>
            <w:pPr>
              <w:spacing w:after="0"/>
              <w:rPr>
                <w:sz w:val="24"/>
                <w:szCs w:val="2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(8,916)</w:t>
            </w:r>
          </w:p>
        </w:tc>
        <w:tc>
          <w:tcPr>
            <w:tcW w:w="260" w:type="dxa"/>
            <w:vAlign w:val="bottom"/>
          </w:tcPr>
          <w:p>
            <w:pPr>
              <w:spacing w:after="0"/>
              <w:rPr>
                <w:sz w:val="24"/>
                <w:szCs w:val="2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96</w:t>
            </w:r>
          </w:p>
        </w:tc>
        <w:tc>
          <w:tcPr>
            <w:tcW w:w="260" w:type="dxa"/>
            <w:vAlign w:val="bottom"/>
          </w:tcPr>
          <w:p>
            <w:pPr>
              <w:spacing w:after="0"/>
              <w:rPr>
                <w:sz w:val="24"/>
                <w:szCs w:val="24"/>
                <w:color w:val="auto"/>
              </w:rPr>
            </w:pP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120 (11)</w:t>
            </w: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(8,700)</w:t>
            </w:r>
          </w:p>
        </w:tc>
      </w:tr>
      <w:tr>
        <w:trPr>
          <w:trHeight w:val="168"/>
        </w:trPr>
        <w:tc>
          <w:tcPr>
            <w:tcW w:w="3280" w:type="dxa"/>
            <w:vAlign w:val="bottom"/>
          </w:tcPr>
          <w:p>
            <w:pPr>
              <w:spacing w:after="0"/>
              <w:rPr>
                <w:sz w:val="14"/>
                <w:szCs w:val="14"/>
                <w:color w:val="auto"/>
              </w:rPr>
            </w:pPr>
          </w:p>
        </w:tc>
        <w:tc>
          <w:tcPr>
            <w:tcW w:w="8260" w:type="dxa"/>
            <w:vAlign w:val="bottom"/>
            <w:gridSpan w:val="1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328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(215)</w:t>
            </w:r>
          </w:p>
        </w:tc>
        <w:tc>
          <w:tcPr>
            <w:tcW w:w="1000" w:type="dxa"/>
            <w:vAlign w:val="bottom"/>
          </w:tcPr>
          <w:p>
            <w:pPr>
              <w:ind w:left="180"/>
              <w:spacing w:after="0"/>
              <w:rPr>
                <w:sz w:val="20"/>
                <w:szCs w:val="20"/>
                <w:color w:val="auto"/>
              </w:rPr>
            </w:pPr>
            <w:r>
              <w:rPr>
                <w:rFonts w:ascii="Courier New" w:cs="Courier New" w:eastAsia="Courier New" w:hAnsi="Courier New"/>
                <w:sz w:val="15"/>
                <w:szCs w:val="15"/>
                <w:color w:val="auto"/>
                <w:w w:val="98"/>
              </w:rPr>
              <w:t>$ (2,714)</w:t>
            </w:r>
          </w:p>
        </w:tc>
        <w:tc>
          <w:tcPr>
            <w:tcW w:w="14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$(12,714)</w:t>
            </w:r>
          </w:p>
        </w:tc>
        <w:tc>
          <w:tcPr>
            <w:tcW w:w="360" w:type="dxa"/>
            <w:vAlign w:val="bottom"/>
          </w:tcPr>
          <w:p>
            <w:pPr>
              <w:ind w:left="260"/>
              <w:spacing w:after="0"/>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4"/>
              </w:rPr>
              <w:t>(15,643)</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2,004</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(2,694)</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w w:val="91"/>
              </w:rPr>
              <w:t>(16,333)</w:t>
            </w:r>
          </w:p>
        </w:tc>
      </w:tr>
      <w:tr>
        <w:trPr>
          <w:trHeight w:val="336"/>
        </w:trPr>
        <w:tc>
          <w:tcPr>
            <w:tcW w:w="3280" w:type="dxa"/>
            <w:vAlign w:val="bottom"/>
          </w:tcPr>
          <w:p>
            <w:pPr>
              <w:spacing w:after="0"/>
              <w:rPr>
                <w:sz w:val="20"/>
                <w:szCs w:val="20"/>
                <w:color w:val="auto"/>
              </w:rPr>
            </w:pPr>
            <w:r>
              <w:rPr>
                <w:rFonts w:ascii="Courier New" w:cs="Courier New" w:eastAsia="Courier New" w:hAnsi="Courier New"/>
                <w:sz w:val="15"/>
                <w:szCs w:val="15"/>
                <w:color w:val="auto"/>
              </w:rPr>
              <w:t>PREFERRED STOCK DIVIDENDS</w:t>
            </w:r>
          </w:p>
        </w:tc>
        <w:tc>
          <w:tcPr>
            <w:tcW w:w="500" w:type="dxa"/>
            <w:vAlign w:val="bottom"/>
          </w:tcPr>
          <w:p>
            <w:pPr>
              <w:spacing w:after="0"/>
              <w:rPr>
                <w:sz w:val="24"/>
                <w:szCs w:val="24"/>
                <w:color w:val="auto"/>
              </w:rPr>
            </w:pP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(797)</w:t>
            </w:r>
          </w:p>
        </w:tc>
        <w:tc>
          <w:tcPr>
            <w:tcW w:w="14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797 (5)</w:t>
            </w:r>
          </w:p>
        </w:tc>
        <w:tc>
          <w:tcPr>
            <w:tcW w:w="360" w:type="dxa"/>
            <w:vAlign w:val="bottom"/>
          </w:tcPr>
          <w:p>
            <w:pPr>
              <w:spacing w:after="0"/>
              <w:rPr>
                <w:sz w:val="24"/>
                <w:szCs w:val="24"/>
                <w:color w:val="auto"/>
              </w:rPr>
            </w:pP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24"/>
                <w:szCs w:val="2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68"/>
        </w:trPr>
        <w:tc>
          <w:tcPr>
            <w:tcW w:w="3280" w:type="dxa"/>
            <w:vAlign w:val="bottom"/>
          </w:tcPr>
          <w:p>
            <w:pPr>
              <w:spacing w:after="0"/>
              <w:rPr>
                <w:sz w:val="14"/>
                <w:szCs w:val="14"/>
                <w:color w:val="auto"/>
              </w:rPr>
            </w:pPr>
          </w:p>
        </w:tc>
        <w:tc>
          <w:tcPr>
            <w:tcW w:w="8260" w:type="dxa"/>
            <w:vAlign w:val="bottom"/>
            <w:gridSpan w:val="1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3280" w:type="dxa"/>
            <w:vAlign w:val="bottom"/>
          </w:tcPr>
          <w:p>
            <w:pPr>
              <w:spacing w:after="0"/>
              <w:rPr>
                <w:sz w:val="20"/>
                <w:szCs w:val="20"/>
                <w:color w:val="auto"/>
              </w:rPr>
            </w:pPr>
            <w:r>
              <w:rPr>
                <w:rFonts w:ascii="Courier New" w:cs="Courier New" w:eastAsia="Courier New" w:hAnsi="Courier New"/>
                <w:sz w:val="15"/>
                <w:szCs w:val="15"/>
                <w:color w:val="auto"/>
              </w:rPr>
              <w:t>NET INCOME (LOSS) APPLICABLE TO</w:t>
            </w: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COMMON SHARES</w:t>
            </w:r>
          </w:p>
        </w:tc>
        <w:tc>
          <w:tcPr>
            <w:tcW w:w="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(215)</w:t>
            </w:r>
          </w:p>
        </w:tc>
        <w:tc>
          <w:tcPr>
            <w:tcW w:w="10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 (3,511)</w:t>
            </w:r>
          </w:p>
        </w:tc>
        <w:tc>
          <w:tcPr>
            <w:tcW w:w="14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$(11,917)</w:t>
            </w:r>
          </w:p>
        </w:tc>
        <w:tc>
          <w:tcPr>
            <w:tcW w:w="3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(15,643)</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2,004</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(2,694)</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1"/>
              </w:rPr>
              <w:t>(16,333)</w:t>
            </w:r>
          </w:p>
        </w:tc>
      </w:tr>
      <w:tr>
        <w:trPr>
          <w:trHeight w:val="168"/>
        </w:trPr>
        <w:tc>
          <w:tcPr>
            <w:tcW w:w="3280" w:type="dxa"/>
            <w:vAlign w:val="bottom"/>
          </w:tcPr>
          <w:p>
            <w:pPr>
              <w:spacing w:after="0"/>
              <w:rPr>
                <w:sz w:val="14"/>
                <w:szCs w:val="14"/>
                <w:color w:val="auto"/>
              </w:rPr>
            </w:pPr>
          </w:p>
        </w:tc>
        <w:tc>
          <w:tcPr>
            <w:tcW w:w="8260" w:type="dxa"/>
            <w:vAlign w:val="bottom"/>
            <w:gridSpan w:val="1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3280" w:type="dxa"/>
            <w:vAlign w:val="bottom"/>
          </w:tcPr>
          <w:p>
            <w:pPr>
              <w:spacing w:after="0"/>
              <w:rPr>
                <w:sz w:val="20"/>
                <w:szCs w:val="20"/>
                <w:color w:val="auto"/>
              </w:rPr>
            </w:pPr>
            <w:r>
              <w:rPr>
                <w:rFonts w:ascii="Courier New" w:cs="Courier New" w:eastAsia="Courier New" w:hAnsi="Courier New"/>
                <w:sz w:val="15"/>
                <w:szCs w:val="15"/>
                <w:color w:val="auto"/>
              </w:rPr>
              <w:t>NET INCOME (LOSS) PER COMMON SHARE</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(0.01)</w:t>
            </w:r>
          </w:p>
        </w:tc>
        <w:tc>
          <w:tcPr>
            <w:tcW w:w="10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60" w:type="dxa"/>
            <w:vAlign w:val="bottom"/>
          </w:tcPr>
          <w:p>
            <w:pPr>
              <w:ind w:left="260"/>
              <w:spacing w:after="0"/>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(0.46)</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(0.44)</w:t>
            </w:r>
          </w:p>
        </w:tc>
      </w:tr>
      <w:tr>
        <w:trPr>
          <w:trHeight w:val="168"/>
        </w:trPr>
        <w:tc>
          <w:tcPr>
            <w:tcW w:w="3280" w:type="dxa"/>
            <w:vAlign w:val="bottom"/>
          </w:tcPr>
          <w:p>
            <w:pPr>
              <w:spacing w:after="0"/>
              <w:rPr>
                <w:sz w:val="14"/>
                <w:szCs w:val="14"/>
                <w:color w:val="auto"/>
              </w:rPr>
            </w:pPr>
          </w:p>
        </w:tc>
        <w:tc>
          <w:tcPr>
            <w:tcW w:w="12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4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280" w:type="dxa"/>
            <w:vAlign w:val="bottom"/>
          </w:tcPr>
          <w:p>
            <w:pPr>
              <w:spacing w:after="0"/>
              <w:rPr>
                <w:sz w:val="20"/>
                <w:szCs w:val="20"/>
                <w:color w:val="auto"/>
              </w:rPr>
            </w:pPr>
            <w:r>
              <w:rPr>
                <w:rFonts w:ascii="Courier New" w:cs="Courier New" w:eastAsia="Courier New" w:hAnsi="Courier New"/>
                <w:sz w:val="15"/>
                <w:szCs w:val="15"/>
                <w:color w:val="auto"/>
              </w:rPr>
              <w:t>wtd avg. shares outstanding</w:t>
            </w:r>
          </w:p>
        </w:tc>
        <w:tc>
          <w:tcPr>
            <w:tcW w:w="500" w:type="dxa"/>
            <w:vAlign w:val="bottom"/>
          </w:tcPr>
          <w:p>
            <w:pPr>
              <w:spacing w:after="0"/>
              <w:rPr>
                <w:sz w:val="24"/>
                <w:szCs w:val="24"/>
                <w:color w:val="auto"/>
              </w:rPr>
            </w:pP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28,219</w:t>
            </w:r>
          </w:p>
        </w:tc>
        <w:tc>
          <w:tcPr>
            <w:tcW w:w="1000" w:type="dxa"/>
            <w:vAlign w:val="bottom"/>
          </w:tcPr>
          <w:p>
            <w:pPr>
              <w:spacing w:after="0"/>
              <w:rPr>
                <w:sz w:val="24"/>
                <w:szCs w:val="24"/>
                <w:color w:val="auto"/>
              </w:rPr>
            </w:pPr>
          </w:p>
        </w:tc>
        <w:tc>
          <w:tcPr>
            <w:tcW w:w="144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5,672</w:t>
            </w:r>
          </w:p>
        </w:tc>
        <w:tc>
          <w:tcPr>
            <w:tcW w:w="360" w:type="dxa"/>
            <w:vAlign w:val="bottom"/>
          </w:tcPr>
          <w:p>
            <w:pPr>
              <w:spacing w:after="0"/>
              <w:rPr>
                <w:sz w:val="24"/>
                <w:szCs w:val="2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33,891</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2,822</w:t>
            </w:r>
          </w:p>
        </w:tc>
        <w:tc>
          <w:tcPr>
            <w:tcW w:w="220" w:type="dxa"/>
            <w:vAlign w:val="bottom"/>
          </w:tcPr>
          <w:p>
            <w:pPr>
              <w:spacing w:after="0"/>
              <w:rPr>
                <w:sz w:val="24"/>
                <w:szCs w:val="24"/>
                <w:color w:val="auto"/>
              </w:rPr>
            </w:pPr>
          </w:p>
        </w:tc>
        <w:tc>
          <w:tcPr>
            <w:tcW w:w="6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36,713</w:t>
            </w:r>
          </w:p>
        </w:tc>
      </w:tr>
      <w:tr>
        <w:trPr>
          <w:trHeight w:val="168"/>
        </w:trPr>
        <w:tc>
          <w:tcPr>
            <w:tcW w:w="3280" w:type="dxa"/>
            <w:vAlign w:val="bottom"/>
          </w:tcPr>
          <w:p>
            <w:pPr>
              <w:spacing w:after="0"/>
              <w:rPr>
                <w:sz w:val="14"/>
                <w:szCs w:val="14"/>
                <w:color w:val="auto"/>
              </w:rPr>
            </w:pPr>
          </w:p>
        </w:tc>
        <w:tc>
          <w:tcPr>
            <w:tcW w:w="12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spacing w:after="0"/>
              <w:rPr>
                <w:sz w:val="14"/>
                <w:szCs w:val="14"/>
                <w:color w:val="auto"/>
              </w:rPr>
            </w:pPr>
          </w:p>
        </w:tc>
        <w:tc>
          <w:tcPr>
            <w:tcW w:w="14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6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9" w:lineRule="exact"/>
        <w:rPr>
          <w:sz w:val="20"/>
          <w:szCs w:val="20"/>
          <w:color w:val="auto"/>
        </w:rPr>
      </w:pPr>
    </w:p>
    <w:p>
      <w:pPr>
        <w:jc w:val="center"/>
        <w:ind w:right="5040"/>
        <w:spacing w:after="0"/>
        <w:rPr>
          <w:sz w:val="20"/>
          <w:szCs w:val="20"/>
          <w:color w:val="auto"/>
        </w:rPr>
      </w:pPr>
      <w:r>
        <w:rPr>
          <w:rFonts w:ascii="Courier New" w:cs="Courier New" w:eastAsia="Courier New" w:hAnsi="Courier New"/>
          <w:sz w:val="14"/>
          <w:szCs w:val="14"/>
          <w:color w:val="auto"/>
        </w:rPr>
        <w:t>See Notes to Unaudited Pro Forma Condensed Combining Financial Information</w:t>
      </w:r>
    </w:p>
    <w:p>
      <w:pPr>
        <w:spacing w:after="0" w:line="171"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1540"/>
          </w:cols>
          <w:pgMar w:left="220" w:top="281" w:right="13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5"/>
          <w:szCs w:val="15"/>
          <w:color w:val="auto"/>
        </w:rPr>
        <w:t>6</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5"/>
          <w:szCs w:val="15"/>
          <w:color w:val="auto"/>
        </w:rPr>
        <w:t>NOTES TO UNAUDITED PRO FORMA CONDENSED COMBINING</w:t>
      </w:r>
    </w:p>
    <w:p>
      <w:pPr>
        <w:jc w:val="center"/>
        <w:ind w:right="3399"/>
        <w:spacing w:after="0" w:line="237" w:lineRule="auto"/>
        <w:rPr>
          <w:sz w:val="20"/>
          <w:szCs w:val="20"/>
          <w:color w:val="auto"/>
        </w:rPr>
      </w:pPr>
      <w:r>
        <w:rPr>
          <w:rFonts w:ascii="Courier New" w:cs="Courier New" w:eastAsia="Courier New" w:hAnsi="Courier New"/>
          <w:sz w:val="15"/>
          <w:szCs w:val="15"/>
          <w:color w:val="auto"/>
        </w:rPr>
        <w:t>FINANCIAL INFORMATION</w:t>
      </w:r>
    </w:p>
    <w:p>
      <w:pPr>
        <w:spacing w:after="0" w:line="173" w:lineRule="exact"/>
        <w:rPr>
          <w:sz w:val="20"/>
          <w:szCs w:val="20"/>
          <w:color w:val="auto"/>
        </w:rPr>
      </w:pPr>
    </w:p>
    <w:p>
      <w:pPr>
        <w:ind w:left="600" w:right="3319" w:hanging="433"/>
        <w:spacing w:after="0" w:line="234" w:lineRule="auto"/>
        <w:tabs>
          <w:tab w:leader="none" w:pos="60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 to reflect payment of $42,500,000 cash portion pursuant to the Servantis Merger Agreement.</w:t>
      </w:r>
    </w:p>
    <w:p>
      <w:pPr>
        <w:spacing w:after="0" w:line="173" w:lineRule="exact"/>
        <w:rPr>
          <w:rFonts w:ascii="Courier New" w:cs="Courier New" w:eastAsia="Courier New" w:hAnsi="Courier New"/>
          <w:sz w:val="15"/>
          <w:szCs w:val="15"/>
          <w:color w:val="auto"/>
        </w:rPr>
      </w:pPr>
    </w:p>
    <w:p>
      <w:pPr>
        <w:ind w:left="600" w:right="3319" w:hanging="433"/>
        <w:spacing w:after="0" w:line="235" w:lineRule="auto"/>
        <w:tabs>
          <w:tab w:leader="none" w:pos="60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Adjustments to reflect the change in net assets for the Servantis Acquisition based upon the fair market values at February 21, 1996 as follows:</w:t>
      </w:r>
    </w:p>
    <w:p>
      <w:pPr>
        <w:spacing w:after="0" w:line="200" w:lineRule="exact"/>
        <w:rPr>
          <w:sz w:val="20"/>
          <w:szCs w:val="20"/>
          <w:color w:val="auto"/>
        </w:rPr>
      </w:pPr>
    </w:p>
    <w:p>
      <w:pPr>
        <w:spacing w:after="0" w:line="304"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5000" w:type="dxa"/>
            <w:vAlign w:val="bottom"/>
          </w:tcPr>
          <w:p>
            <w:pPr>
              <w:ind w:left="2200"/>
              <w:spacing w:after="0"/>
              <w:rPr>
                <w:sz w:val="20"/>
                <w:szCs w:val="20"/>
                <w:color w:val="auto"/>
              </w:rPr>
            </w:pPr>
            <w:r>
              <w:rPr>
                <w:rFonts w:ascii="Courier New" w:cs="Courier New" w:eastAsia="Courier New" w:hAnsi="Courier New"/>
                <w:sz w:val="15"/>
                <w:szCs w:val="15"/>
                <w:color w:val="auto"/>
              </w:rPr>
              <w:t>(In thousands)</w:t>
            </w:r>
          </w:p>
        </w:tc>
        <w:tc>
          <w:tcPr>
            <w:tcW w:w="1220" w:type="dxa"/>
            <w:vAlign w:val="bottom"/>
          </w:tcPr>
          <w:p>
            <w:pPr>
              <w:spacing w:after="0"/>
              <w:rPr>
                <w:sz w:val="14"/>
                <w:szCs w:val="14"/>
                <w:color w:val="auto"/>
              </w:rPr>
            </w:pPr>
          </w:p>
        </w:tc>
      </w:tr>
      <w:tr>
        <w:trPr>
          <w:trHeight w:val="505"/>
        </w:trPr>
        <w:tc>
          <w:tcPr>
            <w:tcW w:w="5000" w:type="dxa"/>
            <w:vAlign w:val="bottom"/>
          </w:tcPr>
          <w:p>
            <w:pPr>
              <w:spacing w:after="0"/>
              <w:rPr>
                <w:sz w:val="20"/>
                <w:szCs w:val="20"/>
                <w:color w:val="auto"/>
              </w:rPr>
            </w:pPr>
            <w:r>
              <w:rPr>
                <w:rFonts w:ascii="Courier New" w:cs="Courier New" w:eastAsia="Courier New" w:hAnsi="Courier New"/>
                <w:sz w:val="15"/>
                <w:szCs w:val="15"/>
                <w:color w:val="auto"/>
              </w:rPr>
              <w:t>Total purchase price</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$165,137</w:t>
            </w: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rPr>
              <w:t>Allocation of purchase price</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Tangible net assets acquired at fair market value</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$16,849</w:t>
            </w: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rPr>
              <w:t>Adjustments to reflect fair value of assets acquired</w:t>
            </w:r>
          </w:p>
        </w:tc>
        <w:tc>
          <w:tcPr>
            <w:tcW w:w="1220" w:type="dxa"/>
            <w:vAlign w:val="bottom"/>
          </w:tcPr>
          <w:p>
            <w:pPr>
              <w:spacing w:after="0"/>
              <w:rPr>
                <w:sz w:val="14"/>
                <w:szCs w:val="14"/>
                <w:color w:val="auto"/>
              </w:rPr>
            </w:pPr>
          </w:p>
        </w:tc>
      </w:tr>
      <w:tr>
        <w:trPr>
          <w:trHeight w:val="168"/>
        </w:trPr>
        <w:tc>
          <w:tcPr>
            <w:tcW w:w="50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In-process R&amp;D</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90,600</w:t>
            </w:r>
          </w:p>
        </w:tc>
      </w:tr>
      <w:tr>
        <w:trPr>
          <w:trHeight w:val="168"/>
        </w:trPr>
        <w:tc>
          <w:tcPr>
            <w:tcW w:w="50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Capitalized software (3 to 10-year lives)</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31,400</w:t>
            </w:r>
          </w:p>
        </w:tc>
      </w:tr>
      <w:tr>
        <w:trPr>
          <w:trHeight w:val="168"/>
        </w:trPr>
        <w:tc>
          <w:tcPr>
            <w:tcW w:w="50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Other intangibles (10 to 30-year lives)</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26,288</w:t>
            </w:r>
          </w:p>
        </w:tc>
      </w:tr>
      <w:tr>
        <w:trPr>
          <w:trHeight w:val="168"/>
        </w:trPr>
        <w:tc>
          <w:tcPr>
            <w:tcW w:w="5000" w:type="dxa"/>
            <w:vAlign w:val="bottom"/>
          </w:tcPr>
          <w:p>
            <w:pPr>
              <w:spacing w:after="0"/>
              <w:rPr>
                <w:sz w:val="14"/>
                <w:szCs w:val="14"/>
                <w:color w:val="auto"/>
              </w:rPr>
            </w:pP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00" w:type="dxa"/>
            <w:vAlign w:val="bottom"/>
          </w:tcPr>
          <w:p>
            <w:pPr>
              <w:spacing w:after="0"/>
              <w:rPr>
                <w:sz w:val="14"/>
                <w:szCs w:val="14"/>
                <w:color w:val="auto"/>
              </w:rPr>
            </w:pP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148,288</w:t>
            </w:r>
          </w:p>
        </w:tc>
      </w:tr>
      <w:tr>
        <w:trPr>
          <w:trHeight w:val="168"/>
        </w:trPr>
        <w:tc>
          <w:tcPr>
            <w:tcW w:w="5000" w:type="dxa"/>
            <w:vAlign w:val="bottom"/>
          </w:tcPr>
          <w:p>
            <w:pPr>
              <w:spacing w:after="0"/>
              <w:rPr>
                <w:sz w:val="14"/>
                <w:szCs w:val="14"/>
                <w:color w:val="auto"/>
              </w:rPr>
            </w:pP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0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Total</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$165,137</w:t>
            </w:r>
          </w:p>
        </w:tc>
      </w:tr>
      <w:tr>
        <w:trPr>
          <w:trHeight w:val="168"/>
        </w:trPr>
        <w:tc>
          <w:tcPr>
            <w:tcW w:w="5000" w:type="dxa"/>
            <w:vAlign w:val="bottom"/>
          </w:tcPr>
          <w:p>
            <w:pPr>
              <w:spacing w:after="0"/>
              <w:rPr>
                <w:sz w:val="14"/>
                <w:szCs w:val="14"/>
                <w:color w:val="auto"/>
              </w:rPr>
            </w:pP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left="600" w:right="3499" w:hanging="433"/>
        <w:spacing w:after="0" w:line="235" w:lineRule="auto"/>
        <w:tabs>
          <w:tab w:leader="none" w:pos="60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 to reflect the issuance of 5,671,726 shares of Checkfree Common Stock at $20.00 per share in exchange for all shares of Servantis' common and preferred stock and the elimination of Servantis' stockholders' equity.</w:t>
      </w:r>
    </w:p>
    <w:p>
      <w:pPr>
        <w:spacing w:after="0" w:line="175" w:lineRule="exact"/>
        <w:rPr>
          <w:rFonts w:ascii="Courier New" w:cs="Courier New" w:eastAsia="Courier New" w:hAnsi="Courier New"/>
          <w:sz w:val="15"/>
          <w:szCs w:val="15"/>
          <w:color w:val="auto"/>
        </w:rPr>
      </w:pPr>
    </w:p>
    <w:p>
      <w:pPr>
        <w:ind w:left="600" w:right="3939" w:hanging="433"/>
        <w:spacing w:after="0" w:line="235" w:lineRule="auto"/>
        <w:tabs>
          <w:tab w:leader="none" w:pos="60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 to eliminate Servantis' historical intangible asset amortization expense and to reflect the amortization from the capitalized software and other intangibles.</w:t>
      </w:r>
    </w:p>
    <w:p>
      <w:pPr>
        <w:spacing w:after="0" w:line="173" w:lineRule="exact"/>
        <w:rPr>
          <w:rFonts w:ascii="Courier New" w:cs="Courier New" w:eastAsia="Courier New" w:hAnsi="Courier New"/>
          <w:sz w:val="15"/>
          <w:szCs w:val="15"/>
          <w:color w:val="auto"/>
        </w:rPr>
      </w:pPr>
    </w:p>
    <w:p>
      <w:pPr>
        <w:jc w:val="both"/>
        <w:ind w:left="600" w:right="3579" w:hanging="433"/>
        <w:spacing w:after="0" w:line="235" w:lineRule="auto"/>
        <w:tabs>
          <w:tab w:leader="none" w:pos="60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 to eliminate Servantis' interest expense to reflect the pay-off of long-term debt, and elimination of Servantis' preferred stock dividends.</w:t>
      </w:r>
    </w:p>
    <w:p>
      <w:pPr>
        <w:spacing w:after="0" w:line="173" w:lineRule="exact"/>
        <w:rPr>
          <w:rFonts w:ascii="Courier New" w:cs="Courier New" w:eastAsia="Courier New" w:hAnsi="Courier New"/>
          <w:sz w:val="15"/>
          <w:szCs w:val="15"/>
          <w:color w:val="auto"/>
        </w:rPr>
      </w:pPr>
    </w:p>
    <w:p>
      <w:pPr>
        <w:ind w:left="600" w:right="4019" w:hanging="433"/>
        <w:spacing w:after="0" w:line="234" w:lineRule="auto"/>
        <w:tabs>
          <w:tab w:leader="none" w:pos="60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 to reflect income tax effects of pre-tax pro forma adjustments at the statutory rate.</w:t>
      </w:r>
    </w:p>
    <w:p>
      <w:pPr>
        <w:spacing w:after="0" w:line="173" w:lineRule="exact"/>
        <w:rPr>
          <w:rFonts w:ascii="Courier New" w:cs="Courier New" w:eastAsia="Courier New" w:hAnsi="Courier New"/>
          <w:sz w:val="15"/>
          <w:szCs w:val="15"/>
          <w:color w:val="auto"/>
        </w:rPr>
      </w:pPr>
    </w:p>
    <w:p>
      <w:pPr>
        <w:ind w:left="600" w:right="3399" w:hanging="433"/>
        <w:spacing w:after="0" w:line="234" w:lineRule="auto"/>
        <w:tabs>
          <w:tab w:leader="none" w:pos="60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Adjusted to reflect the reduction in operating and deferred revenues for purchased profits.</w:t>
      </w:r>
    </w:p>
    <w:p>
      <w:pPr>
        <w:spacing w:after="0" w:line="200" w:lineRule="exact"/>
        <w:rPr>
          <w:sz w:val="20"/>
          <w:szCs w:val="20"/>
          <w:color w:val="auto"/>
        </w:rPr>
      </w:pPr>
    </w:p>
    <w:p>
      <w:pPr>
        <w:spacing w:after="0" w:line="303"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9959"/>
          </w:cols>
          <w:pgMar w:left="500" w:top="281" w:right="1440" w:bottom="1440" w:gutter="0" w:footer="0" w:header="0"/>
        </w:sectPr>
      </w:pPr>
    </w:p>
    <w:bookmarkStart w:id="6" w:name="page7"/>
    <w:bookmarkEnd w:id="6"/>
    <w:p>
      <w:pPr>
        <w:ind w:left="280"/>
        <w:spacing w:after="0"/>
        <w:rPr>
          <w:sz w:val="20"/>
          <w:szCs w:val="20"/>
          <w:color w:val="auto"/>
        </w:rPr>
      </w:pPr>
      <w:r>
        <w:rPr>
          <w:rFonts w:ascii="Courier New" w:cs="Courier New" w:eastAsia="Courier New" w:hAnsi="Courier New"/>
          <w:sz w:val="15"/>
          <w:szCs w:val="15"/>
          <w:color w:val="auto"/>
        </w:rPr>
        <w:t>7</w:t>
      </w:r>
    </w:p>
    <w:p>
      <w:pPr>
        <w:spacing w:after="0" w:line="200" w:lineRule="exact"/>
        <w:rPr>
          <w:sz w:val="20"/>
          <w:szCs w:val="20"/>
          <w:color w:val="auto"/>
        </w:rPr>
      </w:pPr>
    </w:p>
    <w:p>
      <w:pPr>
        <w:spacing w:after="0" w:line="309" w:lineRule="exact"/>
        <w:rPr>
          <w:sz w:val="20"/>
          <w:szCs w:val="20"/>
          <w:color w:val="auto"/>
        </w:rPr>
      </w:pPr>
    </w:p>
    <w:p>
      <w:pPr>
        <w:ind w:left="440" w:right="3759" w:hanging="430"/>
        <w:spacing w:after="0" w:line="254" w:lineRule="auto"/>
        <w:tabs>
          <w:tab w:leader="none" w:pos="44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Adjustments to reflect the change in net assets for the Acquisition based upon preliminary estimates of fair market value at December 31,</w:t>
      </w:r>
    </w:p>
    <w:p>
      <w:pPr>
        <w:ind w:left="44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1995 as follows:</w:t>
      </w:r>
    </w:p>
    <w:p>
      <w:pPr>
        <w:spacing w:after="0" w:line="200" w:lineRule="exact"/>
        <w:rPr>
          <w:sz w:val="20"/>
          <w:szCs w:val="20"/>
          <w:color w:val="auto"/>
        </w:rPr>
      </w:pPr>
    </w:p>
    <w:p>
      <w:pPr>
        <w:spacing w:after="0" w:line="303"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4900" w:type="dxa"/>
            <w:vAlign w:val="bottom"/>
          </w:tcPr>
          <w:p>
            <w:pPr>
              <w:ind w:left="1940"/>
              <w:spacing w:after="0"/>
              <w:rPr>
                <w:sz w:val="20"/>
                <w:szCs w:val="20"/>
                <w:color w:val="auto"/>
              </w:rPr>
            </w:pPr>
            <w:r>
              <w:rPr>
                <w:rFonts w:ascii="Courier New" w:cs="Courier New" w:eastAsia="Courier New" w:hAnsi="Courier New"/>
                <w:sz w:val="15"/>
                <w:szCs w:val="15"/>
                <w:color w:val="auto"/>
              </w:rPr>
              <w:t>(In thousands)</w:t>
            </w:r>
          </w:p>
        </w:tc>
        <w:tc>
          <w:tcPr>
            <w:tcW w:w="960" w:type="dxa"/>
            <w:vAlign w:val="bottom"/>
          </w:tcPr>
          <w:p>
            <w:pPr>
              <w:spacing w:after="0"/>
              <w:rPr>
                <w:sz w:val="14"/>
                <w:szCs w:val="14"/>
                <w:color w:val="auto"/>
              </w:rPr>
            </w:pPr>
          </w:p>
        </w:tc>
      </w:tr>
      <w:tr>
        <w:trPr>
          <w:trHeight w:val="505"/>
        </w:trPr>
        <w:tc>
          <w:tcPr>
            <w:tcW w:w="4900" w:type="dxa"/>
            <w:vAlign w:val="bottom"/>
          </w:tcPr>
          <w:p>
            <w:pPr>
              <w:spacing w:after="0"/>
              <w:rPr>
                <w:sz w:val="20"/>
                <w:szCs w:val="20"/>
                <w:color w:val="auto"/>
              </w:rPr>
            </w:pPr>
            <w:r>
              <w:rPr>
                <w:rFonts w:ascii="Courier New" w:cs="Courier New" w:eastAsia="Courier New" w:hAnsi="Courier New"/>
                <w:sz w:val="15"/>
                <w:szCs w:val="15"/>
                <w:color w:val="auto"/>
              </w:rPr>
              <w:t>Total purchase price</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$53,016</w:t>
            </w:r>
          </w:p>
        </w:tc>
      </w:tr>
      <w:tr>
        <w:trPr>
          <w:trHeight w:val="168"/>
        </w:trPr>
        <w:tc>
          <w:tcPr>
            <w:tcW w:w="4900" w:type="dxa"/>
            <w:vAlign w:val="bottom"/>
          </w:tcPr>
          <w:p>
            <w:pPr>
              <w:spacing w:after="0" w:line="168" w:lineRule="exact"/>
              <w:rPr>
                <w:sz w:val="20"/>
                <w:szCs w:val="20"/>
                <w:color w:val="auto"/>
              </w:rPr>
            </w:pPr>
            <w:r>
              <w:rPr>
                <w:rFonts w:ascii="Courier New" w:cs="Courier New" w:eastAsia="Courier New" w:hAnsi="Courier New"/>
                <w:sz w:val="15"/>
                <w:szCs w:val="15"/>
                <w:color w:val="auto"/>
              </w:rPr>
              <w:t>Allocation of purchase price</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9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Tangible net assets acquired at fair market value</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$ 4,347</w:t>
            </w:r>
          </w:p>
        </w:tc>
      </w:tr>
      <w:tr>
        <w:trPr>
          <w:trHeight w:val="168"/>
        </w:trPr>
        <w:tc>
          <w:tcPr>
            <w:tcW w:w="4900" w:type="dxa"/>
            <w:vAlign w:val="bottom"/>
          </w:tcPr>
          <w:p>
            <w:pPr>
              <w:spacing w:after="0" w:line="168" w:lineRule="exact"/>
              <w:rPr>
                <w:sz w:val="20"/>
                <w:szCs w:val="20"/>
                <w:color w:val="auto"/>
              </w:rPr>
            </w:pPr>
            <w:r>
              <w:rPr>
                <w:rFonts w:ascii="Courier New" w:cs="Courier New" w:eastAsia="Courier New" w:hAnsi="Courier New"/>
                <w:sz w:val="15"/>
                <w:szCs w:val="15"/>
                <w:color w:val="auto"/>
              </w:rPr>
              <w:t>Adjustments to reflect fair value of assets acquired</w:t>
            </w:r>
          </w:p>
        </w:tc>
        <w:tc>
          <w:tcPr>
            <w:tcW w:w="960" w:type="dxa"/>
            <w:vAlign w:val="bottom"/>
          </w:tcPr>
          <w:p>
            <w:pPr>
              <w:spacing w:after="0"/>
              <w:rPr>
                <w:sz w:val="14"/>
                <w:szCs w:val="14"/>
                <w:color w:val="auto"/>
              </w:rPr>
            </w:pPr>
          </w:p>
        </w:tc>
      </w:tr>
      <w:tr>
        <w:trPr>
          <w:trHeight w:val="168"/>
        </w:trPr>
        <w:tc>
          <w:tcPr>
            <w:tcW w:w="49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In-process R&amp;D</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28,800</w:t>
            </w:r>
          </w:p>
        </w:tc>
      </w:tr>
      <w:tr>
        <w:trPr>
          <w:trHeight w:val="168"/>
        </w:trPr>
        <w:tc>
          <w:tcPr>
            <w:tcW w:w="49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Capitalized Software (6 year life)</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6,800</w:t>
            </w:r>
          </w:p>
        </w:tc>
      </w:tr>
      <w:tr>
        <w:trPr>
          <w:trHeight w:val="168"/>
        </w:trPr>
        <w:tc>
          <w:tcPr>
            <w:tcW w:w="49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Other intangibles (6 to 8-year lives)</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13,069</w:t>
            </w:r>
          </w:p>
        </w:tc>
      </w:tr>
      <w:tr>
        <w:trPr>
          <w:trHeight w:val="168"/>
        </w:trPr>
        <w:tc>
          <w:tcPr>
            <w:tcW w:w="490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90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48,669</w:t>
            </w:r>
          </w:p>
        </w:tc>
      </w:tr>
      <w:tr>
        <w:trPr>
          <w:trHeight w:val="168"/>
        </w:trPr>
        <w:tc>
          <w:tcPr>
            <w:tcW w:w="490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90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Total</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$53,016</w:t>
            </w:r>
          </w:p>
        </w:tc>
      </w:tr>
      <w:tr>
        <w:trPr>
          <w:trHeight w:val="168"/>
        </w:trPr>
        <w:tc>
          <w:tcPr>
            <w:tcW w:w="490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left="880" w:right="3499" w:hanging="433"/>
        <w:spacing w:after="0" w:line="235" w:lineRule="auto"/>
        <w:tabs>
          <w:tab w:leader="none" w:pos="88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 to reflect the issuance of 2,822,325 shares of Checkfree Common Stock at $18.50 per share in exchange for all shares of Security's common stock and the elimination of Security 's stockholders' equity.</w:t>
      </w:r>
    </w:p>
    <w:p>
      <w:pPr>
        <w:spacing w:after="0" w:line="175" w:lineRule="exact"/>
        <w:rPr>
          <w:rFonts w:ascii="Courier New" w:cs="Courier New" w:eastAsia="Courier New" w:hAnsi="Courier New"/>
          <w:sz w:val="15"/>
          <w:szCs w:val="15"/>
          <w:color w:val="auto"/>
        </w:rPr>
      </w:pPr>
    </w:p>
    <w:p>
      <w:pPr>
        <w:ind w:left="880" w:right="3939" w:hanging="433"/>
        <w:spacing w:after="0" w:line="235" w:lineRule="auto"/>
        <w:tabs>
          <w:tab w:leader="none" w:pos="88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 to eliminate Security's historical intangible asset amortization expense and to reflect the amortization from the capitalized software and other intangibles.</w:t>
      </w:r>
    </w:p>
    <w:p>
      <w:pPr>
        <w:spacing w:after="0" w:line="173" w:lineRule="exact"/>
        <w:rPr>
          <w:rFonts w:ascii="Courier New" w:cs="Courier New" w:eastAsia="Courier New" w:hAnsi="Courier New"/>
          <w:sz w:val="15"/>
          <w:szCs w:val="15"/>
          <w:color w:val="auto"/>
        </w:rPr>
      </w:pPr>
    </w:p>
    <w:p>
      <w:pPr>
        <w:ind w:left="880" w:right="3399" w:hanging="433"/>
        <w:spacing w:after="0" w:line="235" w:lineRule="auto"/>
        <w:tabs>
          <w:tab w:leader="none" w:pos="88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 to reflect income tax effects of pre-tax pro forma adjustments at the statutory rate and the impact of Federal taxes on Security's historical amounts. Prior to the Acquisition Security was an S corporation.</w:t>
      </w:r>
    </w:p>
    <w:p>
      <w:pPr>
        <w:spacing w:after="0" w:line="33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Notes to Unaudited Pro Forma Condensed Combining Financial Statements</w:t>
      </w:r>
    </w:p>
    <w:p>
      <w:pPr>
        <w:spacing w:after="0" w:line="173" w:lineRule="exact"/>
        <w:rPr>
          <w:sz w:val="20"/>
          <w:szCs w:val="20"/>
          <w:color w:val="auto"/>
        </w:rPr>
      </w:pPr>
    </w:p>
    <w:p>
      <w:pPr>
        <w:ind w:right="3319" w:firstLine="875"/>
        <w:spacing w:after="0" w:line="236" w:lineRule="auto"/>
        <w:rPr>
          <w:sz w:val="20"/>
          <w:szCs w:val="20"/>
          <w:color w:val="auto"/>
        </w:rPr>
      </w:pPr>
      <w:r>
        <w:rPr>
          <w:rFonts w:ascii="Courier New" w:cs="Courier New" w:eastAsia="Courier New" w:hAnsi="Courier New"/>
          <w:sz w:val="15"/>
          <w:szCs w:val="15"/>
          <w:color w:val="auto"/>
        </w:rPr>
        <w:t>Note A: The unaudited pro forma condensed combining balance sheet of Checkfree, Security, and Servantis has been prepared as if the Acquisition and the Servantis Acquisition were completed as of December 31, 1995 and both were accounted for as purchases. The total purchase price of $165.1 million was allocated to Servantis' December 31, 1995 balance sheet; and the total purchase price of $53.0 million was allocated to Security's December 31, 1995 balance sheet. Actual balance sheets of Checkfree, Security, and Servantis will be combined as of the effective dates of the Acquisition and the Servantis Acquisition.</w:t>
      </w:r>
    </w:p>
    <w:p>
      <w:pPr>
        <w:spacing w:after="0" w:line="178" w:lineRule="exact"/>
        <w:rPr>
          <w:sz w:val="20"/>
          <w:szCs w:val="20"/>
          <w:color w:val="auto"/>
        </w:rPr>
      </w:pPr>
    </w:p>
    <w:p>
      <w:pPr>
        <w:ind w:right="3239" w:firstLine="875"/>
        <w:spacing w:after="0" w:line="236" w:lineRule="auto"/>
        <w:rPr>
          <w:sz w:val="20"/>
          <w:szCs w:val="20"/>
          <w:color w:val="auto"/>
        </w:rPr>
      </w:pPr>
      <w:r>
        <w:rPr>
          <w:rFonts w:ascii="Courier New" w:cs="Courier New" w:eastAsia="Courier New" w:hAnsi="Courier New"/>
          <w:sz w:val="15"/>
          <w:szCs w:val="15"/>
          <w:color w:val="auto"/>
        </w:rPr>
        <w:t>The allocation of the Servantis and Security purchase prices among the identifiable tangible and intangible assets included herein is based on an independent appraisal of the fair market value of those assets. Purchased research and development was identified and valued through interviews and analysis of data concerning each Servantis and Security developmental project. Expected future cash flows of each developmental project were discounted to present value taking into account risks</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281" w:right="1440" w:bottom="1440" w:gutter="0" w:footer="0" w:header="0"/>
        </w:sectPr>
      </w:pPr>
    </w:p>
    <w:bookmarkStart w:id="7" w:name="page8"/>
    <w:bookmarkEnd w:id="7"/>
    <w:p>
      <w:pPr>
        <w:ind w:left="280"/>
        <w:spacing w:after="0"/>
        <w:rPr>
          <w:sz w:val="20"/>
          <w:szCs w:val="20"/>
          <w:color w:val="auto"/>
        </w:rPr>
      </w:pPr>
      <w:r>
        <w:rPr>
          <w:rFonts w:ascii="Courier New" w:cs="Courier New" w:eastAsia="Courier New" w:hAnsi="Courier New"/>
          <w:sz w:val="15"/>
          <w:szCs w:val="15"/>
          <w:color w:val="auto"/>
        </w:rPr>
        <w:t>8</w:t>
      </w:r>
    </w:p>
    <w:p>
      <w:pPr>
        <w:spacing w:after="0" w:line="200" w:lineRule="exact"/>
        <w:rPr>
          <w:sz w:val="20"/>
          <w:szCs w:val="20"/>
          <w:color w:val="auto"/>
        </w:rPr>
      </w:pPr>
    </w:p>
    <w:p>
      <w:pPr>
        <w:spacing w:after="0" w:line="309"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associated with the inherent difficulties and uncertainties in completing the project, and thereby achieving technological feasibility, and risks related to the viability of and potential changes in future target markets. The above analysis and valuation resulted in a value of $90.6 million for purchased research and development for Servantis and $28.8 million purchased research and development for Security, which have not yet reached technological feasibility and do not have alternative future uses. Therefore, in accordance with generally accepted accounting principles, these amounts were written off in the quarter ended March 31, 1996 for Servantis and the quarter ended June 30, 1996 for Security.</w:t>
      </w:r>
    </w:p>
    <w:p>
      <w:pPr>
        <w:spacing w:after="0" w:line="179" w:lineRule="exact"/>
        <w:rPr>
          <w:sz w:val="20"/>
          <w:szCs w:val="20"/>
          <w:color w:val="auto"/>
        </w:rPr>
      </w:pPr>
    </w:p>
    <w:p>
      <w:pPr>
        <w:ind w:right="3239" w:firstLine="875"/>
        <w:spacing w:after="0" w:line="237" w:lineRule="auto"/>
        <w:rPr>
          <w:sz w:val="20"/>
          <w:szCs w:val="20"/>
          <w:color w:val="auto"/>
        </w:rPr>
      </w:pPr>
      <w:r>
        <w:rPr>
          <w:rFonts w:ascii="Courier New" w:cs="Courier New" w:eastAsia="Courier New" w:hAnsi="Courier New"/>
          <w:sz w:val="15"/>
          <w:szCs w:val="15"/>
          <w:color w:val="auto"/>
        </w:rPr>
        <w:t>Using the same methodology, purchased software was identified and valued. Expected future cash flows associated with purchased software product were discounted to present value taking into account risks related to the characteristics and applications of each associated product, existing and future markets, and assessments of the life cycle stage of each product. This analysis resulted in an additional $31.4 million of purchased software for Servantis and $6.8 million of purchased software for Security, which had reached technological feasibility and therefore was capitalized. The amount of purchase price allocated to purchased software was smaller than that allocated to purchased research and development due to the shorter life and lower cash flows remaining for the purchased software as compared to the projects currently under development.</w:t>
      </w:r>
    </w:p>
    <w:p>
      <w:pPr>
        <w:spacing w:after="0" w:line="173" w:lineRule="exact"/>
        <w:rPr>
          <w:sz w:val="20"/>
          <w:szCs w:val="20"/>
          <w:color w:val="auto"/>
        </w:rPr>
      </w:pPr>
    </w:p>
    <w:p>
      <w:pPr>
        <w:ind w:right="3319" w:firstLine="875"/>
        <w:spacing w:after="0" w:line="235" w:lineRule="auto"/>
        <w:rPr>
          <w:sz w:val="20"/>
          <w:szCs w:val="20"/>
          <w:color w:val="auto"/>
        </w:rPr>
      </w:pPr>
      <w:r>
        <w:rPr>
          <w:rFonts w:ascii="Courier New" w:cs="Courier New" w:eastAsia="Courier New" w:hAnsi="Courier New"/>
          <w:sz w:val="15"/>
          <w:szCs w:val="15"/>
          <w:color w:val="auto"/>
        </w:rPr>
        <w:t>Note B: In the pro forma condensed combining statement of operations, the Checkfree and Security statements of operations for the fiscal year ended December 31, 1995 have been combined with the Servantis statement of operations for the twelve months ended December 31, 1995.</w:t>
      </w:r>
    </w:p>
    <w:p>
      <w:pPr>
        <w:spacing w:after="0" w:line="175" w:lineRule="exact"/>
        <w:rPr>
          <w:sz w:val="20"/>
          <w:szCs w:val="20"/>
          <w:color w:val="auto"/>
        </w:rPr>
      </w:pPr>
    </w:p>
    <w:p>
      <w:pPr>
        <w:ind w:right="3239" w:firstLine="875"/>
        <w:spacing w:after="0" w:line="256" w:lineRule="auto"/>
        <w:rPr>
          <w:sz w:val="20"/>
          <w:szCs w:val="20"/>
          <w:color w:val="auto"/>
        </w:rPr>
      </w:pPr>
      <w:r>
        <w:rPr>
          <w:rFonts w:ascii="Courier New" w:cs="Courier New" w:eastAsia="Courier New" w:hAnsi="Courier New"/>
          <w:sz w:val="14"/>
          <w:szCs w:val="14"/>
          <w:color w:val="auto"/>
        </w:rPr>
        <w:t>Note C: The unaudited pro forma combined net loss per share is based on the weighted average number of shares of Checkfree Common Stock outstanding during the period, adjusted to give effect to shares assumed to be issued had the Acquisition and the Servantis Acquisition taken place as of January 1, 1995.</w:t>
      </w:r>
    </w:p>
    <w:p>
      <w:pPr>
        <w:spacing w:after="0" w:line="164" w:lineRule="exact"/>
        <w:rPr>
          <w:sz w:val="20"/>
          <w:szCs w:val="20"/>
          <w:color w:val="auto"/>
        </w:rPr>
      </w:pPr>
    </w:p>
    <w:p>
      <w:pPr>
        <w:ind w:right="3319" w:firstLine="875"/>
        <w:spacing w:after="0" w:line="255" w:lineRule="auto"/>
        <w:rPr>
          <w:sz w:val="20"/>
          <w:szCs w:val="20"/>
          <w:color w:val="auto"/>
        </w:rPr>
      </w:pPr>
      <w:r>
        <w:rPr>
          <w:rFonts w:ascii="Courier New" w:cs="Courier New" w:eastAsia="Courier New" w:hAnsi="Courier New"/>
          <w:sz w:val="14"/>
          <w:szCs w:val="14"/>
          <w:color w:val="auto"/>
        </w:rPr>
        <w:t>Note D: The unaudited pro forma condensed combining statement of operations does not include the value of the $28.8 million and $90.6 million write-offs (no income tax effect) of purchased research and development arising from the Acquisition and the Servantis Acquisition, respectively, as they are material nonrecurring charges. Likewise, an extraordinary loss of $365,000 (net of income tax benefit of $205,000) arising from the extinguishment of certain Servantis debt as part of the Servantis Acquisition has not been reflected in the unaudited pro forma condensed combining statement of operations.</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281"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5"/>
          <w:szCs w:val="15"/>
          <w:color w:val="auto"/>
        </w:rPr>
        <w:t>9</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860" w:hanging="780"/>
        <w:spacing w:after="0"/>
        <w:tabs>
          <w:tab w:leader="none" w:pos="86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w:t>
      </w:r>
    </w:p>
    <w:p>
      <w:pPr>
        <w:spacing w:after="0" w:line="166" w:lineRule="exact"/>
        <w:rPr>
          <w:sz w:val="20"/>
          <w:szCs w:val="20"/>
          <w:color w:val="auto"/>
        </w:rPr>
      </w:pPr>
    </w:p>
    <w:tbl>
      <w:tblPr>
        <w:tblLayout w:type="fixed"/>
        <w:tblInd w:w="420" w:type="dxa"/>
        <w:tblCellMar>
          <w:top w:w="0" w:type="dxa"/>
          <w:left w:w="0" w:type="dxa"/>
          <w:bottom w:w="0" w:type="dxa"/>
          <w:right w:w="0" w:type="dxa"/>
        </w:tblCellMar>
      </w:tblPr>
      <w:tr>
        <w:trPr>
          <w:trHeight w:val="170"/>
        </w:trPr>
        <w:tc>
          <w:tcPr>
            <w:tcW w:w="1240" w:type="dxa"/>
            <w:vAlign w:val="bottom"/>
          </w:tcPr>
          <w:p>
            <w:pPr>
              <w:spacing w:after="0"/>
              <w:rPr>
                <w:sz w:val="20"/>
                <w:szCs w:val="20"/>
                <w:color w:val="auto"/>
              </w:rPr>
            </w:pPr>
            <w:r>
              <w:rPr>
                <w:rFonts w:ascii="Courier New" w:cs="Courier New" w:eastAsia="Courier New" w:hAnsi="Courier New"/>
                <w:sz w:val="15"/>
                <w:szCs w:val="15"/>
                <w:color w:val="auto"/>
              </w:rPr>
              <w:t>Exhibit No.</w:t>
            </w:r>
          </w:p>
        </w:tc>
        <w:tc>
          <w:tcPr>
            <w:tcW w:w="3980" w:type="dxa"/>
            <w:vAlign w:val="bottom"/>
          </w:tcPr>
          <w:p>
            <w:pPr>
              <w:ind w:left="1660"/>
              <w:spacing w:after="0"/>
              <w:rPr>
                <w:sz w:val="20"/>
                <w:szCs w:val="20"/>
                <w:color w:val="auto"/>
              </w:rPr>
            </w:pPr>
            <w:r>
              <w:rPr>
                <w:rFonts w:ascii="Courier New" w:cs="Courier New" w:eastAsia="Courier New" w:hAnsi="Courier New"/>
                <w:sz w:val="15"/>
                <w:szCs w:val="15"/>
                <w:color w:val="auto"/>
              </w:rPr>
              <w:t>Description</w:t>
            </w:r>
          </w:p>
        </w:tc>
        <w:tc>
          <w:tcPr>
            <w:tcW w:w="480" w:type="dxa"/>
            <w:vAlign w:val="bottom"/>
          </w:tcPr>
          <w:p>
            <w:pPr>
              <w:spacing w:after="0"/>
              <w:rPr>
                <w:sz w:val="14"/>
                <w:szCs w:val="14"/>
                <w:color w:val="auto"/>
              </w:rPr>
            </w:pPr>
          </w:p>
        </w:tc>
      </w:tr>
      <w:tr>
        <w:trPr>
          <w:trHeight w:val="673"/>
        </w:trPr>
        <w:tc>
          <w:tcPr>
            <w:tcW w:w="1240" w:type="dxa"/>
            <w:vAlign w:val="bottom"/>
          </w:tcPr>
          <w:p>
            <w:pPr>
              <w:ind w:left="180"/>
              <w:spacing w:after="0"/>
              <w:rPr>
                <w:sz w:val="20"/>
                <w:szCs w:val="20"/>
                <w:color w:val="auto"/>
              </w:rPr>
            </w:pPr>
            <w:r>
              <w:rPr>
                <w:rFonts w:ascii="Courier New" w:cs="Courier New" w:eastAsia="Courier New" w:hAnsi="Courier New"/>
                <w:sz w:val="15"/>
                <w:szCs w:val="15"/>
                <w:color w:val="auto"/>
              </w:rPr>
              <w:t>2(a)</w:t>
            </w:r>
          </w:p>
        </w:tc>
        <w:tc>
          <w:tcPr>
            <w:tcW w:w="4460" w:type="dxa"/>
            <w:vAlign w:val="bottom"/>
            <w:gridSpan w:val="2"/>
          </w:tcPr>
          <w:p>
            <w:pPr>
              <w:ind w:left="260"/>
              <w:spacing w:after="0"/>
              <w:rPr>
                <w:sz w:val="20"/>
                <w:szCs w:val="20"/>
                <w:color w:val="auto"/>
              </w:rPr>
            </w:pPr>
            <w:r>
              <w:rPr>
                <w:rFonts w:ascii="Courier New" w:cs="Courier New" w:eastAsia="Courier New" w:hAnsi="Courier New"/>
                <w:sz w:val="15"/>
                <w:szCs w:val="15"/>
                <w:color w:val="auto"/>
                <w:w w:val="98"/>
              </w:rPr>
              <w:t>Agreement and Plan of Merger, dated as of March</w:t>
            </w:r>
          </w:p>
        </w:tc>
      </w:tr>
      <w:tr>
        <w:trPr>
          <w:trHeight w:val="168"/>
        </w:trPr>
        <w:tc>
          <w:tcPr>
            <w:tcW w:w="1240" w:type="dxa"/>
            <w:vAlign w:val="bottom"/>
          </w:tcPr>
          <w:p>
            <w:pPr>
              <w:spacing w:after="0"/>
              <w:rPr>
                <w:sz w:val="14"/>
                <w:szCs w:val="14"/>
                <w:color w:val="auto"/>
              </w:rPr>
            </w:pPr>
          </w:p>
        </w:tc>
        <w:tc>
          <w:tcPr>
            <w:tcW w:w="39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7"/>
              </w:rPr>
              <w:t>21, 1996, among Checkfree Corporation, ISC</w:t>
            </w:r>
          </w:p>
        </w:tc>
        <w:tc>
          <w:tcPr>
            <w:tcW w:w="480" w:type="dxa"/>
            <w:vAlign w:val="bottom"/>
          </w:tcPr>
          <w:p>
            <w:pPr>
              <w:spacing w:after="0"/>
              <w:rPr>
                <w:sz w:val="14"/>
                <w:szCs w:val="14"/>
                <w:color w:val="auto"/>
              </w:rPr>
            </w:pPr>
          </w:p>
        </w:tc>
      </w:tr>
      <w:tr>
        <w:trPr>
          <w:trHeight w:val="168"/>
        </w:trPr>
        <w:tc>
          <w:tcPr>
            <w:tcW w:w="1240" w:type="dxa"/>
            <w:vAlign w:val="bottom"/>
          </w:tcPr>
          <w:p>
            <w:pPr>
              <w:spacing w:after="0"/>
              <w:rPr>
                <w:sz w:val="14"/>
                <w:szCs w:val="14"/>
                <w:color w:val="auto"/>
              </w:rPr>
            </w:pPr>
          </w:p>
        </w:tc>
        <w:tc>
          <w:tcPr>
            <w:tcW w:w="39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7"/>
              </w:rPr>
              <w:t>Acquisition Corporation, and Security APL,</w:t>
            </w:r>
          </w:p>
        </w:tc>
        <w:tc>
          <w:tcPr>
            <w:tcW w:w="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Inc.</w:t>
            </w:r>
          </w:p>
        </w:tc>
      </w:tr>
      <w:tr>
        <w:trPr>
          <w:trHeight w:val="168"/>
        </w:trPr>
        <w:tc>
          <w:tcPr>
            <w:tcW w:w="1240" w:type="dxa"/>
            <w:vAlign w:val="bottom"/>
          </w:tcPr>
          <w:p>
            <w:pPr>
              <w:spacing w:after="0"/>
              <w:rPr>
                <w:sz w:val="14"/>
                <w:szCs w:val="14"/>
                <w:color w:val="auto"/>
              </w:rPr>
            </w:pPr>
          </w:p>
        </w:tc>
        <w:tc>
          <w:tcPr>
            <w:tcW w:w="446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(Reference is made to Exhibit 2 to the Current</w:t>
            </w:r>
          </w:p>
        </w:tc>
      </w:tr>
      <w:tr>
        <w:trPr>
          <w:trHeight w:val="168"/>
        </w:trPr>
        <w:tc>
          <w:tcPr>
            <w:tcW w:w="1240" w:type="dxa"/>
            <w:vAlign w:val="bottom"/>
          </w:tcPr>
          <w:p>
            <w:pPr>
              <w:spacing w:after="0"/>
              <w:rPr>
                <w:sz w:val="14"/>
                <w:szCs w:val="14"/>
                <w:color w:val="auto"/>
              </w:rPr>
            </w:pPr>
          </w:p>
        </w:tc>
        <w:tc>
          <w:tcPr>
            <w:tcW w:w="39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7"/>
              </w:rPr>
              <w:t>Report on Form 8- K, dated March 21, 1996,</w:t>
            </w:r>
          </w:p>
        </w:tc>
        <w:tc>
          <w:tcPr>
            <w:tcW w:w="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3"/>
              </w:rPr>
              <w:t>filed</w:t>
            </w:r>
          </w:p>
        </w:tc>
      </w:tr>
      <w:tr>
        <w:trPr>
          <w:trHeight w:val="168"/>
        </w:trPr>
        <w:tc>
          <w:tcPr>
            <w:tcW w:w="1240" w:type="dxa"/>
            <w:vAlign w:val="bottom"/>
          </w:tcPr>
          <w:p>
            <w:pPr>
              <w:spacing w:after="0"/>
              <w:rPr>
                <w:sz w:val="14"/>
                <w:szCs w:val="14"/>
                <w:color w:val="auto"/>
              </w:rPr>
            </w:pPr>
          </w:p>
        </w:tc>
        <w:tc>
          <w:tcPr>
            <w:tcW w:w="446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with the Securities and Exchange Commission on</w:t>
            </w:r>
          </w:p>
        </w:tc>
      </w:tr>
      <w:tr>
        <w:trPr>
          <w:trHeight w:val="168"/>
        </w:trPr>
        <w:tc>
          <w:tcPr>
            <w:tcW w:w="1240" w:type="dxa"/>
            <w:vAlign w:val="bottom"/>
          </w:tcPr>
          <w:p>
            <w:pPr>
              <w:spacing w:after="0"/>
              <w:rPr>
                <w:sz w:val="14"/>
                <w:szCs w:val="14"/>
                <w:color w:val="auto"/>
              </w:rPr>
            </w:pPr>
          </w:p>
        </w:tc>
        <w:tc>
          <w:tcPr>
            <w:tcW w:w="39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7"/>
              </w:rPr>
              <w:t>March 29, 1996, and incorporated herein by</w:t>
            </w:r>
          </w:p>
        </w:tc>
        <w:tc>
          <w:tcPr>
            <w:tcW w:w="480" w:type="dxa"/>
            <w:vAlign w:val="bottom"/>
          </w:tcPr>
          <w:p>
            <w:pPr>
              <w:spacing w:after="0"/>
              <w:rPr>
                <w:sz w:val="14"/>
                <w:szCs w:val="14"/>
                <w:color w:val="auto"/>
              </w:rPr>
            </w:pPr>
          </w:p>
        </w:tc>
      </w:tr>
      <w:tr>
        <w:trPr>
          <w:trHeight w:val="168"/>
        </w:trPr>
        <w:tc>
          <w:tcPr>
            <w:tcW w:w="1240" w:type="dxa"/>
            <w:vAlign w:val="bottom"/>
          </w:tcPr>
          <w:p>
            <w:pPr>
              <w:spacing w:after="0"/>
              <w:rPr>
                <w:sz w:val="14"/>
                <w:szCs w:val="14"/>
                <w:color w:val="auto"/>
              </w:rPr>
            </w:pPr>
          </w:p>
        </w:tc>
        <w:tc>
          <w:tcPr>
            <w:tcW w:w="39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reference.)</w:t>
            </w:r>
          </w:p>
        </w:tc>
        <w:tc>
          <w:tcPr>
            <w:tcW w:w="480" w:type="dxa"/>
            <w:vAlign w:val="bottom"/>
          </w:tcPr>
          <w:p>
            <w:pPr>
              <w:spacing w:after="0"/>
              <w:rPr>
                <w:sz w:val="14"/>
                <w:szCs w:val="14"/>
                <w:color w:val="auto"/>
              </w:rPr>
            </w:pPr>
          </w:p>
        </w:tc>
      </w:tr>
      <w:tr>
        <w:trPr>
          <w:trHeight w:val="336"/>
        </w:trPr>
        <w:tc>
          <w:tcPr>
            <w:tcW w:w="1240" w:type="dxa"/>
            <w:vAlign w:val="bottom"/>
          </w:tcPr>
          <w:p>
            <w:pPr>
              <w:ind w:left="180"/>
              <w:spacing w:after="0"/>
              <w:rPr>
                <w:sz w:val="20"/>
                <w:szCs w:val="20"/>
                <w:color w:val="auto"/>
              </w:rPr>
            </w:pPr>
            <w:r>
              <w:rPr>
                <w:rFonts w:ascii="Courier New" w:cs="Courier New" w:eastAsia="Courier New" w:hAnsi="Courier New"/>
                <w:sz w:val="15"/>
                <w:szCs w:val="15"/>
                <w:color w:val="auto"/>
              </w:rPr>
              <w:t>2(b)</w:t>
            </w:r>
          </w:p>
        </w:tc>
        <w:tc>
          <w:tcPr>
            <w:tcW w:w="3980" w:type="dxa"/>
            <w:vAlign w:val="bottom"/>
          </w:tcPr>
          <w:p>
            <w:pPr>
              <w:ind w:left="260"/>
              <w:spacing w:after="0"/>
              <w:rPr>
                <w:sz w:val="20"/>
                <w:szCs w:val="20"/>
                <w:color w:val="auto"/>
              </w:rPr>
            </w:pPr>
            <w:r>
              <w:rPr>
                <w:rFonts w:ascii="Courier New" w:cs="Courier New" w:eastAsia="Courier New" w:hAnsi="Courier New"/>
                <w:sz w:val="15"/>
                <w:szCs w:val="15"/>
                <w:color w:val="auto"/>
                <w:w w:val="97"/>
              </w:rPr>
              <w:t>Amendment to Agreement and Plan of merger,</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w w:val="93"/>
              </w:rPr>
              <w:t>dated</w:t>
            </w:r>
          </w:p>
        </w:tc>
      </w:tr>
      <w:tr>
        <w:trPr>
          <w:trHeight w:val="168"/>
        </w:trPr>
        <w:tc>
          <w:tcPr>
            <w:tcW w:w="1240" w:type="dxa"/>
            <w:vAlign w:val="bottom"/>
          </w:tcPr>
          <w:p>
            <w:pPr>
              <w:spacing w:after="0"/>
              <w:rPr>
                <w:sz w:val="14"/>
                <w:szCs w:val="14"/>
                <w:color w:val="auto"/>
              </w:rPr>
            </w:pPr>
          </w:p>
        </w:tc>
        <w:tc>
          <w:tcPr>
            <w:tcW w:w="39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as of April 30, 1996, among Checkfree</w:t>
            </w:r>
          </w:p>
        </w:tc>
        <w:tc>
          <w:tcPr>
            <w:tcW w:w="480" w:type="dxa"/>
            <w:vAlign w:val="bottom"/>
          </w:tcPr>
          <w:p>
            <w:pPr>
              <w:spacing w:after="0"/>
              <w:rPr>
                <w:sz w:val="14"/>
                <w:szCs w:val="14"/>
                <w:color w:val="auto"/>
              </w:rPr>
            </w:pPr>
          </w:p>
        </w:tc>
      </w:tr>
      <w:tr>
        <w:trPr>
          <w:trHeight w:val="168"/>
        </w:trPr>
        <w:tc>
          <w:tcPr>
            <w:tcW w:w="1240" w:type="dxa"/>
            <w:vAlign w:val="bottom"/>
          </w:tcPr>
          <w:p>
            <w:pPr>
              <w:spacing w:after="0"/>
              <w:rPr>
                <w:sz w:val="14"/>
                <w:szCs w:val="14"/>
                <w:color w:val="auto"/>
              </w:rPr>
            </w:pPr>
          </w:p>
        </w:tc>
        <w:tc>
          <w:tcPr>
            <w:tcW w:w="446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Corporation, ISC Acquisition Corporation, and</w:t>
            </w:r>
          </w:p>
        </w:tc>
      </w:tr>
    </w:tbl>
    <w:p>
      <w:pPr>
        <w:spacing w:after="0" w:line="5"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Security APL, Inc. (Reference is made to Exhibit</w:t>
      </w:r>
    </w:p>
    <w:p>
      <w:pPr>
        <w:spacing w:after="0" w:line="10"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2(c) to the Quarterly Report on Form 10-Q for the</w:t>
      </w:r>
    </w:p>
    <w:p>
      <w:pPr>
        <w:spacing w:after="0" w:line="3"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quarter ended March 31, 1996, and incorporated</w:t>
      </w:r>
    </w:p>
    <w:p>
      <w:pPr>
        <w:ind w:left="1920"/>
        <w:spacing w:after="0" w:line="237" w:lineRule="auto"/>
        <w:rPr>
          <w:sz w:val="20"/>
          <w:szCs w:val="20"/>
          <w:color w:val="auto"/>
        </w:rPr>
      </w:pPr>
      <w:r>
        <w:rPr>
          <w:rFonts w:ascii="Courier New" w:cs="Courier New" w:eastAsia="Courier New" w:hAnsi="Courier New"/>
          <w:sz w:val="15"/>
          <w:szCs w:val="15"/>
          <w:color w:val="auto"/>
        </w:rPr>
        <w:t>herein by reference.)</w:t>
      </w:r>
    </w:p>
    <w:p>
      <w:pPr>
        <w:spacing w:after="0" w:line="173" w:lineRule="exact"/>
        <w:rPr>
          <w:sz w:val="20"/>
          <w:szCs w:val="20"/>
          <w:color w:val="auto"/>
        </w:rPr>
      </w:pPr>
    </w:p>
    <w:p>
      <w:pPr>
        <w:ind w:left="1920" w:right="3839" w:hanging="1228"/>
        <w:spacing w:after="0" w:line="236" w:lineRule="auto"/>
        <w:tabs>
          <w:tab w:leader="none" w:pos="192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Consent of Ernst &amp; Young, LLP (Reference is made to Exhibit 23 to the Current Report on Form 8-K, dated May 9, 1996, filed with the Securities and Exchange Commission on May 20, 1996, and incorporated herein by reference.)</w:t>
      </w:r>
    </w:p>
    <w:p>
      <w:pPr>
        <w:spacing w:after="0" w:line="174" w:lineRule="exact"/>
        <w:rPr>
          <w:sz w:val="20"/>
          <w:szCs w:val="20"/>
          <w:color w:val="auto"/>
        </w:rPr>
      </w:pPr>
    </w:p>
    <w:p>
      <w:pPr>
        <w:ind w:left="1920" w:right="3759" w:hanging="1228"/>
        <w:spacing w:after="0" w:line="236" w:lineRule="auto"/>
        <w:tabs>
          <w:tab w:leader="none" w:pos="19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Press Release (Reference is made to Exhibit 99 to the Current Report on Form 8-K, dated May 9, 1996, and filed with the Securities and Exchange Commission on May 20, 1996, and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9959"/>
          </w:cols>
          <w:pgMar w:left="500" w:top="281" w:right="1440" w:bottom="1440" w:gutter="0" w:footer="0" w:header="0"/>
        </w:sectPr>
      </w:pPr>
    </w:p>
    <w:bookmarkStart w:id="9" w:name="page10"/>
    <w:bookmarkEnd w:id="9"/>
    <w:p>
      <w:pPr>
        <w:ind w:left="280"/>
        <w:spacing w:after="0"/>
        <w:rPr>
          <w:sz w:val="20"/>
          <w:szCs w:val="20"/>
          <w:color w:val="auto"/>
        </w:rPr>
      </w:pPr>
      <w:r>
        <w:rPr>
          <w:rFonts w:ascii="Courier New" w:cs="Courier New" w:eastAsia="Courier New" w:hAnsi="Courier New"/>
          <w:sz w:val="15"/>
          <w:szCs w:val="15"/>
          <w:color w:val="auto"/>
        </w:rPr>
        <w:t>10</w:t>
      </w:r>
    </w:p>
    <w:p>
      <w:pPr>
        <w:spacing w:after="0" w:line="200" w:lineRule="exact"/>
        <w:rPr>
          <w:sz w:val="20"/>
          <w:szCs w:val="20"/>
          <w:color w:val="auto"/>
        </w:rPr>
      </w:pPr>
    </w:p>
    <w:p>
      <w:pPr>
        <w:spacing w:after="0" w:line="303"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SIGNATURES</w:t>
      </w:r>
    </w:p>
    <w:p>
      <w:pPr>
        <w:spacing w:after="0" w:line="173" w:lineRule="exact"/>
        <w:rPr>
          <w:sz w:val="20"/>
          <w:szCs w:val="20"/>
          <w:color w:val="auto"/>
        </w:rPr>
      </w:pPr>
    </w:p>
    <w:p>
      <w:pPr>
        <w:ind w:right="3499" w:firstLine="787"/>
        <w:spacing w:after="0" w:line="235"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hereunto duly authorized.</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CHECKFREE CORPORATION</w:t>
      </w:r>
    </w:p>
    <w:p>
      <w:pPr>
        <w:sectPr>
          <w:pgSz w:w="11900" w:h="16838" w:orient="portrait"/>
          <w:cols w:equalWidth="0" w:num="1">
            <w:col w:w="10239"/>
          </w:cols>
          <w:pgMar w:left="220" w:top="281" w:right="1440" w:bottom="1440" w:gutter="0" w:footer="0" w:header="0"/>
        </w:sect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October 10, 1996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/s/ John M. Stanton</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John M. Stanton, Vice President</w:t>
      </w:r>
    </w:p>
    <w:p>
      <w:pPr>
        <w:spacing w:after="0" w:line="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and Treasurer</w:t>
      </w:r>
    </w:p>
    <w:p>
      <w:pPr>
        <w:spacing w:after="0" w:line="200" w:lineRule="exact"/>
        <w:rPr>
          <w:sz w:val="20"/>
          <w:szCs w:val="20"/>
          <w:color w:val="auto"/>
        </w:rPr>
      </w:pPr>
    </w:p>
    <w:p>
      <w:pPr>
        <w:sectPr>
          <w:pgSz w:w="11900" w:h="16838" w:orient="portrait"/>
          <w:cols w:equalWidth="0" w:num="3">
            <w:col w:w="440" w:space="180"/>
            <w:col w:w="2000" w:space="720"/>
            <w:col w:w="6899"/>
          </w:cols>
          <w:pgMar w:left="220" w:top="281" w:right="1440" w:bottom="1440" w:gutter="0" w:footer="0" w:header="0"/>
          <w:type w:val="continuous"/>
        </w:sectPr>
      </w:pPr>
    </w:p>
    <w:p>
      <w:pPr>
        <w:spacing w:after="0" w:line="309"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281" w:right="1440" w:bottom="1440" w:gutter="0" w:footer="0" w:header="0"/>
          <w:type w:val="continuous"/>
        </w:sectPr>
      </w:pPr>
    </w:p>
    <w:bookmarkStart w:id="10" w:name="page11"/>
    <w:bookmarkEnd w:id="10"/>
    <w:p>
      <w:pPr>
        <w:spacing w:after="0"/>
        <w:rPr>
          <w:sz w:val="20"/>
          <w:szCs w:val="20"/>
          <w:color w:val="auto"/>
        </w:rPr>
      </w:pPr>
      <w:r>
        <w:rPr>
          <w:rFonts w:ascii="Courier New" w:cs="Courier New" w:eastAsia="Courier New" w:hAnsi="Courier New"/>
          <w:sz w:val="15"/>
          <w:szCs w:val="15"/>
          <w:color w:val="auto"/>
        </w:rPr>
        <w:t>11</w:t>
      </w:r>
    </w:p>
    <w:p>
      <w:pPr>
        <w:spacing w:after="0" w:line="335"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1260" w:type="dxa"/>
            <w:vAlign w:val="bottom"/>
          </w:tcPr>
          <w:p>
            <w:pPr>
              <w:spacing w:after="0"/>
              <w:rPr>
                <w:sz w:val="14"/>
                <w:szCs w:val="14"/>
                <w:color w:val="auto"/>
              </w:rPr>
            </w:pPr>
          </w:p>
        </w:tc>
        <w:tc>
          <w:tcPr>
            <w:tcW w:w="4720" w:type="dxa"/>
            <w:vAlign w:val="bottom"/>
          </w:tcPr>
          <w:p>
            <w:pPr>
              <w:ind w:left="1180"/>
              <w:spacing w:after="0"/>
              <w:rPr>
                <w:sz w:val="20"/>
                <w:szCs w:val="20"/>
                <w:color w:val="auto"/>
              </w:rPr>
            </w:pPr>
            <w:r>
              <w:rPr>
                <w:rFonts w:ascii="Courier New" w:cs="Courier New" w:eastAsia="Courier New" w:hAnsi="Courier New"/>
                <w:sz w:val="15"/>
                <w:szCs w:val="15"/>
                <w:color w:val="auto"/>
              </w:rPr>
              <w:t>EXHIBIT INDEX</w:t>
            </w:r>
          </w:p>
        </w:tc>
        <w:tc>
          <w:tcPr>
            <w:tcW w:w="480" w:type="dxa"/>
            <w:vAlign w:val="bottom"/>
          </w:tcPr>
          <w:p>
            <w:pPr>
              <w:spacing w:after="0"/>
              <w:rPr>
                <w:sz w:val="14"/>
                <w:szCs w:val="14"/>
                <w:color w:val="auto"/>
              </w:rPr>
            </w:pPr>
          </w:p>
        </w:tc>
      </w:tr>
      <w:tr>
        <w:trPr>
          <w:trHeight w:val="505"/>
        </w:trPr>
        <w:tc>
          <w:tcPr>
            <w:tcW w:w="1260" w:type="dxa"/>
            <w:vAlign w:val="bottom"/>
          </w:tcPr>
          <w:p>
            <w:pPr>
              <w:spacing w:after="0"/>
              <w:rPr>
                <w:sz w:val="20"/>
                <w:szCs w:val="20"/>
                <w:color w:val="auto"/>
              </w:rPr>
            </w:pPr>
            <w:r>
              <w:rPr>
                <w:rFonts w:ascii="Courier New" w:cs="Courier New" w:eastAsia="Courier New" w:hAnsi="Courier New"/>
                <w:sz w:val="15"/>
                <w:szCs w:val="15"/>
                <w:color w:val="auto"/>
              </w:rPr>
              <w:t>Exhibit No.</w:t>
            </w:r>
          </w:p>
        </w:tc>
        <w:tc>
          <w:tcPr>
            <w:tcW w:w="4720" w:type="dxa"/>
            <w:vAlign w:val="bottom"/>
          </w:tcPr>
          <w:p>
            <w:pPr>
              <w:ind w:left="1540"/>
              <w:spacing w:after="0"/>
              <w:rPr>
                <w:sz w:val="20"/>
                <w:szCs w:val="20"/>
                <w:color w:val="auto"/>
              </w:rPr>
            </w:pPr>
            <w:r>
              <w:rPr>
                <w:rFonts w:ascii="Courier New" w:cs="Courier New" w:eastAsia="Courier New" w:hAnsi="Courier New"/>
                <w:sz w:val="15"/>
                <w:szCs w:val="15"/>
                <w:color w:val="auto"/>
              </w:rPr>
              <w:t>Description</w:t>
            </w:r>
          </w:p>
        </w:tc>
        <w:tc>
          <w:tcPr>
            <w:tcW w:w="480" w:type="dxa"/>
            <w:vAlign w:val="bottom"/>
          </w:tcPr>
          <w:p>
            <w:pPr>
              <w:ind w:left="140"/>
              <w:spacing w:after="0"/>
              <w:rPr>
                <w:sz w:val="20"/>
                <w:szCs w:val="20"/>
                <w:color w:val="auto"/>
              </w:rPr>
            </w:pPr>
            <w:r>
              <w:rPr>
                <w:rFonts w:ascii="Courier New" w:cs="Courier New" w:eastAsia="Courier New" w:hAnsi="Courier New"/>
                <w:sz w:val="15"/>
                <w:szCs w:val="15"/>
                <w:color w:val="auto"/>
                <w:w w:val="88"/>
              </w:rPr>
              <w:t>Page</w:t>
            </w:r>
          </w:p>
        </w:tc>
      </w:tr>
      <w:tr>
        <w:trPr>
          <w:trHeight w:val="336"/>
        </w:trPr>
        <w:tc>
          <w:tcPr>
            <w:tcW w:w="1260" w:type="dxa"/>
            <w:vAlign w:val="bottom"/>
          </w:tcPr>
          <w:p>
            <w:pPr>
              <w:ind w:left="260"/>
              <w:spacing w:after="0"/>
              <w:rPr>
                <w:sz w:val="20"/>
                <w:szCs w:val="20"/>
                <w:color w:val="auto"/>
              </w:rPr>
            </w:pPr>
            <w:r>
              <w:rPr>
                <w:rFonts w:ascii="Courier New" w:cs="Courier New" w:eastAsia="Courier New" w:hAnsi="Courier New"/>
                <w:sz w:val="15"/>
                <w:szCs w:val="15"/>
                <w:color w:val="auto"/>
              </w:rPr>
              <w:t>2(a)</w:t>
            </w:r>
          </w:p>
        </w:tc>
        <w:tc>
          <w:tcPr>
            <w:tcW w:w="4720" w:type="dxa"/>
            <w:vAlign w:val="bottom"/>
          </w:tcPr>
          <w:p>
            <w:pPr>
              <w:ind w:left="300"/>
              <w:spacing w:after="0"/>
              <w:rPr>
                <w:sz w:val="20"/>
                <w:szCs w:val="20"/>
                <w:color w:val="auto"/>
              </w:rPr>
            </w:pPr>
            <w:r>
              <w:rPr>
                <w:rFonts w:ascii="Courier New" w:cs="Courier New" w:eastAsia="Courier New" w:hAnsi="Courier New"/>
                <w:sz w:val="15"/>
                <w:szCs w:val="15"/>
                <w:color w:val="auto"/>
              </w:rPr>
              <w:t>Agreement and Plan of Merger, dated as of March</w:t>
            </w:r>
          </w:p>
        </w:tc>
        <w:tc>
          <w:tcPr>
            <w:tcW w:w="480" w:type="dxa"/>
            <w:vAlign w:val="bottom"/>
          </w:tcPr>
          <w:p>
            <w:pPr>
              <w:spacing w:after="0"/>
              <w:rPr>
                <w:sz w:val="24"/>
                <w:szCs w:val="24"/>
                <w:color w:val="auto"/>
              </w:rPr>
            </w:pPr>
          </w:p>
        </w:tc>
      </w:tr>
      <w:tr>
        <w:trPr>
          <w:trHeight w:val="168"/>
        </w:trPr>
        <w:tc>
          <w:tcPr>
            <w:tcW w:w="1260" w:type="dxa"/>
            <w:vAlign w:val="bottom"/>
          </w:tcPr>
          <w:p>
            <w:pPr>
              <w:spacing w:after="0"/>
              <w:rPr>
                <w:sz w:val="14"/>
                <w:szCs w:val="14"/>
                <w:color w:val="auto"/>
              </w:rPr>
            </w:pPr>
          </w:p>
        </w:tc>
        <w:tc>
          <w:tcPr>
            <w:tcW w:w="47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21, 1996, among Checkfree Corporation, ISC</w:t>
            </w:r>
          </w:p>
        </w:tc>
        <w:tc>
          <w:tcPr>
            <w:tcW w:w="480" w:type="dxa"/>
            <w:vAlign w:val="bottom"/>
          </w:tcPr>
          <w:p>
            <w:pPr>
              <w:spacing w:after="0"/>
              <w:rPr>
                <w:sz w:val="14"/>
                <w:szCs w:val="14"/>
                <w:color w:val="auto"/>
              </w:rPr>
            </w:pPr>
          </w:p>
        </w:tc>
      </w:tr>
      <w:tr>
        <w:trPr>
          <w:trHeight w:val="168"/>
        </w:trPr>
        <w:tc>
          <w:tcPr>
            <w:tcW w:w="1260" w:type="dxa"/>
            <w:vAlign w:val="bottom"/>
          </w:tcPr>
          <w:p>
            <w:pPr>
              <w:spacing w:after="0"/>
              <w:rPr>
                <w:sz w:val="14"/>
                <w:szCs w:val="14"/>
                <w:color w:val="auto"/>
              </w:rPr>
            </w:pPr>
          </w:p>
        </w:tc>
        <w:tc>
          <w:tcPr>
            <w:tcW w:w="47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Acquisition Corporation, and Security APL, Inc.</w:t>
            </w:r>
          </w:p>
        </w:tc>
        <w:tc>
          <w:tcPr>
            <w:tcW w:w="480" w:type="dxa"/>
            <w:vAlign w:val="bottom"/>
          </w:tcPr>
          <w:p>
            <w:pPr>
              <w:spacing w:after="0"/>
              <w:rPr>
                <w:sz w:val="14"/>
                <w:szCs w:val="14"/>
                <w:color w:val="auto"/>
              </w:rPr>
            </w:pPr>
          </w:p>
        </w:tc>
      </w:tr>
      <w:tr>
        <w:trPr>
          <w:trHeight w:val="168"/>
        </w:trPr>
        <w:tc>
          <w:tcPr>
            <w:tcW w:w="1260" w:type="dxa"/>
            <w:vAlign w:val="bottom"/>
          </w:tcPr>
          <w:p>
            <w:pPr>
              <w:spacing w:after="0"/>
              <w:rPr>
                <w:sz w:val="14"/>
                <w:szCs w:val="14"/>
                <w:color w:val="auto"/>
              </w:rPr>
            </w:pPr>
          </w:p>
        </w:tc>
        <w:tc>
          <w:tcPr>
            <w:tcW w:w="47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(Reference is made to Exhibit 2 to the Current</w:t>
            </w:r>
          </w:p>
        </w:tc>
        <w:tc>
          <w:tcPr>
            <w:tcW w:w="480" w:type="dxa"/>
            <w:vAlign w:val="bottom"/>
          </w:tcPr>
          <w:p>
            <w:pPr>
              <w:spacing w:after="0"/>
              <w:rPr>
                <w:sz w:val="14"/>
                <w:szCs w:val="14"/>
                <w:color w:val="auto"/>
              </w:rPr>
            </w:pPr>
          </w:p>
        </w:tc>
      </w:tr>
      <w:tr>
        <w:trPr>
          <w:trHeight w:val="168"/>
        </w:trPr>
        <w:tc>
          <w:tcPr>
            <w:tcW w:w="1260" w:type="dxa"/>
            <w:vAlign w:val="bottom"/>
          </w:tcPr>
          <w:p>
            <w:pPr>
              <w:spacing w:after="0"/>
              <w:rPr>
                <w:sz w:val="14"/>
                <w:szCs w:val="14"/>
                <w:color w:val="auto"/>
              </w:rPr>
            </w:pPr>
          </w:p>
        </w:tc>
        <w:tc>
          <w:tcPr>
            <w:tcW w:w="47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Report on Form 8-K, dated March 21, 1996, filed</w:t>
            </w:r>
          </w:p>
        </w:tc>
        <w:tc>
          <w:tcPr>
            <w:tcW w:w="480" w:type="dxa"/>
            <w:vAlign w:val="bottom"/>
          </w:tcPr>
          <w:p>
            <w:pPr>
              <w:spacing w:after="0"/>
              <w:rPr>
                <w:sz w:val="14"/>
                <w:szCs w:val="14"/>
                <w:color w:val="auto"/>
              </w:rPr>
            </w:pPr>
          </w:p>
        </w:tc>
      </w:tr>
      <w:tr>
        <w:trPr>
          <w:trHeight w:val="168"/>
        </w:trPr>
        <w:tc>
          <w:tcPr>
            <w:tcW w:w="1260" w:type="dxa"/>
            <w:vAlign w:val="bottom"/>
          </w:tcPr>
          <w:p>
            <w:pPr>
              <w:spacing w:after="0"/>
              <w:rPr>
                <w:sz w:val="14"/>
                <w:szCs w:val="14"/>
                <w:color w:val="auto"/>
              </w:rPr>
            </w:pPr>
          </w:p>
        </w:tc>
        <w:tc>
          <w:tcPr>
            <w:tcW w:w="47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with the Securities and Exchange Commission on</w:t>
            </w:r>
          </w:p>
        </w:tc>
        <w:tc>
          <w:tcPr>
            <w:tcW w:w="480" w:type="dxa"/>
            <w:vAlign w:val="bottom"/>
          </w:tcPr>
          <w:p>
            <w:pPr>
              <w:spacing w:after="0"/>
              <w:rPr>
                <w:sz w:val="14"/>
                <w:szCs w:val="14"/>
                <w:color w:val="auto"/>
              </w:rPr>
            </w:pPr>
          </w:p>
        </w:tc>
      </w:tr>
      <w:tr>
        <w:trPr>
          <w:trHeight w:val="168"/>
        </w:trPr>
        <w:tc>
          <w:tcPr>
            <w:tcW w:w="1260" w:type="dxa"/>
            <w:vAlign w:val="bottom"/>
          </w:tcPr>
          <w:p>
            <w:pPr>
              <w:spacing w:after="0"/>
              <w:rPr>
                <w:sz w:val="14"/>
                <w:szCs w:val="14"/>
                <w:color w:val="auto"/>
              </w:rPr>
            </w:pPr>
          </w:p>
        </w:tc>
        <w:tc>
          <w:tcPr>
            <w:tcW w:w="47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March 29, 1996, and incorporated herein by</w:t>
            </w:r>
          </w:p>
        </w:tc>
        <w:tc>
          <w:tcPr>
            <w:tcW w:w="480" w:type="dxa"/>
            <w:vAlign w:val="bottom"/>
          </w:tcPr>
          <w:p>
            <w:pPr>
              <w:spacing w:after="0"/>
              <w:rPr>
                <w:sz w:val="14"/>
                <w:szCs w:val="14"/>
                <w:color w:val="auto"/>
              </w:rPr>
            </w:pPr>
          </w:p>
        </w:tc>
      </w:tr>
      <w:tr>
        <w:trPr>
          <w:trHeight w:val="168"/>
        </w:trPr>
        <w:tc>
          <w:tcPr>
            <w:tcW w:w="1260" w:type="dxa"/>
            <w:vAlign w:val="bottom"/>
          </w:tcPr>
          <w:p>
            <w:pPr>
              <w:spacing w:after="0"/>
              <w:rPr>
                <w:sz w:val="14"/>
                <w:szCs w:val="14"/>
                <w:color w:val="auto"/>
              </w:rPr>
            </w:pPr>
          </w:p>
        </w:tc>
        <w:tc>
          <w:tcPr>
            <w:tcW w:w="47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reference.)</w:t>
            </w:r>
          </w:p>
        </w:tc>
        <w:tc>
          <w:tcPr>
            <w:tcW w:w="480" w:type="dxa"/>
            <w:vAlign w:val="bottom"/>
          </w:tcPr>
          <w:p>
            <w:pPr>
              <w:spacing w:after="0"/>
              <w:rPr>
                <w:sz w:val="14"/>
                <w:szCs w:val="14"/>
                <w:color w:val="auto"/>
              </w:rPr>
            </w:pPr>
          </w:p>
        </w:tc>
      </w:tr>
      <w:tr>
        <w:trPr>
          <w:trHeight w:val="336"/>
        </w:trPr>
        <w:tc>
          <w:tcPr>
            <w:tcW w:w="1260" w:type="dxa"/>
            <w:vAlign w:val="bottom"/>
          </w:tcPr>
          <w:p>
            <w:pPr>
              <w:ind w:left="260"/>
              <w:spacing w:after="0"/>
              <w:rPr>
                <w:sz w:val="20"/>
                <w:szCs w:val="20"/>
                <w:color w:val="auto"/>
              </w:rPr>
            </w:pPr>
            <w:r>
              <w:rPr>
                <w:rFonts w:ascii="Courier New" w:cs="Courier New" w:eastAsia="Courier New" w:hAnsi="Courier New"/>
                <w:sz w:val="15"/>
                <w:szCs w:val="15"/>
                <w:color w:val="auto"/>
              </w:rPr>
              <w:t>2(b)</w:t>
            </w:r>
          </w:p>
        </w:tc>
        <w:tc>
          <w:tcPr>
            <w:tcW w:w="4720" w:type="dxa"/>
            <w:vAlign w:val="bottom"/>
          </w:tcPr>
          <w:p>
            <w:pPr>
              <w:ind w:left="300"/>
              <w:spacing w:after="0"/>
              <w:rPr>
                <w:sz w:val="20"/>
                <w:szCs w:val="20"/>
                <w:color w:val="auto"/>
              </w:rPr>
            </w:pPr>
            <w:r>
              <w:rPr>
                <w:rFonts w:ascii="Courier New" w:cs="Courier New" w:eastAsia="Courier New" w:hAnsi="Courier New"/>
                <w:sz w:val="15"/>
                <w:szCs w:val="15"/>
                <w:color w:val="auto"/>
              </w:rPr>
              <w:t>Amendment to Agreement and Plan of Merger,</w:t>
            </w:r>
          </w:p>
        </w:tc>
        <w:tc>
          <w:tcPr>
            <w:tcW w:w="480" w:type="dxa"/>
            <w:vAlign w:val="bottom"/>
          </w:tcPr>
          <w:p>
            <w:pPr>
              <w:spacing w:after="0"/>
              <w:rPr>
                <w:sz w:val="24"/>
                <w:szCs w:val="24"/>
                <w:color w:val="auto"/>
              </w:rPr>
            </w:pPr>
          </w:p>
        </w:tc>
      </w:tr>
      <w:tr>
        <w:trPr>
          <w:trHeight w:val="168"/>
        </w:trPr>
        <w:tc>
          <w:tcPr>
            <w:tcW w:w="1260" w:type="dxa"/>
            <w:vAlign w:val="bottom"/>
          </w:tcPr>
          <w:p>
            <w:pPr>
              <w:spacing w:after="0"/>
              <w:rPr>
                <w:sz w:val="14"/>
                <w:szCs w:val="14"/>
                <w:color w:val="auto"/>
              </w:rPr>
            </w:pPr>
          </w:p>
        </w:tc>
        <w:tc>
          <w:tcPr>
            <w:tcW w:w="47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dated as of April 30, 1996, among Checkfree</w:t>
            </w:r>
          </w:p>
        </w:tc>
        <w:tc>
          <w:tcPr>
            <w:tcW w:w="480" w:type="dxa"/>
            <w:vAlign w:val="bottom"/>
          </w:tcPr>
          <w:p>
            <w:pPr>
              <w:spacing w:after="0"/>
              <w:rPr>
                <w:sz w:val="14"/>
                <w:szCs w:val="14"/>
                <w:color w:val="auto"/>
              </w:rPr>
            </w:pPr>
          </w:p>
        </w:tc>
      </w:tr>
      <w:tr>
        <w:trPr>
          <w:trHeight w:val="168"/>
        </w:trPr>
        <w:tc>
          <w:tcPr>
            <w:tcW w:w="1260" w:type="dxa"/>
            <w:vAlign w:val="bottom"/>
          </w:tcPr>
          <w:p>
            <w:pPr>
              <w:spacing w:after="0"/>
              <w:rPr>
                <w:sz w:val="14"/>
                <w:szCs w:val="14"/>
                <w:color w:val="auto"/>
              </w:rPr>
            </w:pPr>
          </w:p>
        </w:tc>
        <w:tc>
          <w:tcPr>
            <w:tcW w:w="47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Corporation, ISC Acquisition Corporation, and</w:t>
            </w:r>
          </w:p>
        </w:tc>
        <w:tc>
          <w:tcPr>
            <w:tcW w:w="480" w:type="dxa"/>
            <w:vAlign w:val="bottom"/>
          </w:tcPr>
          <w:p>
            <w:pPr>
              <w:spacing w:after="0"/>
              <w:rPr>
                <w:sz w:val="14"/>
                <w:szCs w:val="14"/>
                <w:color w:val="auto"/>
              </w:rPr>
            </w:pPr>
          </w:p>
        </w:tc>
      </w:tr>
      <w:tr>
        <w:trPr>
          <w:trHeight w:val="168"/>
        </w:trPr>
        <w:tc>
          <w:tcPr>
            <w:tcW w:w="1260" w:type="dxa"/>
            <w:vAlign w:val="bottom"/>
          </w:tcPr>
          <w:p>
            <w:pPr>
              <w:spacing w:after="0"/>
              <w:rPr>
                <w:sz w:val="14"/>
                <w:szCs w:val="14"/>
                <w:color w:val="auto"/>
              </w:rPr>
            </w:pPr>
          </w:p>
        </w:tc>
        <w:tc>
          <w:tcPr>
            <w:tcW w:w="47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Security APL, Inc. (Reference is made to Exhibit</w:t>
            </w:r>
          </w:p>
        </w:tc>
        <w:tc>
          <w:tcPr>
            <w:tcW w:w="480" w:type="dxa"/>
            <w:vAlign w:val="bottom"/>
          </w:tcPr>
          <w:p>
            <w:pPr>
              <w:spacing w:after="0"/>
              <w:rPr>
                <w:sz w:val="14"/>
                <w:szCs w:val="14"/>
                <w:color w:val="auto"/>
              </w:rPr>
            </w:pPr>
          </w:p>
        </w:tc>
      </w:tr>
      <w:tr>
        <w:trPr>
          <w:trHeight w:val="168"/>
        </w:trPr>
        <w:tc>
          <w:tcPr>
            <w:tcW w:w="1260" w:type="dxa"/>
            <w:vAlign w:val="bottom"/>
          </w:tcPr>
          <w:p>
            <w:pPr>
              <w:spacing w:after="0"/>
              <w:rPr>
                <w:sz w:val="14"/>
                <w:szCs w:val="14"/>
                <w:color w:val="auto"/>
              </w:rPr>
            </w:pPr>
          </w:p>
        </w:tc>
        <w:tc>
          <w:tcPr>
            <w:tcW w:w="47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w w:val="99"/>
              </w:rPr>
              <w:t>2(c) to the Quarterly Report on Form 10-Q for the</w:t>
            </w:r>
          </w:p>
        </w:tc>
        <w:tc>
          <w:tcPr>
            <w:tcW w:w="480" w:type="dxa"/>
            <w:vAlign w:val="bottom"/>
          </w:tcPr>
          <w:p>
            <w:pPr>
              <w:spacing w:after="0"/>
              <w:rPr>
                <w:sz w:val="14"/>
                <w:szCs w:val="14"/>
                <w:color w:val="auto"/>
              </w:rPr>
            </w:pPr>
          </w:p>
        </w:tc>
      </w:tr>
      <w:tr>
        <w:trPr>
          <w:trHeight w:val="168"/>
        </w:trPr>
        <w:tc>
          <w:tcPr>
            <w:tcW w:w="1260" w:type="dxa"/>
            <w:vAlign w:val="bottom"/>
          </w:tcPr>
          <w:p>
            <w:pPr>
              <w:spacing w:after="0"/>
              <w:rPr>
                <w:sz w:val="14"/>
                <w:szCs w:val="14"/>
                <w:color w:val="auto"/>
              </w:rPr>
            </w:pPr>
          </w:p>
        </w:tc>
        <w:tc>
          <w:tcPr>
            <w:tcW w:w="47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quarter ended March 31, 1996, and incorporated</w:t>
            </w:r>
          </w:p>
        </w:tc>
        <w:tc>
          <w:tcPr>
            <w:tcW w:w="480" w:type="dxa"/>
            <w:vAlign w:val="bottom"/>
          </w:tcPr>
          <w:p>
            <w:pPr>
              <w:spacing w:after="0"/>
              <w:rPr>
                <w:sz w:val="14"/>
                <w:szCs w:val="14"/>
                <w:color w:val="auto"/>
              </w:rPr>
            </w:pPr>
          </w:p>
        </w:tc>
      </w:tr>
      <w:tr>
        <w:trPr>
          <w:trHeight w:val="168"/>
        </w:trPr>
        <w:tc>
          <w:tcPr>
            <w:tcW w:w="1260" w:type="dxa"/>
            <w:vAlign w:val="bottom"/>
          </w:tcPr>
          <w:p>
            <w:pPr>
              <w:spacing w:after="0"/>
              <w:rPr>
                <w:sz w:val="14"/>
                <w:szCs w:val="14"/>
                <w:color w:val="auto"/>
              </w:rPr>
            </w:pPr>
          </w:p>
        </w:tc>
        <w:tc>
          <w:tcPr>
            <w:tcW w:w="47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herein by reference.)</w:t>
            </w:r>
          </w:p>
        </w:tc>
        <w:tc>
          <w:tcPr>
            <w:tcW w:w="480" w:type="dxa"/>
            <w:vAlign w:val="bottom"/>
          </w:tcPr>
          <w:p>
            <w:pPr>
              <w:spacing w:after="0"/>
              <w:rPr>
                <w:sz w:val="14"/>
                <w:szCs w:val="14"/>
                <w:color w:val="auto"/>
              </w:rPr>
            </w:pPr>
          </w:p>
        </w:tc>
      </w:tr>
    </w:tbl>
    <w:p>
      <w:pPr>
        <w:spacing w:after="0" w:line="166" w:lineRule="exact"/>
        <w:rPr>
          <w:sz w:val="20"/>
          <w:szCs w:val="20"/>
          <w:color w:val="auto"/>
        </w:rPr>
      </w:pPr>
    </w:p>
    <w:p>
      <w:pPr>
        <w:ind w:left="1820" w:hanging="1216"/>
        <w:spacing w:after="0"/>
        <w:tabs>
          <w:tab w:leader="none" w:pos="182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Consent of Ernst &amp; Young, LLP (Reference is</w:t>
      </w:r>
    </w:p>
    <w:p>
      <w:pPr>
        <w:spacing w:after="0" w:line="4" w:lineRule="exact"/>
        <w:rPr>
          <w:rFonts w:ascii="Courier New" w:cs="Courier New" w:eastAsia="Courier New" w:hAnsi="Courier New"/>
          <w:sz w:val="15"/>
          <w:szCs w:val="15"/>
          <w:color w:val="auto"/>
        </w:rPr>
      </w:pPr>
    </w:p>
    <w:p>
      <w:pPr>
        <w:ind w:left="1820" w:right="383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made to Exhibit 23 to the Current Report on Form 8-K, dated May 9, 1996, filed with the Securities and Exchange Commission on May 20, 1996, and incorporated herein by reference.).</w:t>
      </w:r>
    </w:p>
    <w:p>
      <w:pPr>
        <w:spacing w:after="0" w:line="175" w:lineRule="exact"/>
        <w:rPr>
          <w:sz w:val="20"/>
          <w:szCs w:val="20"/>
          <w:color w:val="auto"/>
        </w:rPr>
      </w:pPr>
    </w:p>
    <w:p>
      <w:pPr>
        <w:ind w:left="1820" w:right="3839" w:hanging="1216"/>
        <w:spacing w:after="0" w:line="236" w:lineRule="auto"/>
        <w:tabs>
          <w:tab w:leader="none" w:pos="18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Press Release (Reference is made to Exhibit 99 to the Current Report on Form 8-K, dated May 9, 1996, and filed with the Securities and Exchange Commission on May 20, 1996, and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-11-</w:t>
      </w:r>
    </w:p>
    <w:sectPr>
      <w:pgSz w:w="11900" w:h="16838" w:orient="portrait"/>
      <w:cols w:equalWidth="0" w:num="1">
        <w:col w:w="9959"/>
      </w:cols>
      <w:pgMar w:left="500" w:top="28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decimal"/>
      <w:start w:val="1"/>
    </w:lvl>
  </w:abstractNum>
  <w:abstractNum w:abstractNumId="1">
    <w:nsid w:val="3D1B58BA"/>
    <w:multiLevelType w:val="hybridMultilevel"/>
    <w:lvl w:ilvl="0">
      <w:lvlJc w:val="left"/>
      <w:lvlText w:val="%1."/>
      <w:numFmt w:val="decimal"/>
      <w:start w:val="3"/>
    </w:lvl>
  </w:abstractNum>
  <w:abstractNum w:abstractNumId="2">
    <w:nsid w:val="507ED7AB"/>
    <w:multiLevelType w:val="hybridMultilevel"/>
    <w:lvl w:ilvl="0">
      <w:lvlJc w:val="left"/>
      <w:lvlText w:val="%1."/>
      <w:numFmt w:val="decimal"/>
      <w:start w:val="8"/>
    </w:lvl>
  </w:abstractNum>
  <w:abstractNum w:abstractNumId="3">
    <w:nsid w:val="2EB141F2"/>
    <w:multiLevelType w:val="hybridMultilevel"/>
    <w:lvl w:ilvl="0">
      <w:lvlJc w:val="left"/>
      <w:lvlText w:val="%1."/>
      <w:numFmt w:val="decimal"/>
      <w:start w:val="9"/>
    </w:lvl>
  </w:abstractNum>
  <w:abstractNum w:abstractNumId="4">
    <w:nsid w:val="41B71EFB"/>
    <w:multiLevelType w:val="hybridMultilevel"/>
    <w:lvl w:ilvl="0">
      <w:lvlJc w:val="left"/>
      <w:lvlText w:val="(%1)"/>
      <w:numFmt w:val="lowerLetter"/>
      <w:start w:val="3"/>
    </w:lvl>
  </w:abstractNum>
  <w:abstractNum w:abstractNumId="5">
    <w:nsid w:val="79E2A9E3"/>
    <w:multiLevelType w:val="hybridMultilevel"/>
    <w:lvl w:ilvl="0">
      <w:lvlJc w:val="left"/>
      <w:lvlText w:val="%1"/>
      <w:numFmt w:val="decimal"/>
      <w:start w:val="23"/>
    </w:lvl>
  </w:abstractNum>
  <w:abstractNum w:abstractNumId="6">
    <w:nsid w:val="7545E146"/>
    <w:multiLevelType w:val="hybridMultilevel"/>
    <w:lvl w:ilvl="0">
      <w:lvlJc w:val="left"/>
      <w:lvlText w:val="%1"/>
      <w:numFmt w:val="decimal"/>
      <w:start w:val="99"/>
    </w:lvl>
  </w:abstractNum>
  <w:abstractNum w:abstractNumId="7">
    <w:nsid w:val="515F007C"/>
    <w:multiLevelType w:val="hybridMultilevel"/>
    <w:lvl w:ilvl="0">
      <w:lvlJc w:val="left"/>
      <w:lvlText w:val="%1"/>
      <w:numFmt w:val="decimal"/>
      <w:start w:val="23"/>
    </w:lvl>
  </w:abstractNum>
  <w:abstractNum w:abstractNumId="8">
    <w:nsid w:val="5BD062C2"/>
    <w:multiLevelType w:val="hybridMultilevel"/>
    <w:lvl w:ilvl="0">
      <w:lvlJc w:val="left"/>
      <w:lvlText w:val="%1"/>
      <w:numFmt w:val="decimal"/>
      <w:start w:val="9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2019-12-14T06:01:29Z</dcterms:created>
  <dcterms:modified xsi:type="dcterms:W3CDTF">2019-12-14T06:01:29Z</dcterms:modified>
</cp:coreProperties>
</file>