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ANNUAL REPORT PURSUANT TO SECTION 13 OR 15(d)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jc w:val="center"/>
        <w:ind w:right="3219"/>
        <w:spacing w:after="0" w:line="238" w:lineRule="auto"/>
        <w:rPr>
          <w:sz w:val="20"/>
          <w:szCs w:val="20"/>
          <w:color w:val="auto"/>
        </w:rPr>
      </w:pPr>
      <w:r>
        <w:rPr>
          <w:rFonts w:ascii="Courier New" w:cs="Courier New" w:eastAsia="Courier New" w:hAnsi="Courier New"/>
          <w:sz w:val="15"/>
          <w:szCs w:val="15"/>
          <w:color w:val="auto"/>
        </w:rPr>
        <w:t>For The Year Ended June 30, 2001</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Commission File Number: 0-26802</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CORPORATION</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6" w:lineRule="exact"/>
        <w:rPr>
          <w:sz w:val="24"/>
          <w:szCs w:val="24"/>
          <w:color w:val="auto"/>
        </w:rPr>
      </w:pPr>
    </w:p>
    <w:tbl>
      <w:tblPr>
        <w:tblLayout w:type="fixed"/>
        <w:tblInd w:w="280" w:type="dxa"/>
        <w:tblCellMar>
          <w:top w:w="0" w:type="dxa"/>
          <w:left w:w="0" w:type="dxa"/>
          <w:bottom w:w="0" w:type="dxa"/>
          <w:right w:w="0" w:type="dxa"/>
        </w:tblCellMar>
      </w:tblPr>
      <w:tr>
        <w:trPr>
          <w:trHeight w:val="170"/>
        </w:trPr>
        <w:tc>
          <w:tcPr>
            <w:tcW w:w="3620" w:type="dxa"/>
            <w:vAlign w:val="bottom"/>
          </w:tcPr>
          <w:p>
            <w:pPr>
              <w:ind w:left="960"/>
              <w:spacing w:after="0"/>
              <w:rPr>
                <w:sz w:val="20"/>
                <w:szCs w:val="20"/>
                <w:color w:val="auto"/>
              </w:rPr>
            </w:pPr>
            <w:r>
              <w:rPr>
                <w:rFonts w:ascii="Courier New" w:cs="Courier New" w:eastAsia="Courier New" w:hAnsi="Courier New"/>
                <w:sz w:val="15"/>
                <w:szCs w:val="15"/>
                <w:color w:val="auto"/>
              </w:rPr>
              <w:t>DELAWARE</w:t>
            </w:r>
          </w:p>
        </w:tc>
        <w:tc>
          <w:tcPr>
            <w:tcW w:w="2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58-2360335</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580" w:type="dxa"/>
            <w:vAlign w:val="bottom"/>
          </w:tcPr>
          <w:p>
            <w:pPr>
              <w:jc w:val="center"/>
              <w:ind w:left="7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58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4411 EAST JONES BRIDGE ROAD</w:t>
      </w:r>
    </w:p>
    <w:p>
      <w:pPr>
        <w:ind w:left="2540"/>
        <w:spacing w:after="0" w:line="237" w:lineRule="auto"/>
        <w:rPr>
          <w:sz w:val="20"/>
          <w:szCs w:val="20"/>
          <w:color w:val="auto"/>
        </w:rPr>
      </w:pPr>
      <w:r>
        <w:rPr>
          <w:rFonts w:ascii="Courier New" w:cs="Courier New" w:eastAsia="Courier New" w:hAnsi="Courier New"/>
          <w:sz w:val="15"/>
          <w:szCs w:val="15"/>
          <w:color w:val="auto"/>
        </w:rPr>
        <w:t>NORCROSS, GEORGIA 30092</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ind w:left="2720"/>
        <w:spacing w:after="0" w:line="237" w:lineRule="auto"/>
        <w:rPr>
          <w:sz w:val="20"/>
          <w:szCs w:val="20"/>
          <w:color w:val="auto"/>
        </w:rPr>
      </w:pPr>
      <w:r>
        <w:rPr>
          <w:rFonts w:ascii="Courier New" w:cs="Courier New" w:eastAsia="Courier New" w:hAnsi="Courier New"/>
          <w:sz w:val="15"/>
          <w:szCs w:val="15"/>
          <w:color w:val="auto"/>
        </w:rPr>
        <w:t>including zip code)</w:t>
      </w:r>
    </w:p>
    <w:p>
      <w:pPr>
        <w:spacing w:after="0" w:line="167" w:lineRule="exact"/>
        <w:rPr>
          <w:sz w:val="24"/>
          <w:szCs w:val="24"/>
          <w:color w:val="auto"/>
        </w:rPr>
      </w:pPr>
    </w:p>
    <w:p>
      <w:pPr>
        <w:ind w:left="3420" w:hanging="524"/>
        <w:spacing w:after="0"/>
        <w:tabs>
          <w:tab w:leader="none" w:pos="34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spacing w:after="0" w:line="4" w:lineRule="exact"/>
        <w:rPr>
          <w:rFonts w:ascii="Courier New" w:cs="Courier New" w:eastAsia="Courier New" w:hAnsi="Courier New"/>
          <w:sz w:val="15"/>
          <w:szCs w:val="15"/>
          <w:color w:val="auto"/>
        </w:rPr>
      </w:pPr>
    </w:p>
    <w:p>
      <w:pPr>
        <w:ind w:left="2640" w:right="5339" w:hanging="437"/>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225" w:right="1440" w:bottom="1440" w:gutter="0" w:footer="0" w:header="0"/>
        </w:sectPr>
      </w:pP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Section 12(b) of the Act:</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sectPr>
          <w:pgSz w:w="11900" w:h="16838" w:orient="portrait"/>
          <w:cols w:equalWidth="0" w:num="2">
            <w:col w:w="3220" w:space="720"/>
            <w:col w:w="6299"/>
          </w:cols>
          <w:pgMar w:left="220" w:top="22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Securities registered pursuant to</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Section 12(g) of the Act: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Stock, $.01 par value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Preferred Stock Purchase Rights</w:t>
      </w:r>
    </w:p>
    <w:p>
      <w:pPr>
        <w:spacing w:after="0" w:line="178" w:lineRule="exact"/>
        <w:rPr>
          <w:sz w:val="24"/>
          <w:szCs w:val="24"/>
          <w:color w:val="auto"/>
        </w:rPr>
      </w:pPr>
    </w:p>
    <w:p>
      <w:pPr>
        <w:sectPr>
          <w:pgSz w:w="11900" w:h="16838" w:orient="portrait"/>
          <w:cols w:equalWidth="0" w:num="2">
            <w:col w:w="3220" w:space="720"/>
            <w:col w:w="6299"/>
          </w:cols>
          <w:pgMar w:left="220" w:top="225" w:right="1440" w:bottom="1440" w:gutter="0" w:footer="0" w:header="0"/>
          <w:type w:val="continuous"/>
        </w:sect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w:t>
      </w:r>
    </w:p>
    <w:p>
      <w:pPr>
        <w:spacing w:after="0"/>
        <w:tabs>
          <w:tab w:leader="none" w:pos="4980" w:val="left"/>
          <w:tab w:leader="none" w:pos="5420" w:val="left"/>
        </w:tabs>
        <w:rPr>
          <w:sz w:val="20"/>
          <w:szCs w:val="20"/>
          <w:color w:val="auto"/>
        </w:rPr>
      </w:pPr>
      <w:r>
        <w:rPr>
          <w:rFonts w:ascii="Courier New" w:cs="Courier New" w:eastAsia="Courier New" w:hAnsi="Courier New"/>
          <w:sz w:val="15"/>
          <w:szCs w:val="15"/>
          <w:color w:val="auto"/>
        </w:rPr>
        <w:t>filing requirements for at least the past 90 days. Yes</w:t>
        <w:tab/>
        <w:t>X</w:t>
      </w:r>
      <w:r>
        <w:rPr>
          <w:sz w:val="20"/>
          <w:szCs w:val="20"/>
          <w:color w:val="auto"/>
        </w:rPr>
        <w:tab/>
      </w:r>
      <w:r>
        <w:rPr>
          <w:rFonts w:ascii="Courier New" w:cs="Courier New" w:eastAsia="Courier New" w:hAnsi="Courier New"/>
          <w:sz w:val="12"/>
          <w:szCs w:val="12"/>
          <w:color w:val="auto"/>
        </w:rPr>
        <w:t>No</w:t>
      </w:r>
    </w:p>
    <w:p>
      <w:pPr>
        <w:ind w:left="4820"/>
        <w:spacing w:after="0" w:line="238" w:lineRule="auto"/>
        <w:tabs>
          <w:tab w:leader="none" w:pos="5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4099" w:firstLine="787"/>
        <w:spacing w:after="0" w:line="261" w:lineRule="auto"/>
        <w:rPr>
          <w:sz w:val="20"/>
          <w:szCs w:val="20"/>
          <w:color w:val="auto"/>
        </w:rPr>
      </w:pPr>
      <w:r>
        <w:rPr>
          <w:rFonts w:ascii="Courier New" w:cs="Courier New" w:eastAsia="Courier New" w:hAnsi="Courier New"/>
          <w:sz w:val="14"/>
          <w:szCs w:val="14"/>
          <w:color w:val="auto"/>
        </w:rPr>
        <w:t>The aggregate market value of our Common Stock held by our non-affiliates was approximately $1,050,442,170 on September 14, 2001.</w:t>
      </w:r>
    </w:p>
    <w:p>
      <w:pPr>
        <w:spacing w:after="0" w:line="160" w:lineRule="exact"/>
        <w:rPr>
          <w:sz w:val="24"/>
          <w:szCs w:val="24"/>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There were 87,154,357 shares of our Common Stock outstanding on September 14, 2001.</w:t>
      </w:r>
    </w:p>
    <w:p>
      <w:pPr>
        <w:spacing w:after="0" w:line="16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Portions of our Annual Report to Stockholders for the fiscal year ended June 30, 2001 are incorporated by reference in Part II.</w:t>
      </w:r>
    </w:p>
    <w:p>
      <w:pPr>
        <w:spacing w:after="0" w:line="173" w:lineRule="exact"/>
        <w:rPr>
          <w:sz w:val="24"/>
          <w:szCs w:val="24"/>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Portions of our Proxy Statement for the 2001 Annual Meeting of Stockholders are incorporated by reference in Part III.</w:t>
      </w:r>
    </w:p>
    <w:p>
      <w:pPr>
        <w:sectPr>
          <w:pgSz w:w="11900" w:h="16838" w:orient="portrait"/>
          <w:cols w:equalWidth="0" w:num="1">
            <w:col w:w="10239"/>
          </w:cols>
          <w:pgMar w:left="220" w:top="225"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jc w:val="center"/>
              <w:ind w:right="2207"/>
              <w:spacing w:after="0"/>
              <w:rPr>
                <w:sz w:val="20"/>
                <w:szCs w:val="20"/>
                <w:color w:val="auto"/>
              </w:rPr>
            </w:pPr>
            <w:r>
              <w:rPr>
                <w:rFonts w:ascii="Courier New" w:cs="Courier New" w:eastAsia="Courier New" w:hAnsi="Courier New"/>
                <w:sz w:val="15"/>
                <w:szCs w:val="15"/>
                <w:color w:val="auto"/>
                <w:w w:val="98"/>
              </w:rPr>
              <w:t>TABLE OF CONTENTS</w:t>
            </w:r>
          </w:p>
        </w:tc>
        <w:tc>
          <w:tcPr>
            <w:tcW w:w="380" w:type="dxa"/>
            <w:vAlign w:val="bottom"/>
          </w:tcPr>
          <w:p>
            <w:pPr>
              <w:spacing w:after="0"/>
              <w:rPr>
                <w:sz w:val="24"/>
                <w:szCs w:val="24"/>
                <w:color w:val="auto"/>
              </w:rPr>
            </w:pPr>
          </w:p>
        </w:tc>
      </w:tr>
      <w:tr>
        <w:trPr>
          <w:trHeight w:val="168"/>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60" w:type="dxa"/>
            <w:vAlign w:val="bottom"/>
          </w:tcPr>
          <w:p>
            <w:pPr>
              <w:jc w:val="center"/>
              <w:ind w:right="2207"/>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168"/>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ind w:left="2580"/>
              <w:spacing w:after="0"/>
              <w:rPr>
                <w:sz w:val="20"/>
                <w:szCs w:val="20"/>
                <w:color w:val="auto"/>
              </w:rPr>
            </w:pPr>
            <w:r>
              <w:rPr>
                <w:rFonts w:ascii="Courier New" w:cs="Courier New" w:eastAsia="Courier New" w:hAnsi="Courier New"/>
                <w:sz w:val="15"/>
                <w:szCs w:val="15"/>
                <w:color w:val="auto"/>
              </w:rPr>
              <w:t>PART I</w:t>
            </w:r>
          </w:p>
        </w:tc>
        <w:tc>
          <w:tcPr>
            <w:tcW w:w="38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 Business...................................................................................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Properties................................................................................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Legal Proceedings.........................................................................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Submission of Matters to a Vote of Security Holders.......................................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jc w:val="center"/>
              <w:ind w:right="2207"/>
              <w:spacing w:after="0"/>
              <w:rPr>
                <w:sz w:val="20"/>
                <w:szCs w:val="20"/>
                <w:color w:val="auto"/>
              </w:rPr>
            </w:pPr>
            <w:r>
              <w:rPr>
                <w:rFonts w:ascii="Courier New" w:cs="Courier New" w:eastAsia="Courier New" w:hAnsi="Courier New"/>
                <w:sz w:val="15"/>
                <w:szCs w:val="15"/>
                <w:color w:val="auto"/>
                <w:w w:val="98"/>
              </w:rPr>
              <w:t>PART II</w:t>
            </w:r>
          </w:p>
        </w:tc>
        <w:tc>
          <w:tcPr>
            <w:tcW w:w="38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Market for the Registrant's Common Equity and Related Stockholder Matters.................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Selected Financial Data...................................................................</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Management's Discussion and Analysis of Financial Condition and Results of Operation......</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7A. Quantitative and Qualitative Disclosures About Market Risk...............................</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Financial Statements and Supplementary Data...............................................</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8060" w:type="dxa"/>
            <w:vAlign w:val="bottom"/>
          </w:tcPr>
          <w:p>
            <w:pPr>
              <w:ind w:left="40"/>
              <w:spacing w:after="0"/>
              <w:rPr>
                <w:sz w:val="20"/>
                <w:szCs w:val="20"/>
                <w:color w:val="auto"/>
              </w:rPr>
            </w:pPr>
            <w:r>
              <w:rPr>
                <w:rFonts w:ascii="Courier New" w:cs="Courier New" w:eastAsia="Courier New" w:hAnsi="Courier New"/>
                <w:sz w:val="15"/>
                <w:szCs w:val="15"/>
                <w:color w:val="auto"/>
                <w:w w:val="98"/>
              </w:rPr>
              <w:t>Changes in and Disagreements with Accountants on Accounting and Financial Disclosure......</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w:t>
            </w: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ind w:left="2500"/>
              <w:spacing w:after="0"/>
              <w:rPr>
                <w:sz w:val="20"/>
                <w:szCs w:val="20"/>
                <w:color w:val="auto"/>
              </w:rPr>
            </w:pPr>
            <w:r>
              <w:rPr>
                <w:rFonts w:ascii="Courier New" w:cs="Courier New" w:eastAsia="Courier New" w:hAnsi="Courier New"/>
                <w:sz w:val="15"/>
                <w:szCs w:val="15"/>
                <w:color w:val="auto"/>
              </w:rPr>
              <w:t>PART III</w:t>
            </w:r>
          </w:p>
        </w:tc>
        <w:tc>
          <w:tcPr>
            <w:tcW w:w="38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10. Directors and Executive Officers of the Registrant........................................</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11. Executive Compensation....................................................................</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12. Security Ownership of Certain Beneficial Owners and Management............................</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13. Certain Relationships and Related Transactions............................................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w:t>
            </w: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jc w:val="center"/>
              <w:ind w:right="2207"/>
              <w:spacing w:after="0"/>
              <w:rPr>
                <w:sz w:val="20"/>
                <w:szCs w:val="20"/>
                <w:color w:val="auto"/>
              </w:rPr>
            </w:pPr>
            <w:r>
              <w:rPr>
                <w:rFonts w:ascii="Courier New" w:cs="Courier New" w:eastAsia="Courier New" w:hAnsi="Courier New"/>
                <w:sz w:val="15"/>
                <w:szCs w:val="15"/>
                <w:color w:val="auto"/>
                <w:w w:val="98"/>
              </w:rPr>
              <w:t>PART IV</w:t>
            </w:r>
          </w:p>
        </w:tc>
        <w:tc>
          <w:tcPr>
            <w:tcW w:w="380" w:type="dxa"/>
            <w:vAlign w:val="bottom"/>
          </w:tcPr>
          <w:p>
            <w:pPr>
              <w:spacing w:after="0"/>
              <w:rPr>
                <w:sz w:val="24"/>
                <w:szCs w:val="24"/>
                <w:color w:val="auto"/>
              </w:rPr>
            </w:pP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8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14. Exhibits, Financial Statement Schedules and Reports on Form 8-K...........................</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w:t>
            </w:r>
          </w:p>
        </w:tc>
      </w:tr>
      <w:tr>
        <w:trPr>
          <w:trHeight w:val="336"/>
        </w:trPr>
        <w:tc>
          <w:tcPr>
            <w:tcW w:w="8720" w:type="dxa"/>
            <w:vAlign w:val="bottom"/>
            <w:gridSpan w:val="3"/>
          </w:tcPr>
          <w:p>
            <w:pPr>
              <w:spacing w:after="0"/>
              <w:rPr>
                <w:sz w:val="20"/>
                <w:szCs w:val="20"/>
                <w:color w:val="auto"/>
              </w:rPr>
            </w:pPr>
            <w:r>
              <w:rPr>
                <w:rFonts w:ascii="Courier New" w:cs="Courier New" w:eastAsia="Courier New" w:hAnsi="Courier New"/>
                <w:sz w:val="15"/>
                <w:szCs w:val="15"/>
                <w:color w:val="auto"/>
                <w:w w:val="97"/>
              </w:rPr>
              <w:t>Signatures.........................................................................................</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r>
      <w:tr>
        <w:trPr>
          <w:trHeight w:val="50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tcPr>
          <w:p>
            <w:pPr>
              <w:ind w:left="2680"/>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All references to "we," "us," "our," "CheckFree" or the "Company" in this Annual Report on Form 10-K mean CheckFree Corporation and all entities owned or controlled by CheckFree Corporation, except where it is made clear that the term only means the parent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3" w:lineRule="exact"/>
        <w:rPr>
          <w:sz w:val="20"/>
          <w:szCs w:val="20"/>
          <w:color w:val="auto"/>
        </w:rPr>
      </w:pPr>
    </w:p>
    <w:p>
      <w:pPr>
        <w:ind w:left="880" w:hanging="433"/>
        <w:spacing w:after="0"/>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ind w:left="880" w:hanging="433"/>
        <w:spacing w:after="0" w:line="237"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ind w:left="880" w:hanging="433"/>
        <w:spacing w:after="0" w:line="237"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71" w:lineRule="exact"/>
        <w:rPr>
          <w:sz w:val="20"/>
          <w:szCs w:val="20"/>
          <w:color w:val="auto"/>
        </w:rPr>
      </w:pPr>
    </w:p>
    <w:p>
      <w:pPr>
        <w:ind w:left="880" w:hanging="433"/>
        <w:spacing w:after="0"/>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ind w:left="880" w:hanging="433"/>
        <w:spacing w:after="0" w:line="237" w:lineRule="auto"/>
        <w:tabs>
          <w:tab w:leader="none" w:pos="8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electronic or paper-- to anyone; and</w:t>
      </w:r>
    </w:p>
    <w:p>
      <w:pPr>
        <w:spacing w:after="0" w:line="5"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6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provide electronic billing and payment services for over 5.2 million consumers as of June 30, 2001. Our services reach hundreds of sources, either directly or through reseller relationships, including:</w:t>
      </w:r>
    </w:p>
    <w:p>
      <w:pPr>
        <w:spacing w:after="0" w:line="167"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of the 10 largest U.S. banks;</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ind w:left="880" w:hanging="433"/>
        <w:spacing w:after="0" w:line="237"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We have developed contracts with over 1,100 merchants nationwide that allows us to remit approximately 64% of all of our bill payments electronically. We processed over 22 million transactions for the month of June 2001 and, for the year ended June 30, 2001, we processed over 231 million transactions.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March 1997, we introduced electronic billing -- "E-Bill" -- which enables merchants to deliver billing as well as marketing materials interactively to their customers over the Internet. In March 2001, we introduced the latest version of our electronic billing and payment products, "WebPay for Consumers" (or WebPay 3.2), which provides consumers with the ability to receive and pay e-bills over e-mail and to exchange money with each other using e-mail "invitations" to send or receive money. As of June 30, 2001, we have 173 billers in production and are delivering nearly 500,000 electronic bills monthly. Additional biller content became available in the fourth quarter of fiscal 2001 through our ability to deliver bills scraped from biller-direct sites, which added six national credit card bills to the 173 bills available through traditional electronic and billing payment services.</w:t>
      </w:r>
    </w:p>
    <w:p>
      <w:pPr>
        <w:spacing w:after="0" w:line="33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 If the results of the credit analysis are favorable, we will assume the risk of collection of the funds from the customer's account, and if we have an electronic connection to the merchant, the remittance will be sent electronically, otherwise, it will be sent by check. If the results are not favorable, the remittance will be sent to the merchant by a draft drawn directly on the customer's checking account. In an electronic remittance,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funds are transmitted electronically to the merchant with the customer's account number included as an addenda record. For a paper draft, the customer's name, address, and account number are printed on the face of the check. In addition, our processing system is able to aggregate multiple electronic and paper remittances due to merchants. Thus, if 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 Since June 1998, we have increased our electronic payments ratio from 32% of total payments processed electronically to approximately 64% by June 2001.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 Our portfolio management system solution includes:</w:t>
      </w:r>
    </w:p>
    <w:p>
      <w:pPr>
        <w:spacing w:after="0" w:line="168" w:lineRule="exact"/>
        <w:rPr>
          <w:sz w:val="20"/>
          <w:szCs w:val="20"/>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ind w:left="880" w:hanging="433"/>
        <w:spacing w:after="0" w:line="237"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interfacing.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66" w:lineRule="exact"/>
        <w:rPr>
          <w:sz w:val="20"/>
          <w:szCs w:val="20"/>
          <w:color w:val="auto"/>
        </w:rPr>
      </w:pPr>
    </w:p>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ind w:left="880" w:hanging="433"/>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ind w:left="880" w:hanging="433"/>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ind w:left="880" w:hanging="433"/>
        <w:spacing w:after="0" w:line="237"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 Our portfolios under management have grown to over 1.1 million as of June 30, 2001.</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69"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i-Solutions.</w:t>
      </w:r>
    </w:p>
    <w:p>
      <w:pPr>
        <w:spacing w:after="0" w:line="173" w:lineRule="exact"/>
        <w:rPr>
          <w:sz w:val="20"/>
          <w:szCs w:val="20"/>
          <w:color w:val="auto"/>
        </w:rPr>
      </w:pPr>
    </w:p>
    <w:p>
      <w:pPr>
        <w:ind w:left="880" w:right="3239" w:firstLine="437"/>
        <w:spacing w:after="0" w:line="237" w:lineRule="auto"/>
        <w:rPr>
          <w:sz w:val="20"/>
          <w:szCs w:val="20"/>
          <w:color w:val="auto"/>
        </w:rPr>
      </w:pPr>
      <w:r>
        <w:rPr>
          <w:rFonts w:ascii="Courier New" w:cs="Courier New" w:eastAsia="Courier New" w:hAnsi="Courier New"/>
          <w:sz w:val="15"/>
          <w:szCs w:val="15"/>
          <w:color w:val="auto"/>
        </w:rPr>
        <w:t>The i-Solutions product line, which is a set of electronic billing software products developed for various industry segments, was added through the acquisition of BlueGill Technologies, Inc. in April 2000. These products allow billers to install and launch an electronic billing product, send e-mail notifications and present electronic bills through the Internet, and connect to a variety of bill aggregators and payment methods. Each product includes an electronic billing web site template that is unique to a specific industry segment. Using the template as a sample design of their Internet billing site, our customers spend less time developing and designing the look and feel of their Internet billing sites, which accelerates the product implementation process. Given the nature of the process we use to convert billing and/or statement information for use over the Internet, these products are equally marketable in international markets as well.</w:t>
      </w:r>
    </w:p>
    <w:p>
      <w:pPr>
        <w:spacing w:after="0" w:line="168"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Funds Transfer.</w:t>
      </w:r>
    </w:p>
    <w:p>
      <w:pPr>
        <w:spacing w:after="0" w:line="173" w:lineRule="exact"/>
        <w:rPr>
          <w:sz w:val="20"/>
          <w:szCs w:val="20"/>
          <w:color w:val="auto"/>
        </w:rPr>
      </w:pPr>
    </w:p>
    <w:p>
      <w:pPr>
        <w:jc w:val="both"/>
        <w:ind w:left="880" w:right="3399" w:firstLine="437"/>
        <w:spacing w:after="0" w:line="235" w:lineRule="auto"/>
        <w:rPr>
          <w:sz w:val="20"/>
          <w:szCs w:val="20"/>
          <w:color w:val="auto"/>
        </w:rPr>
      </w:pPr>
      <w:r>
        <w:rPr>
          <w:rFonts w:ascii="Courier New" w:cs="Courier New" w:eastAsia="Courier New" w:hAnsi="Courier New"/>
          <w:sz w:val="15"/>
          <w:szCs w:val="15"/>
          <w:color w:val="auto"/>
        </w:rPr>
        <w:t>Through our Paperless Entry Processing System Plus software, we offer an online, real-time system providing an operational interface for originating and receiving payments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341"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 site at http://www.federalreserve.gov. We do not maintain a direct connection with the automated clearinghouse, but rather, clear our electronic transactions through KeyBank, N.A., under the terms of an automated clearinghouse agreement.</w:t>
      </w:r>
    </w:p>
    <w:p>
      <w:pPr>
        <w:spacing w:after="0" w:line="157"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3" w:lineRule="exact"/>
        <w:rPr>
          <w:sz w:val="20"/>
          <w:szCs w:val="20"/>
          <w:color w:val="auto"/>
        </w:rPr>
      </w:pPr>
    </w:p>
    <w:p>
      <w:pPr>
        <w:ind w:left="880" w:right="3239" w:firstLine="437"/>
        <w:spacing w:after="0" w:line="236" w:lineRule="auto"/>
        <w:rPr>
          <w:sz w:val="20"/>
          <w:szCs w:val="20"/>
          <w:color w:val="auto"/>
        </w:rPr>
      </w:pPr>
      <w:r>
        <w:rPr>
          <w:rFonts w:ascii="Courier New" w:cs="Courier New" w:eastAsia="Courier New" w:hAnsi="Courier New"/>
          <w:sz w:val="15"/>
          <w:szCs w:val="15"/>
          <w:color w:val="auto"/>
        </w:rPr>
        <w:t>Through our ReconPlus software, we provide U.S. banks, international banks and corporate treasury operations with automated check and non-check reconciliations in high volume, multi-location environments. Some of the services provided by ReconPlus are automated deposit verification, consolidated bank account reconciliation and cash mobilization, immediate and accurate funds availability data and improved cash control.</w:t>
      </w:r>
    </w:p>
    <w:p>
      <w:pPr>
        <w:spacing w:after="0" w:line="169"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880" w:right="3319" w:firstLine="437"/>
        <w:spacing w:after="0" w:line="235" w:lineRule="auto"/>
        <w:rPr>
          <w:sz w:val="20"/>
          <w:szCs w:val="20"/>
          <w:color w:val="auto"/>
        </w:rPr>
      </w:pPr>
      <w:r>
        <w:rPr>
          <w:rFonts w:ascii="Courier New" w:cs="Courier New" w:eastAsia="Courier New" w:hAnsi="Courier New"/>
          <w:sz w:val="15"/>
          <w:szCs w:val="15"/>
          <w:color w:val="auto"/>
        </w:rPr>
        <w:t>We also provide software solutions such as regulatory compliance solutions for Form 1099 processing, safe box accounting and other applications.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the fiscal year June 30, 2001, Electronic Commerce accounted for 70% of our revenues, Investment Services accounted for 16% of our revenues, and Software accounted for 14% of our revenues.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Mobius Group, Inc. in March 1999, BlueGill Technologies, Inc. in April 2000, and MSFDC, L.L.C (TransPoint) in September 2000. In October 2000, we completed the strategic agreement we entered into with Bank of America in April 2000, under which we acquired certain of Bank of America's electronic billing and payment assets.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majority of today's consumer bill payments are completed using traditional paper-based methods. According to the Gartner Group, of the estimated 17 billion consumer bills produced each year, 81% are paid by paper check, 12% are paid by electronic means and 7% by other means.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3" w:lineRule="exact"/>
        <w:rPr>
          <w:sz w:val="20"/>
          <w:szCs w:val="20"/>
          <w:color w:val="auto"/>
        </w:rPr>
      </w:pPr>
    </w:p>
    <w:p>
      <w:pPr>
        <w:ind w:left="440" w:right="3499" w:firstLine="437"/>
        <w:spacing w:after="0" w:line="234"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67"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Checks.</w:t>
      </w:r>
    </w:p>
    <w:p>
      <w:pPr>
        <w:spacing w:after="0" w:line="173" w:lineRule="exact"/>
        <w:rPr>
          <w:sz w:val="20"/>
          <w:szCs w:val="20"/>
          <w:color w:val="auto"/>
        </w:rPr>
      </w:pPr>
    </w:p>
    <w:p>
      <w:pPr>
        <w:ind w:left="880" w:right="3239" w:firstLine="437"/>
        <w:spacing w:after="0" w:line="236" w:lineRule="auto"/>
        <w:rPr>
          <w:sz w:val="20"/>
          <w:szCs w:val="20"/>
          <w:color w:val="auto"/>
        </w:rPr>
      </w:pPr>
      <w:r>
        <w:rPr>
          <w:rFonts w:ascii="Courier New" w:cs="Courier New" w:eastAsia="Courier New" w:hAnsi="Courier New"/>
          <w:sz w:val="15"/>
          <w:szCs w:val="15"/>
          <w:color w:val="auto"/>
        </w:rPr>
        <w:t>It is estimated that 65 billion checks were written in the United States in 1998. The use of checks imposes significant costs on financial institutions, businesses and their customers. These costs include the writing, mailing, recording and manual processing of checks.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880" w:hanging="433"/>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Paper Billing.</w:t>
      </w:r>
    </w:p>
    <w:p>
      <w:pPr>
        <w:spacing w:after="0" w:line="173" w:lineRule="exact"/>
        <w:rPr>
          <w:sz w:val="20"/>
          <w:szCs w:val="20"/>
          <w:color w:val="auto"/>
        </w:rPr>
      </w:pPr>
    </w:p>
    <w:p>
      <w:pPr>
        <w:ind w:left="880" w:right="3579" w:firstLine="437"/>
        <w:spacing w:after="0" w:line="258" w:lineRule="auto"/>
        <w:rPr>
          <w:sz w:val="20"/>
          <w:szCs w:val="20"/>
          <w:color w:val="auto"/>
        </w:rPr>
      </w:pPr>
      <w:r>
        <w:rPr>
          <w:rFonts w:ascii="Courier New" w:cs="Courier New" w:eastAsia="Courier New" w:hAnsi="Courier New"/>
          <w:sz w:val="14"/>
          <w:szCs w:val="14"/>
          <w:color w:val="auto"/>
        </w:rPr>
        <w:t>It is estimated that over 17 billion paper bills are produced each year, with the cost of submitting a paper bill, including printing, postage and billing inserts, as high as $3.00 per bill.</w:t>
      </w:r>
    </w:p>
    <w:p>
      <w:pPr>
        <w:spacing w:after="0" w:line="155" w:lineRule="exact"/>
        <w:rPr>
          <w:sz w:val="20"/>
          <w:szCs w:val="20"/>
          <w:color w:val="auto"/>
        </w:rPr>
      </w:pPr>
    </w:p>
    <w:p>
      <w:pPr>
        <w:ind w:left="880" w:hanging="433"/>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Conventional Banking.</w:t>
      </w:r>
    </w:p>
    <w:p>
      <w:pPr>
        <w:spacing w:after="0" w:line="173" w:lineRule="exact"/>
        <w:rPr>
          <w:sz w:val="20"/>
          <w:szCs w:val="20"/>
          <w:color w:val="auto"/>
        </w:rPr>
      </w:pPr>
    </w:p>
    <w:p>
      <w:pPr>
        <w:ind w:left="880" w:right="3319" w:firstLine="437"/>
        <w:spacing w:after="0" w:line="236" w:lineRule="auto"/>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69" w:lineRule="exact"/>
        <w:rPr>
          <w:sz w:val="20"/>
          <w:szCs w:val="20"/>
          <w:color w:val="auto"/>
        </w:rPr>
      </w:pPr>
    </w:p>
    <w:p>
      <w:pPr>
        <w:ind w:left="880" w:hanging="433"/>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to Business Payments.</w:t>
      </w:r>
    </w:p>
    <w:p>
      <w:pPr>
        <w:spacing w:after="0" w:line="173" w:lineRule="exact"/>
        <w:rPr>
          <w:sz w:val="20"/>
          <w:szCs w:val="20"/>
          <w:color w:val="auto"/>
        </w:rPr>
      </w:pPr>
    </w:p>
    <w:p>
      <w:pPr>
        <w:ind w:left="880" w:right="3239" w:firstLine="437"/>
        <w:spacing w:after="0" w:line="255" w:lineRule="auto"/>
        <w:rPr>
          <w:sz w:val="20"/>
          <w:szCs w:val="20"/>
          <w:color w:val="auto"/>
        </w:rPr>
      </w:pPr>
      <w:r>
        <w:rPr>
          <w:rFonts w:ascii="Courier New" w:cs="Courier New" w:eastAsia="Courier New" w:hAnsi="Courier New"/>
          <w:sz w:val="14"/>
          <w:szCs w:val="14"/>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believe the broad impact of the Internet is driving financial institutions, businesses and consumers to adopt practices of electronic billing and payment, banking and business-to-business payments. We expect that the growth in these electronic commerce activities will increase the need for services that support secure, reliable and cost-effective financial transactions between and among these market participants. We believe the combination of the following trends is driving adoption of electronic commerce:</w:t>
      </w:r>
    </w:p>
    <w:p>
      <w:pPr>
        <w:spacing w:after="0" w:line="160" w:lineRule="exact"/>
        <w:rPr>
          <w:sz w:val="20"/>
          <w:szCs w:val="20"/>
          <w:color w:val="auto"/>
        </w:rPr>
      </w:pPr>
    </w:p>
    <w:p>
      <w:pPr>
        <w:ind w:left="880" w:hanging="433"/>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PC Ownership.</w:t>
      </w:r>
    </w:p>
    <w:p>
      <w:pPr>
        <w:spacing w:after="0" w:line="173" w:lineRule="exact"/>
        <w:rPr>
          <w:sz w:val="20"/>
          <w:szCs w:val="20"/>
          <w:color w:val="auto"/>
        </w:rPr>
      </w:pPr>
    </w:p>
    <w:p>
      <w:pPr>
        <w:ind w:left="880" w:right="3399" w:firstLine="437"/>
        <w:spacing w:after="0" w:line="235"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U.S. homes.</w:t>
      </w:r>
    </w:p>
    <w:p>
      <w:pPr>
        <w:spacing w:after="0" w:line="167" w:lineRule="exact"/>
        <w:rPr>
          <w:sz w:val="20"/>
          <w:szCs w:val="20"/>
          <w:color w:val="auto"/>
        </w:rPr>
      </w:pPr>
    </w:p>
    <w:p>
      <w:pPr>
        <w:ind w:left="880" w:hanging="433"/>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Internet Accessibility.</w:t>
      </w:r>
    </w:p>
    <w:p>
      <w:pPr>
        <w:spacing w:after="0" w:line="173" w:lineRule="exact"/>
        <w:rPr>
          <w:sz w:val="20"/>
          <w:szCs w:val="20"/>
          <w:color w:val="auto"/>
        </w:rPr>
      </w:pPr>
    </w:p>
    <w:p>
      <w:pPr>
        <w:jc w:val="both"/>
        <w:ind w:left="880" w:right="3399" w:firstLine="437"/>
        <w:spacing w:after="0" w:line="255" w:lineRule="auto"/>
        <w:rPr>
          <w:sz w:val="20"/>
          <w:szCs w:val="20"/>
          <w:color w:val="auto"/>
        </w:rPr>
      </w:pPr>
      <w:r>
        <w:rPr>
          <w:rFonts w:ascii="Courier New" w:cs="Courier New" w:eastAsia="Courier New" w:hAnsi="Courier New"/>
          <w:sz w:val="14"/>
          <w:szCs w:val="14"/>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United States at the end of 1998 and that this figure will grow to 136 million by the end of 2002.</w:t>
      </w:r>
    </w:p>
    <w:p>
      <w:pPr>
        <w:spacing w:after="0" w:line="160" w:lineRule="exact"/>
        <w:rPr>
          <w:sz w:val="20"/>
          <w:szCs w:val="20"/>
          <w:color w:val="auto"/>
        </w:rPr>
      </w:pPr>
    </w:p>
    <w:p>
      <w:pPr>
        <w:ind w:left="880" w:hanging="433"/>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Acceptance of Electronic Commerce.</w:t>
      </w:r>
    </w:p>
    <w:p>
      <w:pPr>
        <w:spacing w:after="0" w:line="173" w:lineRule="exact"/>
        <w:rPr>
          <w:sz w:val="20"/>
          <w:szCs w:val="20"/>
          <w:color w:val="auto"/>
        </w:rPr>
      </w:pPr>
    </w:p>
    <w:p>
      <w:pPr>
        <w:ind w:left="880" w:right="3239" w:firstLine="437"/>
        <w:spacing w:after="0" w:line="236" w:lineRule="auto"/>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w:t>
      </w:r>
    </w:p>
    <w:p>
      <w:pPr>
        <w:spacing w:after="0" w:line="168"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Industry Participants.</w:t>
      </w:r>
    </w:p>
    <w:p>
      <w:pPr>
        <w:spacing w:after="0" w:line="173" w:lineRule="exact"/>
        <w:rPr>
          <w:sz w:val="20"/>
          <w:szCs w:val="20"/>
          <w:color w:val="auto"/>
        </w:rPr>
      </w:pPr>
    </w:p>
    <w:p>
      <w:pPr>
        <w:ind w:left="880" w:right="3239" w:firstLine="437"/>
        <w:spacing w:after="0" w:line="235" w:lineRule="auto"/>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 financial services companies. These companies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341" w:lineRule="exact"/>
        <w:rPr>
          <w:sz w:val="20"/>
          <w:szCs w:val="20"/>
          <w:color w:val="auto"/>
        </w:rPr>
      </w:pPr>
    </w:p>
    <w:p>
      <w:pPr>
        <w:ind w:left="880" w:right="3319"/>
        <w:spacing w:after="0" w:line="235" w:lineRule="auto"/>
        <w:rPr>
          <w:sz w:val="20"/>
          <w:szCs w:val="20"/>
          <w:color w:val="auto"/>
        </w:rPr>
      </w:pPr>
      <w:r>
        <w:rPr>
          <w:rFonts w:ascii="Courier New" w:cs="Courier New" w:eastAsia="Courier New" w:hAnsi="Courier New"/>
          <w:sz w:val="15"/>
          <w:szCs w:val="15"/>
          <w:color w:val="auto"/>
        </w:rPr>
        <w:t>do not offer consumers the possibility of traditional, manual financial transactions and are driving further adoption of electronic commerce.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compared with conventional paper-based transactions, electronic transactions cost much less to complete, give rise to far fewer errors and generate far fewer subscriber inquires. We believe that an electronic solution should allow consumers at their access point of choice to:</w:t>
      </w:r>
    </w:p>
    <w:p>
      <w:pPr>
        <w:spacing w:after="0" w:line="171"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ind w:left="880" w:hanging="433"/>
        <w:spacing w:after="0" w:line="237"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electronic or paper-- to anyone; and</w:t>
      </w:r>
    </w:p>
    <w:p>
      <w:pPr>
        <w:spacing w:after="0" w:line="5"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60"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We also believe that these functionalities must be delivered on a platform that:</w:t>
      </w:r>
    </w:p>
    <w:p>
      <w:pPr>
        <w:spacing w:after="0" w:line="167" w:lineRule="exact"/>
        <w:rPr>
          <w:sz w:val="20"/>
          <w:szCs w:val="20"/>
          <w:color w:val="auto"/>
        </w:rPr>
      </w:pPr>
    </w:p>
    <w:p>
      <w:pPr>
        <w:ind w:left="880" w:hanging="433"/>
        <w:spacing w:after="0"/>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ind w:left="880" w:hanging="433"/>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ind w:left="880" w:hanging="433"/>
        <w:spacing w:after="0" w:line="237"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Over the past seventeen years, we have developed market leading expertise and technological capability to provide electronic commerce solutions with these functionalities.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 a full suite of electronic commerce services, all of which we offer in an integrated fashion through multiple distribution channels.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Infrastructure</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5" w:lineRule="exact"/>
        <w:rPr>
          <w:sz w:val="20"/>
          <w:szCs w:val="20"/>
          <w:color w:val="auto"/>
        </w:rPr>
      </w:pPr>
    </w:p>
    <w:p>
      <w:pPr>
        <w:ind w:left="880" w:hanging="433"/>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Connectivity with Merchants.</w:t>
      </w:r>
    </w:p>
    <w:p>
      <w:pPr>
        <w:spacing w:after="0" w:line="173" w:lineRule="exact"/>
        <w:rPr>
          <w:sz w:val="20"/>
          <w:szCs w:val="20"/>
          <w:color w:val="auto"/>
        </w:rPr>
      </w:pPr>
    </w:p>
    <w:p>
      <w:pPr>
        <w:ind w:left="880" w:right="3399" w:firstLine="437"/>
        <w:spacing w:after="0" w:line="255" w:lineRule="auto"/>
        <w:rPr>
          <w:sz w:val="20"/>
          <w:szCs w:val="20"/>
          <w:color w:val="auto"/>
        </w:rPr>
      </w:pPr>
      <w:r>
        <w:rPr>
          <w:rFonts w:ascii="Courier New" w:cs="Courier New" w:eastAsia="Courier New" w:hAnsi="Courier New"/>
          <w:sz w:val="14"/>
          <w:szCs w:val="14"/>
          <w:color w:val="auto"/>
        </w:rPr>
        <w:t>We have established electronic connectivity to over 1,100 merchants, which allows us to remit 64%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60"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Scalable Genesis Platform.</w:t>
      </w:r>
    </w:p>
    <w:p>
      <w:pPr>
        <w:spacing w:after="0" w:line="173" w:lineRule="exact"/>
        <w:rPr>
          <w:sz w:val="20"/>
          <w:szCs w:val="20"/>
          <w:color w:val="auto"/>
        </w:rPr>
      </w:pPr>
    </w:p>
    <w:p>
      <w:pPr>
        <w:ind w:left="880" w:right="3319" w:firstLine="437"/>
        <w:spacing w:after="0" w:line="236" w:lineRule="auto"/>
        <w:rPr>
          <w:sz w:val="20"/>
          <w:szCs w:val="20"/>
          <w:color w:val="auto"/>
        </w:rPr>
      </w:pPr>
      <w:r>
        <w:rPr>
          <w:rFonts w:ascii="Courier New" w:cs="Courier New" w:eastAsia="Courier New" w:hAnsi="Courier New"/>
          <w:sz w:val="15"/>
          <w:szCs w:val="15"/>
          <w:color w:val="auto"/>
        </w:rPr>
        <w:t>Our Genesis platform, completed in 1998, is an internally developed data processing system created by our in-house engineers to process electronic billings and payments. The Genesis platform was designed to be scaled to handle more than 30 million consumers. We have made significant investments in processes and technologies supporting our Genesis platform to ensure that transactions are executed with the highest level of security, reliability and efficiency.</w:t>
      </w:r>
    </w:p>
    <w:p>
      <w:pPr>
        <w:spacing w:after="0" w:line="171"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Connectivity to Billers.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880" w:right="3319" w:firstLine="437"/>
        <w:spacing w:after="0" w:line="255" w:lineRule="auto"/>
        <w:rPr>
          <w:sz w:val="20"/>
          <w:szCs w:val="20"/>
          <w:color w:val="auto"/>
        </w:rPr>
      </w:pPr>
      <w:r>
        <w:rPr>
          <w:rFonts w:ascii="Courier New" w:cs="Courier New" w:eastAsia="Courier New" w:hAnsi="Courier New"/>
          <w:sz w:val="14"/>
          <w:szCs w:val="14"/>
          <w:color w:val="auto"/>
        </w:rPr>
        <w:t>We believe that our ability to provide consumers with access to electronic bills will substantially spur adoption of the electronic solution. By targeting the largest billers in key industries and in selected population centers, we believe we can provide a significant number of bills to most consumers at their access point of choice. We have electronic bill distribution contracts with 271 billers. To encourage billers to utilize our services, we anticipate funding a portion of some billers' set-up costs.</w:t>
      </w:r>
    </w:p>
    <w:p>
      <w:pPr>
        <w:spacing w:after="0" w:line="159" w:lineRule="exact"/>
        <w:rPr>
          <w:sz w:val="20"/>
          <w:szCs w:val="20"/>
          <w:color w:val="auto"/>
        </w:rPr>
      </w:pPr>
    </w:p>
    <w:p>
      <w:pPr>
        <w:ind w:left="880" w:hanging="433"/>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Customer Care Staff.</w:t>
      </w:r>
    </w:p>
    <w:p>
      <w:pPr>
        <w:spacing w:after="0" w:line="341" w:lineRule="exact"/>
        <w:rPr>
          <w:sz w:val="20"/>
          <w:szCs w:val="20"/>
          <w:color w:val="auto"/>
        </w:rPr>
      </w:pPr>
    </w:p>
    <w:p>
      <w:pPr>
        <w:ind w:left="880" w:right="3399" w:firstLine="437"/>
        <w:spacing w:after="0" w:line="236" w:lineRule="auto"/>
        <w:rPr>
          <w:sz w:val="20"/>
          <w:szCs w:val="20"/>
          <w:color w:val="auto"/>
        </w:rPr>
      </w:pPr>
      <w:r>
        <w:rPr>
          <w:rFonts w:ascii="Courier New" w:cs="Courier New" w:eastAsia="Courier New" w:hAnsi="Courier New"/>
          <w:sz w:val="15"/>
          <w:szCs w:val="15"/>
          <w:color w:val="auto"/>
        </w:rPr>
        <w:t>We have approximately 1,040 trained, experienced customer care and merchant services staff that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consumers are most attracted to an electronic solution that enables them to receive and pay all of their bills at a single site. For many consumers, the site they choose will be their financial institution's website, while others will prefer Internet portals or sites operated by individual merchants. Through contracts with hundreds of sources, we are able to distribute our services to whichever access and aggregation site the consumer prefers. Significant among these contracts are our agreements with:</w:t>
      </w:r>
    </w:p>
    <w:p>
      <w:pPr>
        <w:spacing w:after="0" w:line="169"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of the 10 largest U.S. banks;</w:t>
      </w:r>
    </w:p>
    <w:p>
      <w:pPr>
        <w:ind w:left="880" w:hanging="43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ind w:left="880" w:hanging="43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ind w:left="880" w:hanging="43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ind w:left="880" w:hanging="433"/>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Internet portals, businesses and their customers. We have designed our services and products to take advantage of opportunities we perceive in light of current trends and our fundamental strategy. The key elements of our business strategy are to:</w:t>
      </w:r>
    </w:p>
    <w:p>
      <w:pPr>
        <w:spacing w:after="0" w:line="175" w:lineRule="exact"/>
        <w:rPr>
          <w:sz w:val="20"/>
          <w:szCs w:val="20"/>
          <w:color w:val="auto"/>
        </w:rPr>
      </w:pPr>
    </w:p>
    <w:p>
      <w:pPr>
        <w:ind w:left="880" w:hanging="433"/>
        <w:spacing w:after="0"/>
        <w:tabs>
          <w:tab w:leader="none" w:pos="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 increased adoption of electronic commerce services by consumers.</w:t>
      </w:r>
    </w:p>
    <w:p>
      <w:pPr>
        <w:spacing w:after="0" w:line="178" w:lineRule="exact"/>
        <w:rPr>
          <w:sz w:val="20"/>
          <w:szCs w:val="20"/>
          <w:color w:val="auto"/>
        </w:rPr>
      </w:pPr>
    </w:p>
    <w:p>
      <w:pPr>
        <w:ind w:left="880" w:right="3319" w:firstLine="437"/>
        <w:spacing w:after="0" w:line="236" w:lineRule="auto"/>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methods to electronic transactions if they have an easy-to-access, easy-to-use, secure, compelling and cost-effective method for receiving and paying their bills electronically. Our strategy to drive adoption of our electronic services will focus on the following initiatives.</w:t>
      </w:r>
    </w:p>
    <w:p>
      <w:pPr>
        <w:spacing w:after="0" w:line="175" w:lineRule="exact"/>
        <w:rPr>
          <w:sz w:val="20"/>
          <w:szCs w:val="20"/>
          <w:color w:val="auto"/>
        </w:rPr>
      </w:pPr>
    </w:p>
    <w:p>
      <w:pPr>
        <w:ind w:left="880" w:right="3239" w:firstLine="437"/>
        <w:spacing w:after="0" w:line="255" w:lineRule="auto"/>
        <w:rPr>
          <w:sz w:val="20"/>
          <w:szCs w:val="20"/>
          <w:color w:val="auto"/>
        </w:rPr>
      </w:pPr>
      <w:r>
        <w:rPr>
          <w:rFonts w:ascii="Courier New" w:cs="Courier New" w:eastAsia="Courier New" w:hAnsi="Courier New"/>
          <w:sz w:val="14"/>
          <w:szCs w:val="14"/>
          <w:color w:val="auto"/>
        </w:rPr>
        <w:t>We intend to use the broad adoption of the Internet by consumers to encourage the use of our web-based electronic commerce services by our financial institution and Internet portal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working with Internet portals to offer our services to consumers on a free-trial basis. Initially, this strategy will result in foregone revenues, but we anticipate converting a majority of these new customers to fee-based services at the end of the trial period. As consumers continue to adopt electronic commerce services, financial</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341" w:lineRule="exact"/>
        <w:rPr>
          <w:sz w:val="20"/>
          <w:szCs w:val="20"/>
          <w:color w:val="auto"/>
        </w:rPr>
      </w:pPr>
    </w:p>
    <w:p>
      <w:pPr>
        <w:ind w:left="600" w:right="3319"/>
        <w:spacing w:after="0" w:line="261" w:lineRule="auto"/>
        <w:rPr>
          <w:sz w:val="20"/>
          <w:szCs w:val="20"/>
          <w:color w:val="auto"/>
        </w:rPr>
      </w:pPr>
      <w:r>
        <w:rPr>
          <w:rFonts w:ascii="Courier New" w:cs="Courier New" w:eastAsia="Courier New" w:hAnsi="Courier New"/>
          <w:sz w:val="14"/>
          <w:szCs w:val="14"/>
          <w:color w:val="auto"/>
        </w:rPr>
        <w:t>institutions and billers will see greater efficiencies from providing electronic billing and payment services to their customers.</w:t>
      </w:r>
    </w:p>
    <w:p>
      <w:pPr>
        <w:spacing w:after="0" w:line="160" w:lineRule="exact"/>
        <w:rPr>
          <w:sz w:val="20"/>
          <w:szCs w:val="20"/>
          <w:color w:val="auto"/>
        </w:rPr>
      </w:pPr>
    </w:p>
    <w:p>
      <w:pPr>
        <w:ind w:left="600" w:right="3319" w:firstLine="437"/>
        <w:spacing w:after="0" w:line="255" w:lineRule="auto"/>
        <w:rPr>
          <w:sz w:val="20"/>
          <w:szCs w:val="20"/>
          <w:color w:val="auto"/>
        </w:rPr>
      </w:pPr>
      <w:r>
        <w:rPr>
          <w:rFonts w:ascii="Courier New" w:cs="Courier New" w:eastAsia="Courier New" w:hAnsi="Courier New"/>
          <w:sz w:val="14"/>
          <w:szCs w:val="14"/>
          <w:color w:val="auto"/>
        </w:rPr>
        <w:t>We are proposing new pricing structures to our financial institution customers to facilitate their offering electronic billing and payment to a broad spectrum of consumers. Our traditional financial institution pricing structure was based on subscriber fees, with an average cost to the financial institution of approximately $4 per subscriber per month. Under the old pricing structure, the costs to our financial institution customers grew roughly proportionally to the number of subscribers added, regardless of activity. Our new pricing programs are negotiated individually with each customer and include a monthly fixed fee to the financial institution to cover our infrastructure costs which helps our financial institution customers more accurately predict the costs, a small monthly per subscriber fee and a new fee based on the number of transactions processed by the financial institution. We believe the new pricing structure should allow our financial institution customers to justify promoting the service through free trials and other offers.</w:t>
      </w:r>
    </w:p>
    <w:p>
      <w:pPr>
        <w:spacing w:after="0" w:line="163" w:lineRule="exact"/>
        <w:rPr>
          <w:sz w:val="20"/>
          <w:szCs w:val="20"/>
          <w:color w:val="auto"/>
        </w:rPr>
      </w:pPr>
    </w:p>
    <w:p>
      <w:pPr>
        <w:ind w:left="600" w:right="3239" w:firstLine="437"/>
        <w:spacing w:after="0" w:line="235" w:lineRule="auto"/>
        <w:rPr>
          <w:sz w:val="20"/>
          <w:szCs w:val="20"/>
          <w:color w:val="auto"/>
        </w:rPr>
      </w:pPr>
      <w:r>
        <w:rPr>
          <w:rFonts w:ascii="Courier New" w:cs="Courier New" w:eastAsia="Courier New" w:hAnsi="Courier New"/>
          <w:sz w:val="15"/>
          <w:szCs w:val="15"/>
          <w:color w:val="auto"/>
        </w:rPr>
        <w:t>Additionally, we believe that financial institutions and Internet portals that offer electronic banking will experience increased customer retention, have a superior marketing channel and be able to offer enhanced customer service.</w:t>
      </w:r>
    </w:p>
    <w:p>
      <w:pPr>
        <w:spacing w:after="0" w:line="175" w:lineRule="exact"/>
        <w:rPr>
          <w:sz w:val="20"/>
          <w:szCs w:val="20"/>
          <w:color w:val="auto"/>
        </w:rPr>
      </w:pPr>
    </w:p>
    <w:p>
      <w:pPr>
        <w:ind w:left="600" w:right="3399" w:hanging="433"/>
        <w:spacing w:after="0" w:line="234"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3" w:lineRule="exact"/>
        <w:rPr>
          <w:sz w:val="20"/>
          <w:szCs w:val="20"/>
          <w:color w:val="auto"/>
        </w:rPr>
      </w:pPr>
    </w:p>
    <w:p>
      <w:pPr>
        <w:ind w:left="600" w:right="3239" w:firstLine="437"/>
        <w:spacing w:after="0" w:line="255" w:lineRule="auto"/>
        <w:rPr>
          <w:sz w:val="20"/>
          <w:szCs w:val="20"/>
          <w:color w:val="auto"/>
        </w:rPr>
      </w:pPr>
      <w:r>
        <w:rPr>
          <w:rFonts w:ascii="Courier New" w:cs="Courier New" w:eastAsia="Courier New" w:hAnsi="Courier New"/>
          <w:sz w:val="14"/>
          <w:szCs w:val="14"/>
          <w:color w:val="auto"/>
        </w:rPr>
        <w:t>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personal financial management software, like Quicken, Microsoft Money and Managing Your Money and of business management software, like QuickBooks, we expand public access to, and awareness of, our services.</w:t>
      </w:r>
    </w:p>
    <w:p>
      <w:pPr>
        <w:spacing w:after="0" w:line="159" w:lineRule="exact"/>
        <w:rPr>
          <w:sz w:val="20"/>
          <w:szCs w:val="20"/>
          <w:color w:val="auto"/>
        </w:rPr>
      </w:pPr>
    </w:p>
    <w:p>
      <w:pPr>
        <w:ind w:left="600" w:hanging="433"/>
        <w:spacing w:after="0"/>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customer care and technical support.</w:t>
      </w:r>
    </w:p>
    <w:p>
      <w:pPr>
        <w:spacing w:after="0" w:line="173" w:lineRule="exact"/>
        <w:rPr>
          <w:sz w:val="20"/>
          <w:szCs w:val="20"/>
          <w:color w:val="auto"/>
        </w:rPr>
      </w:pPr>
    </w:p>
    <w:p>
      <w:pPr>
        <w:ind w:left="600" w:right="3319" w:firstLine="437"/>
        <w:spacing w:after="0" w:line="237" w:lineRule="auto"/>
        <w:rPr>
          <w:sz w:val="20"/>
          <w:szCs w:val="20"/>
          <w:color w:val="auto"/>
        </w:rPr>
      </w:pPr>
      <w:r>
        <w:rPr>
          <w:rFonts w:ascii="Courier New" w:cs="Courier New" w:eastAsia="Courier New" w:hAnsi="Courier New"/>
          <w:sz w:val="15"/>
          <w:szCs w:val="15"/>
          <w:color w:val="auto"/>
        </w:rPr>
        <w:t>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 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established a third operational center in Phoenix, Arizona to house customer care and check printing and distribution functions.</w:t>
      </w:r>
    </w:p>
    <w:p>
      <w:pPr>
        <w:spacing w:after="0" w:line="168" w:lineRule="exact"/>
        <w:rPr>
          <w:sz w:val="20"/>
          <w:szCs w:val="20"/>
          <w:color w:val="auto"/>
        </w:rPr>
      </w:pPr>
    </w:p>
    <w:p>
      <w:pPr>
        <w:ind w:left="600" w:hanging="433"/>
        <w:spacing w:after="0"/>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improve operational efficiency and effectiveness.</w:t>
      </w:r>
    </w:p>
    <w:p>
      <w:pPr>
        <w:spacing w:after="0" w:line="173" w:lineRule="exact"/>
        <w:rPr>
          <w:sz w:val="20"/>
          <w:szCs w:val="20"/>
          <w:color w:val="auto"/>
        </w:rPr>
      </w:pPr>
    </w:p>
    <w:p>
      <w:pPr>
        <w:ind w:left="600" w:right="3319" w:firstLine="437"/>
        <w:spacing w:after="0" w:line="255" w:lineRule="auto"/>
        <w:rPr>
          <w:sz w:val="20"/>
          <w:szCs w:val="20"/>
          <w:color w:val="auto"/>
        </w:rPr>
      </w:pPr>
      <w:r>
        <w:rPr>
          <w:rFonts w:ascii="Courier New" w:cs="Courier New" w:eastAsia="Courier New" w:hAnsi="Courier New"/>
          <w:sz w:val="14"/>
          <w:szCs w:val="14"/>
          <w:color w:val="auto"/>
        </w:rPr>
        <w:t>We believe that as our business grows and the number of transactions we process increases, we will be able to take advantage of operating efficiencies associated with increased volumes, thereby reducing our unit costs. In fiscal 2000, we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w:t>
      </w:r>
    </w:p>
    <w:p>
      <w:pPr>
        <w:spacing w:after="0" w:line="32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341" w:lineRule="exact"/>
        <w:rPr>
          <w:sz w:val="20"/>
          <w:szCs w:val="20"/>
          <w:color w:val="auto"/>
        </w:rPr>
      </w:pPr>
    </w:p>
    <w:p>
      <w:pPr>
        <w:ind w:left="880" w:right="3319"/>
        <w:spacing w:after="0" w:line="255" w:lineRule="auto"/>
        <w:rPr>
          <w:sz w:val="20"/>
          <w:szCs w:val="20"/>
          <w:color w:val="auto"/>
        </w:rPr>
      </w:pPr>
      <w:r>
        <w:rPr>
          <w:rFonts w:ascii="Courier New" w:cs="Courier New" w:eastAsia="Courier New" w:hAnsi="Courier New"/>
          <w:sz w:val="14"/>
          <w:szCs w:val="14"/>
          <w:color w:val="auto"/>
        </w:rPr>
        <w:t>began our fiscal year 2000, to 99.9%, or 4.6 sigma, by the end of fiscal 2000. A 4.6 sigma is the quality standard set by the telecommunications industry for delivering their services to businesses and consumers or "dial-tone" quality. By the end of fiscal 2000, we fell slightly below our goal by achieving a quality level of 4.5 sigma. We achieved our goal by achieving 4.6 sigma in fiscal 2001 and now we are working to maintain that level. We expect to derive further operational efficiency and effectiveness by increasing our electronic links with billers, enabling a larger percentage of our consumer transactions to be processed electronically.</w:t>
      </w:r>
    </w:p>
    <w:p>
      <w:pPr>
        <w:spacing w:after="0" w:line="159" w:lineRule="exact"/>
        <w:rPr>
          <w:sz w:val="20"/>
          <w:szCs w:val="20"/>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new forms of electronic commerce services.</w:t>
      </w:r>
    </w:p>
    <w:p>
      <w:pPr>
        <w:spacing w:after="0" w:line="173" w:lineRule="exact"/>
        <w:rPr>
          <w:sz w:val="20"/>
          <w:szCs w:val="20"/>
          <w:color w:val="auto"/>
        </w:rPr>
      </w:pPr>
    </w:p>
    <w:p>
      <w:pPr>
        <w:ind w:left="880" w:right="3399" w:firstLine="437"/>
        <w:spacing w:after="0" w:line="236" w:lineRule="auto"/>
        <w:rPr>
          <w:sz w:val="20"/>
          <w:szCs w:val="20"/>
          <w:color w:val="auto"/>
        </w:rPr>
      </w:pPr>
      <w:r>
        <w:rPr>
          <w:rFonts w:ascii="Courier New" w:cs="Courier New" w:eastAsia="Courier New" w:hAnsi="Courier New"/>
          <w:sz w:val="15"/>
          <w:szCs w:val="15"/>
          <w:color w:val="auto"/>
        </w:rPr>
        <w:t>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Electronic Commerce</w:t>
      </w:r>
    </w:p>
    <w:p>
      <w:pPr>
        <w:spacing w:after="0" w:line="173"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166" w:lineRule="exact"/>
        <w:rPr>
          <w:sz w:val="20"/>
          <w:szCs w:val="20"/>
          <w:color w:val="auto"/>
        </w:rPr>
      </w:pPr>
    </w:p>
    <w:p>
      <w:pPr>
        <w:ind w:right="3679" w:firstLine="437"/>
        <w:spacing w:after="0" w:line="256" w:lineRule="auto"/>
        <w:rPr>
          <w:sz w:val="20"/>
          <w:szCs w:val="20"/>
          <w:color w:val="auto"/>
        </w:rPr>
      </w:pPr>
      <w:r>
        <w:rPr>
          <w:rFonts w:ascii="Courier New" w:cs="Courier New" w:eastAsia="Courier New" w:hAnsi="Courier New"/>
          <w:sz w:val="14"/>
          <w:szCs w:val="14"/>
          <w:color w:val="auto"/>
        </w:rPr>
        <w:t>We have arrangements with hundreds of sources through which electronic payment services are provided to their customers. The following financial institutions are some of our largest customers of our electronic commerce services, as determined by the number of subscribers: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rPr>
              <w:t>Bank of America;</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w w:val="96"/>
              </w:rPr>
              <w:t>Merrill Lynch &amp; Co.;</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Bank One;</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U.S. Postal Service;</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Charles Schwab &amp; Co.;</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U.S. Bancorp;</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Chase Manhattan Bank;</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Wells Fargo; and</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First Union;</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Yahoo.</w:t>
            </w:r>
          </w:p>
        </w:tc>
      </w:tr>
    </w:tbl>
    <w:p>
      <w:pPr>
        <w:ind w:left="800" w:hanging="790"/>
        <w:spacing w:after="0" w:line="237"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KeyCorp;</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This list of our customers is not exhaustive and may not fully represent our customer base.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Bill Payment and Banking. Our bill payment services enable financial institution and Internet portal customers, as well as direct consumer subscribers to pay bills electronically using a variety of devices like personal computers and touch-tone telephones. Bills paid by consumers using our bill payment services 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make any payment electronically from any checking account at any financial institution in the United States. Recurring bills like mortgages can be paid automatically and scheduled in advance, as specified by the consumer. As of June 30, 2001, we had over 5.2 million consumers using our bill payment and home banking services.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personal computer and web-based account registers, matching cleared items with previously entered transactions.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Revenues are generated through contracts with individual financial institutions. We historically negotiated with the financial institution an implementation fee, a base monthly fee per customer account on the service provided, and in some cases, a variable per transaction fee which may decrease based on the volume of transactions. We recently announced the adoption of new pricing programs that include a monthly fixed fee to the financial institution to cover our infrastructure costs which helps our financial institution customers more accurately predict the costs, a small monthly per subscriber fee and a new fee based on the number of transactions processed.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these services and, in some cases, will share revenue derived from billers with the financial institutions and the Internet portals. In the near term, we will offer free-trial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Investment Services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full range of portfolio management services provides our clients with portfolio management tools, tax lot reporting,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Revenues in our portfolio management services are generated through multiple year agreements that provide for monthly revenue on a volume basis. Revenue from our information services and software is typically generated through annual agreements.</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a large number of portfolios.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automated clearinghouse processing, reconciliation and regulatory compliance. In addition, we offer software consulting and training services.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software products provide systems that range from back office operations to front-end interface with the clients of our customers. Applications include automated clearinghouse origination and processing reconciliation, regulatory compliance and safe deposit box accounting. While we have no pending agreements to dispose of our remaining software businesses, we do receive offers for them from time to time.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i-Solutions. The i-Solutions product line, which is a set of electronic billing software products developed for various industry segments, was added through the acquisition of BlueGill Technologies, Inc. in April 2000. These products allow billers to install and launch an electronic billing product, send e-mail notifications and present electronic bills through the Internet, and connect to a variety of bill aggregators and payment methods. Each product includes an electronic billing web site template that is unique to a specific industry segment. Using the template as a sample design of their Internet billing site, our customers spend less time developing and designing the look and feel of their Internet billing sites, which accelerates the product implementation process.</w:t>
      </w:r>
    </w:p>
    <w:p>
      <w:pPr>
        <w:spacing w:after="0" w:line="180"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Automated Clearinghouse. The automated clearinghouse network was developed in the 1970s to permit the electronic transfer of funds, curtailing the growth in the number of paper checks in circulation. The automated clearinghouse network acts as the clearing facility for routing electronic funds transfer entries between financial institutions. All automated clearinghouse transfers are handled in a standard format established through the National Automated Clearing House Association. More than 15,000 financial institutions participate in the automated clearinghouse system. There are 31 automated clearing 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developed the Paperless Entry Processing System Plus, with 40 of the top 50 originators utilizing the product to process approximately 70% of all automated clearinghouse transactions nationally, it is the most widely used, comprehensive automated clearinghouse processing system in the United States. Paperless Entry Processing System Plus is an on-line, real-time system providing an operational interface for originating and receiving electronic payments through the automated clearinghouse.</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Reconciliation. Our reconciliation products allow users to verify and compare their financial records, data and accounts against related information derived from third party sources. RECON-PLUS provides United States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4" w:lineRule="exact"/>
        <w:rPr>
          <w:sz w:val="20"/>
          <w:szCs w:val="20"/>
          <w:color w:val="auto"/>
        </w:rPr>
      </w:pPr>
    </w:p>
    <w:p>
      <w:pPr>
        <w:ind w:left="800" w:hanging="790"/>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ind w:left="800" w:hanging="790"/>
        <w:spacing w:after="0" w:line="237"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ind w:left="800" w:hanging="790"/>
        <w:spacing w:after="0" w:line="237"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ind w:left="800" w:hanging="790"/>
        <w:spacing w:after="0" w:line="237"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automated teller machine transactions, automated clearinghouse transfers and securities transactions.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account reconciliation package is one of the most widely used account reconciliation systems in the United States banking industry. The account reconciliation package/service management system which was developed in 1995 to replace and augment the existing package, is a fully integrated on-line and real time system that enables banks to immediately process their customer transactions to produce accurate, timely reconciliations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while streamlining back-office processes. The account reconciliation package/service management system also groups accounts across banks within bank holding companies and allows banks to streamline their operations by reconciling their intra-bank transactions.</w:t>
      </w:r>
    </w:p>
    <w:p>
      <w:pPr>
        <w:spacing w:after="0" w:line="175"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60"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Electronic Commerce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face significant competition in all of our customer markets. First, we need to switch billers and consumers from paper bills sent by mail and paid by check to electronic bill presentment and payment. Second, a number of banks have developed, and others may in the future develop, electronic billing and payment services in-house. J.P. Morgan Chase, First Union Corporation and Wells Fargo &amp; Co. are partners in a venture called Spectrum that plans to allow individuals and businesses to receive and pay bills electronically. To the best of our knowledge, Spectrum has done limited electronic presentment of bills, and is developing a "pay anyone" capability in conjunction with Metavante, a division of Marshall and Ilsley Bank Inc. Metavante competes directly with us in providing pay anyone solutions to financial services organizations and has recently completed two acquisitions in an effort to strengthen their competitive position. Mastercard International also offers online bill presentment to enable people to receive and pay bills over the Internet. A number of other relatively small companies also compete with us in electronic bill payment. In addition, we face competition from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believe that our competitors, however, will need to make substantial progress to able to offer electronic commerce services comparable to the services we currently offer to our customers through multiple distribution channels.</w:t>
      </w:r>
    </w:p>
    <w:p>
      <w:pPr>
        <w:spacing w:after="0" w:line="34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this competition will bring to the industry may broaden the market and increase the percentage of financial transactions which are effected by electronic means.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Investment Services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Competition for portfolio services includes two main segments. We compete with providers of portfolio accounting software like Advent Software, and we also compete with service bureau providers like SunGard Portfolio Solutions and Financial Models Company.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Software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computer application software industry is highly competitive. In the electronic statement creation and financial applications software markets, we compete directly or indirectly with a number of firms, including large diversified computer software service companies and independent suppliers of software products. We believe that there is at least one direct competitor for most of our software products, but no competitor competes with us in all of our software product areas.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 Our PEP+ products compete with Transaction Systems Architects, Inc. CheckFree i-Solutions' electronic statement and billing creation software products compete primarily with edocs, Inc, and Avolent Software.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"Business -- Business Risks (Competitive pressures we face may have a material adverse effect on us)."</w:t>
      </w:r>
    </w:p>
    <w:p>
      <w:pPr>
        <w:spacing w:after="0" w:line="178"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In addition, CheckFree i-Solutions (formerly BlueGill) is expanding into international markets where we may discover new local competitors that have the advantages of existing relationships with customers, local technical support staff, and local language support.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220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9"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In the electronic commerce segment, we offer our services and related products to the nation's largest financial institutions directly through our sales force, and market to smaller institutions through strategic alliances with companies like EDS, Fiserv, Alltel and Equifax. We currently offer substantially all of our services and related products only to the domestic marketplace.</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also offer our electronic commerce services through Internet portals. We believe that these Internet portals will enhance and speed up the rate of adoption of electronic commerce services by consumers. Part of this strategy contemplates working with Internet portals to offer our services to consumers on a free-trial basis. Initially, this strategy will result in foregone revenue, but we anticipate 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like Quicken, Microsoft Money and Managing Your Money.</w:t>
      </w:r>
    </w:p>
    <w:p>
      <w:pPr>
        <w:spacing w:after="0" w:line="18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enhancements to products they have already purchased.</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To date, we have entered into or are negotiating distribution alliances with several companies, including AT&amp;T, Alltel, EDS, Fiserv, Five Paces, and Home Financial Network. We also have arrangements with SunGard for RECON-PLUS for Windows.</w:t>
      </w:r>
    </w:p>
    <w:p>
      <w:pPr>
        <w:spacing w:after="0" w:line="165"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One of the ramifications of this strategy is that we do not, for the most part, have a direct relationship with the end-users of our products. See "Business -- Business Risks (We rely on third parties to distribute our electronic commerce services, which may not result in widespread adoption)."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approximately 1,040 employees, supports payment inquiry, customer service and technical support and interfaces with the merchant systems group to improve posting efficiencies. Representatives in our business customer care group are individually assigned to business customers in order to provide high-level customer service and technical support. Our consumer care group provides various levels of support that depend upon the customer's requirements. This includes providing direct customer care on a private label basis as well as research and support.</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established a third operational center in Phoenix, Arizona to house customer care, check printing and distribution functions. This center, when fully staffed, will house up to 800 associates focused on customer care services.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Payment Systems. Across our various electronic commerce service offerings, we utilize the Federal Reserve's Automated Clearing House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These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"Business -- Business Risks (The transactions we process expose us to credit risks)" and "-- Business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Risks (Our business could become subject to increased government regulation, which could make our business more expensive to operate)."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Automated Clearinghouse. The automated clearinghouse is used by banks, corporations and governmental entities for electronic settlement of transactions, direct deposits of payroll and government benefits and payment of bills like mortgages, utility payments and loans. We use the automated clearinghouse to execute some of our customers' payment instructions. Like other users of the automated clearinghouse, we bear credit risk resulting from returned transactions caused by insufficient funds, stop payment orders, closed accounts, frozen accounts, unauthorized use, disputes, theft or fraud. See "Business -- Business Risks (The transactions we process expose us to credit risks)" and "-- Business Risks (Our business could become subject to increased government regulation, which could make our business more expensive to operate)."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64"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Other Clearance Systems. While we presently utilize the two principal payment clearance systems, we intend to use other clearance systems like automated teller machine networks to provide balance inquiry and fund transfers functions, and other clearance systems that may develop in the future.</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Risk Mitigation. Our patented bill payment processing system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these risks, which reserve was $0.6 million at June 30, 2001, and we have not incurred losses in excess of 0.93% of our revenues in any of the past five years. As further protection against losses due to transmission errors, we maintain errors and omissions insurance. See "Business -- Business Risks (The transactions we process expose us to credit risks)" and "-- Business Risks (We may be unable to protect our proprietary technology, permitting competitors to duplicate our products and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61"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communications to businesses.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various types of networks or the Internet to our computing complex in Norcross, Georgia. Within this complex, there is a wide variety of application servers that capture transactions and route them to our back-end banking, billing and payment applications for processing. The back-end applications are run on IBM mainframes, Tandems or Unix servers.</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automated clearinghouse and paper transactions to financial institutions. We have also developed a merchant information file consisting of over 1 million companies that allows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accurate editing and initiation of payments to billers. These databases have been constructed over the past 17 years as a result of our transaction processing experience.</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Platform Integration: The Genesis Project. In 1998, we integrated the existing legacy data processing sites and platforms operated in Columbus, Ohio, Aurora, Illinois, and Austin, Texas, into our central processing site at our headquarters in Norcross, Georgia. We completed the planned migrations of our customers to the new Genesis platform from our Aurora, Illinois and Columbus, Ohio platforms. We have designated this integration the Genesis Project. The integration required extensive investment in hardware and in operating and system software, extensive communications links and systems, as well as redundancy, anomaly monitoring, and off-site backup and recovery. See "Business</w:t>
      </w:r>
    </w:p>
    <w:p>
      <w:pPr>
        <w:spacing w:after="0" w:line="3" w:lineRule="exact"/>
        <w:rPr>
          <w:sz w:val="20"/>
          <w:szCs w:val="20"/>
          <w:color w:val="auto"/>
        </w:rPr>
      </w:pPr>
    </w:p>
    <w:p>
      <w:pPr>
        <w:ind w:right="3239" w:firstLine="10"/>
        <w:spacing w:after="0" w:line="234" w:lineRule="auto"/>
        <w:tabs>
          <w:tab w:leader="none" w:pos="26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Risks (We may experience breakdowns in our payment processing system that could damage customer relations and expose us to liability)."</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June 2001, we completed the migration of the customers acquired in the TransPoint acquisition to the Genesis platform. Further, we have begun the migration of customers acquired pursuant to the strategic agreement with Bank of America to the Genesis platform and expect to complete that migration by December 2001, with the migration of the Austin platform to follow in early 2002. We intend to operate two legacy platforms: the Austin, platform and Bank of America's California platform, without substantial disruption until all of our customers have been migrated to the Genesis platform.</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"Business -- Business Risks (We may experience breakdowns in our payment processing system that could damage customer relations and expose us to liability)."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Sigma Challenge. In fiscal 2000, we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was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 By the end of fiscal 2000, we fell slightly below our goal by achieving a quality level of 4.5 sigma. We achieved our goal by achieving 4.6 sigma in fiscal 2001 and now we are working to maintain that level.</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personal computers either through a dedicated circuit or through dial-up applications. The Chicago data center is the communication center for more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than 160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67" w:lineRule="exact"/>
        <w:rPr>
          <w:sz w:val="20"/>
          <w:szCs w:val="20"/>
          <w:color w:val="auto"/>
        </w:rPr>
      </w:pPr>
    </w:p>
    <w:p>
      <w:pPr>
        <w:ind w:left="880" w:hanging="433"/>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ind w:left="880" w:hanging="433"/>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ind w:left="880" w:hanging="433"/>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ind w:left="880" w:hanging="433"/>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June 30, 2001, our research and development group consisted of approximately 680 employees. Additionally, we use independent third party software development contractors as needed. We spent 8.4% of revenues during the fiscal year ended June 30, 1999, 11.5% of revenues during the fiscal year ended June 30, 2000 and 12.8% of revenues during the fiscal year ended June 30, 2001 on research and development. These research and development expenditures have been reduced for capitalized software development costs of $1.3 million in the six-month transition period ended June 30, 1996, none in the fiscal year ended June 30, 1997, $0.7 million in the fiscal year ended June 30, 1998, $7.4 million in the fiscal year ended June 30, 1999, $7.9 million for the fiscal year ended June 30, 2000 and $3.5 million for the fiscal year ended June 30, 2001. We anticipate that we will continue to commit substantial resources to research and development activities for the foreseeable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believe that we are not required to be licensed by the Office of the Comptroller of the Currency, the Federal Reserve Board, or other federal or state agencies that regulate or monitor banks or other types of providers of electronic commerce services. The Office of the Comptroller of the Currency,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this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our business could be materially adversely affected.</w:t>
      </w:r>
    </w:p>
    <w:p>
      <w:pPr>
        <w:spacing w:after="0" w:line="34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notification procedures are followed within prescribed periods. These limitations on the consumer's liability may result in liability to us.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these laws, rules, and regulations could be imposed on our business and industry and could have a material adverse effect on our business, operating results and financial condition. See "Business -- Business Risks (Our business could become subject to increased government regulation, which could make our business more expensive to operate)."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We own the following federally registered trademarks and service</w:t>
      </w:r>
    </w:p>
    <w:p>
      <w:pPr>
        <w:spacing w:after="0" w:line="237" w:lineRule="auto"/>
        <w:rPr>
          <w:sz w:val="20"/>
          <w:szCs w:val="20"/>
          <w:color w:val="auto"/>
        </w:rPr>
      </w:pPr>
      <w:r>
        <w:rPr>
          <w:rFonts w:ascii="Courier New" w:cs="Courier New" w:eastAsia="Courier New" w:hAnsi="Courier New"/>
          <w:sz w:val="15"/>
          <w:szCs w:val="15"/>
          <w:color w:val="auto"/>
        </w:rPr>
        <w:t>marks: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BANK STREET(R)</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rPr>
                <w:sz w:val="20"/>
                <w:szCs w:val="20"/>
                <w:color w:val="auto"/>
              </w:rPr>
            </w:pPr>
            <w:r>
              <w:rPr>
                <w:rFonts w:ascii="Courier New" w:cs="Courier New" w:eastAsia="Courier New" w:hAnsi="Courier New"/>
                <w:sz w:val="15"/>
                <w:szCs w:val="15"/>
                <w:color w:val="auto"/>
              </w:rPr>
              <w:t>M-PLAN(R)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BLUEGILL Logo (Miscellaneous</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M-PREPS(R)</w:t>
            </w:r>
          </w:p>
        </w:tc>
      </w:tr>
      <w:tr>
        <w:trPr>
          <w:trHeight w:val="168"/>
        </w:trPr>
        <w:tc>
          <w:tcPr>
            <w:tcW w:w="440" w:type="dxa"/>
            <w:vAlign w:val="bottom"/>
          </w:tcPr>
          <w:p>
            <w:pPr>
              <w:spacing w:after="0"/>
              <w:rPr>
                <w:sz w:val="14"/>
                <w:szCs w:val="14"/>
                <w:color w:val="auto"/>
              </w:rPr>
            </w:pP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Design)(R)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MPREPS(R)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CAPS CORPORATE AUTOMATED PAYMENTS SYSTEM(R)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M-SEARCH(R)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CEC CENTER FOR ELECTRONIC COMMERCE and Design(R)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MSEARCH(R)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M-VEST(R)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and Design(R)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MWATCH(R)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(Stylized Letters)(R)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M-WATCH(R)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CHECKFREE-BILL and Design(R)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NETWORK BANKER(R)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EASY(R)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OMNI(R)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ELECTRIC MONEY(R)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PAWWS(R)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EXTRA(R)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PAWTRACKS(R)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FREES YOU FROM</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PEP+(R)</w:t>
            </w:r>
          </w:p>
        </w:tc>
      </w:tr>
      <w:tr>
        <w:trPr>
          <w:trHeight w:val="168"/>
        </w:trPr>
        <w:tc>
          <w:tcPr>
            <w:tcW w:w="440" w:type="dxa"/>
            <w:vAlign w:val="bottom"/>
          </w:tcPr>
          <w:p>
            <w:pPr>
              <w:spacing w:after="0"/>
              <w:rPr>
                <w:sz w:val="14"/>
                <w:szCs w:val="14"/>
                <w:color w:val="auto"/>
              </w:rPr>
            </w:pP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CHECKS(R)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PEP PAPERLESS ENTRY PROCESSING(R)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MANAGER(R)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PODIUM(R)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 WALLET(R)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PTT(R)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CLUB HOOCH(R)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SBA(R)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DECISION MANAGER(R)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SERVANTIS SYSTEMS(R)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INTEGRATED DECISION</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STYLE ANALYSIS PLUS(R)</w:t>
            </w:r>
          </w:p>
        </w:tc>
      </w:tr>
      <w:tr>
        <w:trPr>
          <w:trHeight w:val="168"/>
        </w:trPr>
        <w:tc>
          <w:tcPr>
            <w:tcW w:w="440" w:type="dxa"/>
            <w:vAlign w:val="bottom"/>
          </w:tcPr>
          <w:p>
            <w:pPr>
              <w:spacing w:after="0"/>
              <w:rPr>
                <w:sz w:val="14"/>
                <w:szCs w:val="14"/>
                <w:color w:val="auto"/>
              </w:rPr>
            </w:pP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MANAGER(R)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THE WAY MONEY MOVES and Design(R)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M-VEST(R)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TRANSPORT(R)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MOBIUS GROUP and Design(R)</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TST(R)</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5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MOBIUS(R)(Stylized)</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VAULT(R)</w:t>
            </w:r>
          </w:p>
        </w:tc>
      </w:tr>
    </w:tbl>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also own the following foreign service mark registrations in New</w:t>
      </w:r>
    </w:p>
    <w:p>
      <w:pPr>
        <w:spacing w:after="0" w:line="237" w:lineRule="auto"/>
        <w:rPr>
          <w:sz w:val="20"/>
          <w:szCs w:val="20"/>
          <w:color w:val="auto"/>
        </w:rPr>
      </w:pPr>
      <w:r>
        <w:rPr>
          <w:rFonts w:ascii="Courier New" w:cs="Courier New" w:eastAsia="Courier New" w:hAnsi="Courier New"/>
          <w:sz w:val="15"/>
          <w:szCs w:val="15"/>
          <w:color w:val="auto"/>
        </w:rPr>
        <w:t>Zealand:</w:t>
      </w:r>
    </w:p>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 w:leader="none" w:pos="6280" w:val="left"/>
          <w:tab w:leader="none" w:pos="7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CHEQUEFREE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CHECKFREE</w:t>
      </w:r>
    </w:p>
    <w:p>
      <w:pPr>
        <w:spacing w:after="0" w:line="200" w:lineRule="exact"/>
        <w:rPr>
          <w:sz w:val="20"/>
          <w:szCs w:val="20"/>
          <w:color w:val="auto"/>
        </w:rPr>
      </w:pPr>
    </w:p>
    <w:p>
      <w:pPr>
        <w:spacing w:after="0" w:line="309"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Additionally, the following trademark/service mark applications have been filed in the United States: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E-BILL(SM)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E-CLUB (SM)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E-MONEY (SM)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I-BANKER(TM)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I-BROKER(TM)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I-INSURANCE(TM)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I-TELCO(TM)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I-UTILITY(TM)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PAYANYONE (SM)</w:t>
      </w:r>
    </w:p>
    <w:p>
      <w:pPr>
        <w:ind w:left="800" w:hanging="790"/>
        <w:spacing w:after="0" w:line="237"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PAYANYONE WEB (SM)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also applied to register the following mark internationally:</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BLUEGILL Logo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786" w:hanging="786"/>
        <w:spacing w:after="0"/>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PAYANYONE PHONE SM</w:t>
      </w:r>
    </w:p>
    <w:p>
      <w:pPr>
        <w:spacing w:after="0" w:line="4" w:lineRule="exact"/>
        <w:rPr>
          <w:rFonts w:ascii="Courier New" w:cs="Courier New" w:eastAsia="Courier New" w:hAnsi="Courier New"/>
          <w:sz w:val="15"/>
          <w:szCs w:val="15"/>
          <w:color w:val="auto"/>
        </w:rPr>
      </w:pPr>
    </w:p>
    <w:p>
      <w:pPr>
        <w:ind w:left="786" w:hanging="786"/>
        <w:spacing w:after="0"/>
        <w:tabs>
          <w:tab w:leader="none" w:pos="78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PAYANYONE WIRELESSSM</w:t>
      </w:r>
    </w:p>
    <w:p>
      <w:pPr>
        <w:spacing w:after="0" w:line="4" w:lineRule="exact"/>
        <w:rPr>
          <w:rFonts w:ascii="Courier New" w:cs="Courier New" w:eastAsia="Courier New" w:hAnsi="Courier New"/>
          <w:sz w:val="14"/>
          <w:szCs w:val="14"/>
          <w:color w:val="auto"/>
        </w:rPr>
      </w:pP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KINGS OF WRAP SM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DIRECT SM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M-PLAN(TM)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MISSINGCUSTOMERSSM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MYBILLS.COMSM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RCM SOLUTIONS SM</w:t>
      </w:r>
    </w:p>
    <w:p>
      <w:pPr>
        <w:ind w:left="786" w:hanging="786"/>
        <w:spacing w:after="0" w:line="237" w:lineRule="auto"/>
        <w:tabs>
          <w:tab w:leader="none" w:pos="78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 SM</w:t>
      </w:r>
    </w:p>
    <w:p>
      <w:pPr>
        <w:spacing w:after="0" w:line="1209" w:lineRule="exact"/>
        <w:rPr>
          <w:sz w:val="20"/>
          <w:szCs w:val="20"/>
          <w:color w:val="auto"/>
        </w:rPr>
      </w:pPr>
    </w:p>
    <w:p>
      <w:pPr>
        <w:sectPr>
          <w:pgSz w:w="11900" w:h="16838" w:orient="portrait"/>
          <w:cols w:equalWidth="0" w:num="2">
            <w:col w:w="5960" w:space="434"/>
            <w:col w:w="3845"/>
          </w:cols>
          <w:pgMar w:left="220" w:top="281" w:right="1440" w:bottom="1440" w:gutter="0" w:footer="0" w:header="0"/>
          <w:type w:val="continuous"/>
        </w:sect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We are also the owner of a multitude of domain name registrations,</w:t>
      </w:r>
    </w:p>
    <w:p>
      <w:pPr>
        <w:spacing w:after="0" w:line="237" w:lineRule="auto"/>
        <w:rPr>
          <w:sz w:val="20"/>
          <w:szCs w:val="20"/>
          <w:color w:val="auto"/>
        </w:rPr>
      </w:pPr>
      <w:r>
        <w:rPr>
          <w:rFonts w:ascii="Courier New" w:cs="Courier New" w:eastAsia="Courier New" w:hAnsi="Courier New"/>
          <w:sz w:val="15"/>
          <w:szCs w:val="15"/>
          <w:color w:val="auto"/>
        </w:rPr>
        <w:t>including: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rPr>
              <w:t>billdelivery.com</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missingcustomer.org</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billercare.com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missingcustomers.com</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billme.com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missingcustomers.net</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missingcustomers.org</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mybills.com</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checkfree-ecx.com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mybills.net</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checkfreeva.com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mybills.org</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custcare.com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paybills.org</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ficare.com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paymybills.org</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fortracs.com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paythebill.com</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getbills.com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rcm2001.com</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missingcustomer.com</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stockcontrol.com</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missingcustomer.net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cfree.com</w:t>
            </w:r>
          </w:p>
        </w:tc>
      </w:tr>
    </w:tbl>
    <w:p>
      <w:pPr>
        <w:spacing w:after="0" w:line="341"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regard our financial transaction services and related products like our software as proprietary and rely on a combination of patent, copyright, trademark and trade secret laws, employee and third party nondisclosure agreements, and other intellectual property protection methods to protect our services and related products. Although we believe our consumer financial software to be proprietary, we do not depend on our software to compete, but rather on our services to which the software provides access.</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We also copyright some of our programs and software documentation and trademark some product names. Our management believes that these actions provide appropriate legal protection for our intellectual property rights in our software products. Furthermore, our management believes that the competitive position for some of our products depends primarily on the technical competence and creative ability of our personnel and that our business is not materially dependent on copyright protection or trademarks See "Business -- Business Risks (We may be unable to protect our proprietary technology, permitting competitors to duplicate our products and services)."</w:t>
      </w:r>
    </w:p>
    <w:p>
      <w:pPr>
        <w:spacing w:after="0" w:line="178"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Our United States Letters Patent No. 5,383,113, issued on January 17, 1995, relates to our system and method for electronically providing services including payment of bills and financial analysis. Incorporating the system described in the patent, we can pay any bill from any checking account at any financial institution in the United States on the consumer's behalf by selecting a preferred means of payment from various options described above. See "Business</w:t>
      </w:r>
    </w:p>
    <w:p>
      <w:pPr>
        <w:spacing w:after="0" w:line="2" w:lineRule="exact"/>
        <w:rPr>
          <w:sz w:val="20"/>
          <w:szCs w:val="20"/>
          <w:color w:val="auto"/>
        </w:rPr>
      </w:pPr>
    </w:p>
    <w:p>
      <w:pPr>
        <w:ind w:right="3239" w:firstLine="10"/>
        <w:spacing w:after="0" w:line="236" w:lineRule="auto"/>
        <w:tabs>
          <w:tab w:leader="none" w:pos="26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Clearance Systems." Our patent expires on January 17, 2012. See "Business -- Competition," "Business -- Business Risks (Competitive pressures we face may have a material adverse effect on us)" and "Business -- Business Risks (We may be unable to protect our proprietary technology, permitting competitors to duplicate our products and services)."</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Existing intellectual property laws afford only limited protection, and it may be possible for unauthorized third parties to copy our services and related products or to reverse engineer or obtain and use information we regard as proprietary. There can be no assurance that our competitors will not independently develop services and related products that are substantially equivalent or superior to ours. As the technology we use evolves, however, our dependence upon the patented technology continues to decrease.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of September 1, 2001, we employed approximately 3,300 full-time employees, including approximately 1,080 in systems and research and development, including software development, approximately 1,040 in customer care, and approximately 1,180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RISKS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desire to take advantage of the "safe harbor" provisions of the Private Securities Litigation Reform Act of 1995. Many of the following important factors discussed below have been discussed in our prior filings with the Securities and Exchange Commission. In addition to the other information in this report, readers should carefully consider that the following important factors, among others, in some cases have affected, and in the future could affect, our actual results and could cause our actual consolidated results of operations for the fiscal year ended June 30, 2002, and beyond, to differ materially from those expressed in any forward-looking statements made by us, or on our behalf.</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During fiscal 2001, we closed the following transactions which, in some cases have affected, and in the future could affect, our actual results and could cause our actual consolidated results of operations for the fiscal year ended June 30, 2002, and beyond, to differ materially from those expressed in any forward-looking statements made by us, or on our behalf:</w:t>
      </w:r>
    </w:p>
    <w:p>
      <w:pPr>
        <w:spacing w:after="0" w:line="174" w:lineRule="exact"/>
        <w:rPr>
          <w:sz w:val="20"/>
          <w:szCs w:val="20"/>
          <w:color w:val="auto"/>
        </w:rPr>
      </w:pPr>
    </w:p>
    <w:p>
      <w:pPr>
        <w:ind w:left="880" w:right="3239" w:hanging="433"/>
        <w:spacing w:after="0" w:line="256" w:lineRule="auto"/>
        <w:tabs>
          <w:tab w:leader="none" w:pos="8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 2000, we consummated our acquisition of TransPoint, a joint venture among Microsoft Corporation, First Data Corporation, Citibank, N.A., and their subsidiaries, pursuant to a merger agreement originally executed on February 15, 2000, whereby Microsoft, First Data, and Citibank received 17,000,000 shares of our common stock; and</w:t>
      </w:r>
    </w:p>
    <w:p>
      <w:pPr>
        <w:spacing w:after="0" w:line="163"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28, 2000 we consummated a strategic agreement with Bank of America, N.A., whereby Bank of America perceived 10,000,000 restricted shares of our common stock and performance-based warrants for the right to acquire an additional 10,000,000 shares of our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REMAIN CONSISTENTLY PROFITABLE.</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78"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We have not consistently operated profitably to date. Since our inception, our accumulated losses have totaled approximately $689,455,000. We incurred:</w:t>
      </w:r>
    </w:p>
    <w:p>
      <w:pPr>
        <w:spacing w:after="0" w:line="174" w:lineRule="exact"/>
        <w:rPr>
          <w:sz w:val="20"/>
          <w:szCs w:val="20"/>
          <w:color w:val="auto"/>
        </w:rPr>
      </w:pPr>
    </w:p>
    <w:p>
      <w:pPr>
        <w:ind w:left="880" w:right="3239" w:hanging="433"/>
        <w:spacing w:after="0" w:line="234"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$3.7 million and net income of $10.5 million for the fiscal year ended June 30, 1999;</w:t>
      </w:r>
    </w:p>
    <w:p>
      <w:pPr>
        <w:spacing w:after="0" w:line="173" w:lineRule="exact"/>
        <w:rPr>
          <w:rFonts w:ascii="Courier New" w:cs="Courier New" w:eastAsia="Courier New" w:hAnsi="Courier New"/>
          <w:sz w:val="15"/>
          <w:szCs w:val="15"/>
          <w:color w:val="auto"/>
        </w:rPr>
      </w:pPr>
    </w:p>
    <w:p>
      <w:pPr>
        <w:ind w:left="880" w:right="3839" w:hanging="433"/>
        <w:spacing w:after="0" w:line="234"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$43.4 million and a net loss of $32.3 million for the fiscal year ended June 30, 2000; and</w:t>
      </w:r>
    </w:p>
    <w:p>
      <w:pPr>
        <w:spacing w:after="0" w:line="173"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$464.7 million and a net loss of $363.1 million for the fiscal year ended June 30, 2001.</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anticipate having a net loss from operations in fiscal 2002 and may experience net losses and may not be able to sustain or increase our profitability in the future. For the fiscal year ended June 30, 2001, we invested over $55.6 million in research and development and over $90.2 million, including a one-time charge of $25.0 million related to our strategic agreement with Bank of America, in sales and marketing. We intend to continue to make significant investments in research and development and sales and marketing.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6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OUR FUTURE PROFITABILITY DEPENDS ON UPON OUR ABILITY TO IMPLEMENT OUR STRATEGY SUCCESSFULLY TO INCREASE ADOPTION OF ELECTRONIC BILLING AND PAYMENT METHODS.</w:t>
      </w:r>
    </w:p>
    <w:p>
      <w:pPr>
        <w:spacing w:after="0" w:line="16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money during fiscal 2002 in programs designed to:</w:t>
      </w:r>
    </w:p>
    <w:p>
      <w:pPr>
        <w:spacing w:after="0" w:line="169" w:lineRule="exact"/>
        <w:rPr>
          <w:sz w:val="20"/>
          <w:szCs w:val="20"/>
          <w:color w:val="auto"/>
        </w:rPr>
      </w:pPr>
    </w:p>
    <w:p>
      <w:pPr>
        <w:ind w:left="880" w:hanging="433"/>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4"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5" w:lineRule="exact"/>
        <w:rPr>
          <w:rFonts w:ascii="Courier New" w:cs="Courier New" w:eastAsia="Courier New" w:hAnsi="Courier New"/>
          <w:sz w:val="15"/>
          <w:szCs w:val="15"/>
          <w:color w:val="auto"/>
        </w:rPr>
      </w:pPr>
    </w:p>
    <w:p>
      <w:pPr>
        <w:ind w:left="880" w:right="437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ind w:left="880" w:hanging="433"/>
        <w:spacing w:after="0" w:line="237"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If we do not successfully implement our strategy, revenue growth will be minimal, and expenditures for these programs will not be justified.</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implement these programs successfully or to increase substantially adoption of electronic commerce billing and payment methods by consumers who pay for the services could have a material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Electronic commerce is new and evolving rapidly, resulting in a dynamic competitive environment. We face significant competition in our each of our business units, Electronic Commerce, Investment Services and Software businesses. Increased competition or other competitive pressures may result in price reductions, reduced margins or loss of business,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banks have developed, and others may in the future develop, electronic billing and payment services in-house. J.P. Morgan Chase, First Union Corporation and Wells Fargo &amp; Co. are partners in a venture called Spectrum that plans to allow individuals and businesses to receive and pay bills electronically. To the best of our knowledge, Spectrum has done limited electronic presentment of bills, and is developing a "pay anyone" capability in conjunction with Metavante, a division of Marshall and Ilsley Bank Inc. Metavante competes directly with us in providing pay anyone solutions to financial services organizations and has recently completed two acquisitions in an effort to strengthen their competitive position. Mastercard International also offers online bill presentment to enable people to receive and pay bills over the Internet. A number of other relatively small companies also compete with us in electronic bill payment. In addition, we face competition from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MasterCard, billers directly delivering bills to their customers, scan and pay companies or other current and future electronic commerce competitors.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179"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SOME OF OUR CUSTOMERS MAY COMPETE AGAINST US THAT MAY RESULT IN A LOSS OF REVENUE.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From time to time, some of our customers may compete against us that may have a material adverse effect on our revenues and results of operations. For example, in June 1999, J.P. Morgan Chase, First Union Corporation and Wells Fargo &amp; Co. announced the formation of Spectrum that will allow individuals and businesses to receive and pay bills electronically. Other of our significant customers may in the future decide to compete against us and such competition may have a material adverse affect on our business and financial results.</w:t>
      </w:r>
    </w:p>
    <w:p>
      <w:pPr>
        <w:spacing w:after="0" w:line="16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Any failures in our security and privacy measures could have a material adverse effect on our business, financial condition and results of operations. We electronically transfer large sums of money and personal information about consumers, including bank account and credit card information, social security numbers, and merchant account numbers. If we are unable to protect, or consumers perceive that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59" w:lineRule="exact"/>
        <w:rPr>
          <w:sz w:val="20"/>
          <w:szCs w:val="20"/>
          <w:color w:val="auto"/>
        </w:rPr>
      </w:pPr>
    </w:p>
    <w:p>
      <w:pPr>
        <w:ind w:left="880" w:hanging="433"/>
        <w:spacing w:after="0"/>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ind w:left="880" w:hanging="433"/>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ind w:left="880" w:hanging="433"/>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ind w:left="880" w:hanging="433"/>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ind w:left="880" w:hanging="433"/>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ind w:left="880" w:hanging="433"/>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11% of our total revenue for the year ended June 30, 2000 or for the year ended June 30, 2001.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3" w:lineRule="exact"/>
        <w:rPr>
          <w:sz w:val="20"/>
          <w:szCs w:val="20"/>
          <w:color w:val="auto"/>
        </w:rPr>
      </w:pPr>
    </w:p>
    <w:p>
      <w:pPr>
        <w:ind w:right="3679" w:firstLine="787"/>
        <w:spacing w:after="0" w:line="256" w:lineRule="auto"/>
        <w:rPr>
          <w:sz w:val="20"/>
          <w:szCs w:val="20"/>
          <w:color w:val="auto"/>
        </w:rPr>
      </w:pPr>
      <w:r>
        <w:rPr>
          <w:rFonts w:ascii="Courier New" w:cs="Courier New" w:eastAsia="Courier New" w:hAnsi="Courier New"/>
          <w:sz w:val="14"/>
          <w:szCs w:val="14"/>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157" w:lineRule="exact"/>
        <w:rPr>
          <w:sz w:val="20"/>
          <w:szCs w:val="20"/>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4"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institutions were to determine that it is more efficient to develop in-house home banking services similar to ours or offer our competitors' products or services; and</w:t>
      </w:r>
    </w:p>
    <w:p>
      <w:pPr>
        <w:spacing w:after="0" w:line="7"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institutions were able to negotiate a greater volume discount for, or to discontinue the use of, our products and services.</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rely on our contracts with three key financial institutions for a substantial portion of our subscriber base and the volume of electronic transactions that we process. As of June 30, 2001, these three financial institutions accounted for approximately 2.6 million subscribers, or approximately 50% of our total subscriber base. No single customer, however, accounts for more than 11%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78"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7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74" w:lineRule="exact"/>
        <w:rPr>
          <w:sz w:val="20"/>
          <w:szCs w:val="20"/>
          <w:color w:val="auto"/>
        </w:rPr>
      </w:pPr>
    </w:p>
    <w:p>
      <w:pPr>
        <w:ind w:right="4279"/>
        <w:spacing w:after="0" w:line="234" w:lineRule="auto"/>
        <w:rPr>
          <w:sz w:val="20"/>
          <w:szCs w:val="20"/>
          <w:color w:val="auto"/>
        </w:rPr>
      </w:pPr>
      <w:r>
        <w:rPr>
          <w:rFonts w:ascii="Courier New" w:cs="Courier New" w:eastAsia="Courier New" w:hAnsi="Courier New"/>
          <w:sz w:val="15"/>
          <w:szCs w:val="15"/>
          <w:color w:val="auto"/>
        </w:rPr>
        <w:t>OUR FUTURE PROFITABILITY DEPENDS ON AN INCREASE IN THE PROPORTION OF TRANSACTIONS WE PROCESS ELECTRONICALLY.</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we are unable to increase the percentage of transactions that we process electronically, our margins could decrease, which could have a material adverse effect on our business, financial condition and results of operations. We processed electronically 49% of our transactions for the year ended June 30, 1999, 58% of the transactions for the year ended June 30, 2000 and 64% of our transactions for the year ended June 30, 2001. Our future profitability will depend, in part, on our ability to increase the percentage of transactions we process electronically. Compared with conventional paper-based transactions, electronic transactions:</w:t>
      </w:r>
    </w:p>
    <w:p>
      <w:pPr>
        <w:spacing w:after="0" w:line="172" w:lineRule="exact"/>
        <w:rPr>
          <w:sz w:val="20"/>
          <w:szCs w:val="20"/>
          <w:color w:val="auto"/>
        </w:rPr>
      </w:pPr>
    </w:p>
    <w:p>
      <w:pPr>
        <w:ind w:left="880" w:hanging="43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ind w:left="880" w:hanging="433"/>
        <w:spacing w:after="0" w:line="237"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3" w:lineRule="exact"/>
        <w:rPr>
          <w:sz w:val="20"/>
          <w:szCs w:val="20"/>
          <w:color w:val="auto"/>
        </w:rPr>
      </w:pPr>
    </w:p>
    <w:p>
      <w:pPr>
        <w:jc w:val="both"/>
        <w:ind w:right="3579" w:firstLine="787"/>
        <w:spacing w:after="0" w:line="255"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1"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3060" w:type="dxa"/>
            <w:vAlign w:val="bottom"/>
          </w:tcPr>
          <w:p>
            <w:pPr>
              <w:ind w:left="100"/>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505"/>
        </w:trPr>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insufficient funds;</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rPr>
                <w:sz w:val="20"/>
                <w:szCs w:val="20"/>
                <w:color w:val="auto"/>
              </w:rPr>
            </w:pPr>
            <w:r>
              <w:rPr>
                <w:rFonts w:ascii="Courier New" w:cs="Courier New" w:eastAsia="Courier New" w:hAnsi="Courier New"/>
                <w:sz w:val="15"/>
                <w:szCs w:val="15"/>
                <w:color w:val="auto"/>
              </w:rPr>
              <w:t>closed accounts;</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unauthorized use;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theft;</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stop payment orders;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frozen accounts; and</w:t>
            </w:r>
          </w:p>
        </w:tc>
      </w:tr>
      <w:tr>
        <w:trPr>
          <w:trHeight w:val="168"/>
        </w:trPr>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30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payment disputes;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fraud.</w:t>
            </w:r>
          </w:p>
        </w:tc>
      </w:tr>
    </w:tbl>
    <w:p>
      <w:pPr>
        <w:spacing w:after="0" w:line="200" w:lineRule="exact"/>
        <w:rPr>
          <w:sz w:val="20"/>
          <w:szCs w:val="20"/>
          <w:color w:val="auto"/>
        </w:rPr>
      </w:pPr>
    </w:p>
    <w:p>
      <w:pPr>
        <w:spacing w:after="0" w:line="309"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For example, our system may be subject to loss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88"/>
              </w:rPr>
              <w:t>-</w:t>
            </w:r>
          </w:p>
        </w:tc>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fire;</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220"/>
              <w:spacing w:after="0"/>
              <w:rPr>
                <w:sz w:val="20"/>
                <w:szCs w:val="20"/>
                <w:color w:val="auto"/>
              </w:rPr>
            </w:pPr>
            <w:r>
              <w:rPr>
                <w:rFonts w:ascii="Courier New" w:cs="Courier New" w:eastAsia="Courier New" w:hAnsi="Courier New"/>
                <w:sz w:val="15"/>
                <w:szCs w:val="15"/>
                <w:color w:val="auto"/>
              </w:rPr>
              <w:t>power loss;</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natural disaster;</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telecommunications failure;</w:t>
            </w:r>
          </w:p>
        </w:tc>
      </w:tr>
      <w:tr>
        <w:trPr>
          <w:trHeight w:val="168"/>
        </w:trPr>
        <w:tc>
          <w:tcPr>
            <w:tcW w:w="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2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unauthorized entry; and</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computer viruses.</w:t>
            </w:r>
          </w:p>
        </w:tc>
      </w:tr>
    </w:tbl>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 which resulted in consumers inability to connect with and transmit data to our processing system. This system failure did not result in the loss of any consumer data.</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 against data loss and system failures, there is still some risk that we may lose critical data or experience system failures. We constantly review our usage and capacity constraints. We have engineered our systems to ensure that we never exceed 80% utilization of capacity at peak processing times. That means that, in general, we average processing at 40% - 50% of capacity, with no peak time consuming more than 80% of the system's resources.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17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67" w:lineRule="exact"/>
        <w:rPr>
          <w:sz w:val="20"/>
          <w:szCs w:val="20"/>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4"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ind w:left="880" w:hanging="433"/>
        <w:spacing w:after="0" w:line="237" w:lineRule="auto"/>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880" w:hanging="433"/>
        <w:spacing w:after="0"/>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ind w:left="880" w:hanging="433"/>
        <w:spacing w:after="0" w:line="237"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3" w:lineRule="exact"/>
        <w:rPr>
          <w:sz w:val="20"/>
          <w:szCs w:val="20"/>
          <w:color w:val="auto"/>
        </w:rPr>
      </w:pPr>
    </w:p>
    <w:p>
      <w:pPr>
        <w:jc w:val="both"/>
        <w:ind w:right="3399" w:firstLine="787"/>
        <w:spacing w:after="0" w:line="254" w:lineRule="auto"/>
        <w:rPr>
          <w:sz w:val="20"/>
          <w:szCs w:val="20"/>
          <w:color w:val="auto"/>
        </w:rPr>
      </w:pPr>
      <w:r>
        <w:rPr>
          <w:rFonts w:ascii="Courier New" w:cs="Courier New" w:eastAsia="Courier New" w:hAnsi="Courier New"/>
          <w:sz w:val="14"/>
          <w:szCs w:val="14"/>
          <w:color w:val="auto"/>
        </w:rPr>
        <w:t>In addition, we rely on technologies supplied to us by third parties that may also contain undetected errors or defects that could have a material adverse effect on our business, financial condition and results of operations.</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Although we attempt to limit our potential liability for warranty claims through disclaimers in our software documentation and limitation-of-liability provisions in our license and customer agreements, we cannot assure you that these measures will be successful in limiting our liability.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have historically experienced seasonal fluctuations in our net sales, and we expect to experience similar fluctuations in the future.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INABILITY TO MANAGE GROWTH COULD ADVERSELY AFFECT OUR BUSINESS.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We have experienced rapid growth in our revenues, from $76.8 million in the twelve months ended June 30, 1996 to $433.3 million in the fiscal year ended June 30, 2001, and we intend to continue to grow our business significantly. To support our growth plans, we will have to significantly expand our existing management, operational, financial and human resources and management information systems and controls. If we are not able to manage our growth successfully, we will not grow as planned which could have a material adverse effect on our business, financial condition and results of operations.</w:t>
      </w:r>
    </w:p>
    <w:p>
      <w:pPr>
        <w:spacing w:after="0" w:line="16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United States. Unauthorized copying, use or reverse engineering of our products could have a material adverse effect on our business, financial condition and results of operations.</w:t>
      </w:r>
    </w:p>
    <w:p>
      <w:pPr>
        <w:spacing w:after="0" w:line="177"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 be time-consuming and expensive to defend. A third party asserting infringement claims against us in the future may require us to enter into costly royalty arrangements or litigation.</w:t>
      </w:r>
    </w:p>
    <w:p>
      <w:pPr>
        <w:spacing w:after="0" w:line="16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it could have a material adverse effect on our business, financial condition and results of operations.</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OUR QUARTERLY OPERATING RESULTS FLUCTUATE AND MAY NOT ACCURATELY PREDICT OUR FUTURE PERFORMANCE.</w:t>
      </w:r>
    </w:p>
    <w:p>
      <w:pPr>
        <w:spacing w:after="0" w:line="173" w:lineRule="exact"/>
        <w:rPr>
          <w:sz w:val="20"/>
          <w:szCs w:val="20"/>
          <w:color w:val="auto"/>
        </w:rPr>
      </w:pPr>
    </w:p>
    <w:p>
      <w:pPr>
        <w:ind w:right="3759" w:firstLine="787"/>
        <w:spacing w:after="0" w:line="258" w:lineRule="auto"/>
        <w:rPr>
          <w:sz w:val="20"/>
          <w:szCs w:val="20"/>
          <w:color w:val="auto"/>
        </w:rPr>
      </w:pPr>
      <w:r>
        <w:rPr>
          <w:rFonts w:ascii="Courier New" w:cs="Courier New" w:eastAsia="Courier New" w:hAnsi="Courier New"/>
          <w:sz w:val="14"/>
          <w:szCs w:val="14"/>
          <w:color w:val="auto"/>
        </w:rPr>
        <w:t>Our quarterly results of operations have varied significantly and probably will continue to do so in the future as a result of a variety of factors, many of which are outside our control. These factors include:</w:t>
      </w:r>
    </w:p>
    <w:p>
      <w:pPr>
        <w:spacing w:after="0" w:line="155" w:lineRule="exact"/>
        <w:rPr>
          <w:sz w:val="20"/>
          <w:szCs w:val="20"/>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pricing policies or those of our competitors;</w:t>
      </w:r>
    </w:p>
    <w:p>
      <w:pPr>
        <w:ind w:left="880" w:hanging="433"/>
        <w:spacing w:after="0" w:line="237"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rates of acquisition of new customers;</w:t>
      </w:r>
    </w:p>
    <w:p>
      <w:pPr>
        <w:ind w:left="880" w:hanging="433"/>
        <w:spacing w:after="0" w:line="237"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patterns;</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the introduction of new or enhanced services, software and related products by us or our competitors or market acceptance of these products and services; and o other changes in operating expenses, personnel and general economic conditions.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As a result, we believe that period-to-period comparisons of our operating results are not necessarily meaningful, and you should not rely on them as an indication of our future performance. In addition, our operating results in a future quarter or quarters may fall below expectations of securities analysts or investors and, as a result, the price of our common stock may fluctuate.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COMMON STOCK</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HAS BEEN VOLATILE SINCE DECEMBER 31, 2000.</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Since December 31, 2000, our stock price has been extremely volatile, trading at a high of $57.25 per share and a low of $15.55 per share for the period. The volatility in our stock price has been caused by:</w:t>
      </w:r>
    </w:p>
    <w:p>
      <w:pPr>
        <w:spacing w:after="0" w:line="167" w:lineRule="exact"/>
        <w:rPr>
          <w:sz w:val="20"/>
          <w:szCs w:val="20"/>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ind w:left="880" w:hanging="433"/>
        <w:spacing w:after="0" w:line="237"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ind w:left="880" w:hanging="433"/>
        <w:spacing w:after="0" w:line="237"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5" w:lineRule="exact"/>
        <w:rPr>
          <w:rFonts w:ascii="Courier New" w:cs="Courier New" w:eastAsia="Courier New" w:hAnsi="Courier New"/>
          <w:sz w:val="15"/>
          <w:szCs w:val="15"/>
          <w:color w:val="auto"/>
        </w:rPr>
      </w:pPr>
    </w:p>
    <w:p>
      <w:pPr>
        <w:ind w:left="880" w:right="367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ind w:left="880" w:hanging="433"/>
        <w:spacing w:after="0" w:line="237"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ind w:left="880" w:hanging="433"/>
        <w:spacing w:after="0" w:line="237"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AVAILABILITY OF SIGNIFICANT AMOUNTS OF OUR COMMON STOCK FOR SALE IN THE FUTURE COULD ADVERSELY AFFECT OUR STOCK PRICE.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September 14, 2001, we had outstanding 87,154,357 shares of our common stock, of which 55,786,564 shares of our issued and outstanding common stock were held by nonaffiliates. The holders of the remaining 31,368,793 shares were entitled to resell them only by a registration statement under the Securities Act of 1933 or an applicable exemption from registration. As of September 1, 2001, we had an additional 23,934,323 shares of our common stock available for future sale, including:</w:t>
      </w:r>
    </w:p>
    <w:p>
      <w:pPr>
        <w:spacing w:after="0" w:line="180" w:lineRule="exact"/>
        <w:rPr>
          <w:sz w:val="20"/>
          <w:szCs w:val="20"/>
          <w:color w:val="auto"/>
        </w:rPr>
      </w:pPr>
    </w:p>
    <w:p>
      <w:pPr>
        <w:ind w:left="880" w:right="3319" w:hanging="433"/>
        <w:spacing w:after="0" w:line="235"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options to purchase 7,977,621 shares of our common stock, of which options for 2,901,689 shares were fully vested and exercisable at an average weighted exercise price of approximately $28.24 per share;</w:t>
      </w:r>
    </w:p>
    <w:p>
      <w:pPr>
        <w:spacing w:after="0" w:line="7" w:lineRule="exact"/>
        <w:rPr>
          <w:rFonts w:ascii="Courier New" w:cs="Courier New" w:eastAsia="Courier New" w:hAnsi="Courier New"/>
          <w:sz w:val="15"/>
          <w:szCs w:val="15"/>
          <w:color w:val="auto"/>
        </w:rPr>
      </w:pPr>
    </w:p>
    <w:p>
      <w:pPr>
        <w:jc w:val="both"/>
        <w:ind w:left="880" w:right="3319" w:hanging="433"/>
        <w:spacing w:after="0" w:line="254" w:lineRule="auto"/>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warrants to purchase 12,450,000 shares of our common stock, of which warrants for 1,525,000 shares were fully vested and exercisable at a weighted exercise price of approximately $20.81 per share;</w:t>
      </w:r>
    </w:p>
    <w:p>
      <w:pPr>
        <w:spacing w:after="0" w:line="1" w:lineRule="exact"/>
        <w:rPr>
          <w:rFonts w:ascii="Courier New" w:cs="Courier New" w:eastAsia="Courier New" w:hAnsi="Courier New"/>
          <w:sz w:val="14"/>
          <w:szCs w:val="14"/>
          <w:color w:val="auto"/>
        </w:rPr>
      </w:pPr>
    </w:p>
    <w:p>
      <w:pPr>
        <w:ind w:left="880" w:right="331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522,915 shares available for issuance under our Associate Stock Purchase Plan;</w:t>
      </w:r>
    </w:p>
    <w:p>
      <w:pPr>
        <w:spacing w:after="0" w:line="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 to 627,230 shares available for issuance under our 401(k) Plan; and</w:t>
      </w:r>
    </w:p>
    <w:p>
      <w:pPr>
        <w:spacing w:after="0" w:line="9" w:lineRule="exact"/>
        <w:rPr>
          <w:rFonts w:ascii="Courier New" w:cs="Courier New" w:eastAsia="Courier New" w:hAnsi="Courier New"/>
          <w:sz w:val="14"/>
          <w:szCs w:val="14"/>
          <w:color w:val="auto"/>
        </w:rPr>
      </w:pPr>
    </w:p>
    <w:p>
      <w:pPr>
        <w:ind w:left="880" w:right="3239" w:hanging="433"/>
        <w:spacing w:after="0" w:line="234"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As of September 1, 2001, the following entities hold shares or warrants to purchase shares of our common stock in the following amounts:</w:t>
      </w:r>
    </w:p>
    <w:p>
      <w:pPr>
        <w:spacing w:after="0" w:line="167" w:lineRule="exact"/>
        <w:rPr>
          <w:sz w:val="20"/>
          <w:szCs w:val="20"/>
          <w:color w:val="auto"/>
        </w:rPr>
      </w:pPr>
    </w:p>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Corporation, which holds 8,567,250 shares;</w:t>
      </w:r>
    </w:p>
    <w:p>
      <w:pPr>
        <w:ind w:left="880" w:hanging="433"/>
        <w:spacing w:after="0" w:line="237"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Data Corporation, which holds 6,567,250 shares;</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members of Integrion Financial Network, L.L.C. collectively hold warrants to purchase up to 1,500,000 shares which are fully vested and exercisable;</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250,000 shares and warrants to purchase 1,000,000 shares and may be entitled to receive warrants to purchase up to 2,000,000 additional shares, none of which are vested or exercisable; and</w:t>
      </w:r>
    </w:p>
    <w:p>
      <w:pPr>
        <w:spacing w:after="0" w:line="7"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of America, which holds 10,000,000 shares and warrants to purchase up to 10,000,000 shares, which warrants are not currently vested.</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Each of Bank One and Bank of America may be entitled to registration rights. If Integrion, Bank One or Bank of America, by exercising their registration rights, cause a large number of shares to be registered and sold in the public market, these sales may have an adverse effect on the market price of our common stock.</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also agreed with Microsoft, First Data and Citibank to file a shelf registration statement that would allow continuous resales of the shares that they will receive on the closing date of the acquisition. Although Microsoft and First Data are be limited in their ability to transfer their shares of our common stock during the next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two years pursuant to stockholder agreements with us, they will be able to transfer significant portions of their common stock in the future in both registered and unregistered sales. Beginning on September 1, 2001, Microsoft, First Data and Citibank may sell up to the greater of one percent of our average weekly trading volume or one percent of our outstanding common stock in reliance on registration exemptions. In addition, Microsoft and First Data are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Beginning on September 28, 2001, Bank of America may be able to sell up to the greater of one percent of our average weekly trading volume or one percent of our outstanding common stock in reliance on registration exemptions. Sales of substantial amounts of our common stock by Bank of America, or the perception that these sales could occur, may adversely affect prevailing market prices for our common stock.</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63" w:lineRule="exact"/>
        <w:rPr>
          <w:sz w:val="20"/>
          <w:szCs w:val="20"/>
          <w:color w:val="auto"/>
        </w:rPr>
      </w:pPr>
    </w:p>
    <w:p>
      <w:pPr>
        <w:ind w:left="880" w:right="401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5" w:lineRule="exact"/>
        <w:rPr>
          <w:rFonts w:ascii="Courier New" w:cs="Courier New" w:eastAsia="Courier New" w:hAnsi="Courier New"/>
          <w:sz w:val="15"/>
          <w:szCs w:val="15"/>
          <w:color w:val="auto"/>
        </w:rPr>
      </w:pPr>
    </w:p>
    <w:p>
      <w:pPr>
        <w:ind w:left="880" w:right="393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5"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5" w:lineRule="exact"/>
        <w:rPr>
          <w:rFonts w:ascii="Courier New" w:cs="Courier New" w:eastAsia="Courier New" w:hAnsi="Courier New"/>
          <w:sz w:val="15"/>
          <w:szCs w:val="15"/>
          <w:color w:val="auto"/>
        </w:rPr>
      </w:pPr>
    </w:p>
    <w:p>
      <w:pPr>
        <w:ind w:left="880" w:right="3499" w:hanging="433"/>
        <w:spacing w:after="0" w:line="235"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unilaterally amending our certificate of incorporation or by-laws except with 80% stockholder approval; and</w:t>
      </w:r>
    </w:p>
    <w:p>
      <w:pPr>
        <w:spacing w:after="0" w:line="5"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preferred stock could have the effect of decreasing the market price of our common stock.</w:t>
      </w:r>
    </w:p>
    <w:p>
      <w:pPr>
        <w:spacing w:after="0" w:line="166"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executed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177"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ARE SUBJECT TO SIGNIFICANT INFLUENCE BY SOME STOCKHOLDERS THAT MAY HAVE THE EFFECT OF DELAYING OR PREVENTING A CHANGE IN CONTROL.</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At September 1, 2001, our directors, executive officers and principal stockholders and their affiliates collectively owned approximately 36% of the outstanding shares of our common stock. As a result, these stockholders are able to exercise significant influence over matters requiring stockholder approval, including the election of directors and approval of significant corporate transactions. This concentration of ownership may have the effect of delaying or preventing a change in control.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OF OUR RECENT ACQUISITIONS.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WE MAY FAIL TO REALIZE THE ANTICIPATED BENEFITS OF THE TRANSPOINT MERGERS AND THE STRATEGIC AGREEMENT WITH BANK OF AMERICA.</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success of the TransPoint mergers and the strategic agreement with Bank of America will depend, in part, on our ability to realize the anticipated growth opportunities and synergies from combining our business with the TransPoint business and Bank of America's electronic billing and payment assets. To realize the anticipated benefits of these combinations, our management team must develop strategies and implement a business plan that will:</w:t>
      </w:r>
    </w:p>
    <w:p>
      <w:pPr>
        <w:spacing w:after="0" w:line="166" w:lineRule="exact"/>
        <w:rPr>
          <w:sz w:val="20"/>
          <w:szCs w:val="20"/>
          <w:color w:val="auto"/>
        </w:rPr>
      </w:pPr>
    </w:p>
    <w:p>
      <w:pPr>
        <w:ind w:left="880" w:right="383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combine TransPoint's electronic billing and payment services with our services;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combine Bank of America's electronic billing and payment assets with our assets and services;</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successfully use the anticipated opportunities for cross-promotion and sales of the products and services of CheckFree, TransPoint and Bank of America;</w:t>
      </w:r>
    </w:p>
    <w:p>
      <w:pPr>
        <w:spacing w:after="0" w:line="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successfully retain and attract key employees of the combined company, including operating management and key technical personnel, during a period of transition and in light of the competitive employment market; and</w:t>
      </w:r>
    </w:p>
    <w:p>
      <w:pPr>
        <w:spacing w:after="0" w:line="7"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integrating the combined company's operations, maintain adequate focus on our core businesses in order to take advantage of competitive opportunities and to respond to competitive challenges.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our management team is not able to develop strategies and implement a business plan that achieves any these objectives, we may not realize the anticipated benefits of the TransPoint and Bank of America acquisitions. In particular, anticipated growth in revenue, earnings before interest, taxes, depreciation, and amortization, or "EBITDA," and cash flow may not be realized, which would have an adverse impact on us and the market price of our common stock.</w:t>
      </w:r>
    </w:p>
    <w:p>
      <w:pPr>
        <w:spacing w:after="0" w:line="17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WE ARE REQUIRED TO AMORTIZE GOODWILL AND OTHER INTANGIBLE ASSETS THAT WILL CAUSE OUR EARNINGS PER SHARE TO DECREASE.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accounted for the BlueGill and TransPoint mergers using the purchase method, which has caused us, and will continue to cause us, to record charges to our earnings that will decrease our earnings per share. In connection with the BlueGill merger we carried a balance of goodwill and other intangible assets of $164,143,002 as of June 30, 2001 and expect our resulting amortization expense to be approximately $44,725,000 for the fiscal year ended June 30, 2002. In connection with the TransPoint merger we carried a balance of goodwill and other intangible assets of $1,239,779,544 as of June 30, 2001 and expect our resulting amortization expense to be approximately $339,260,000 for the fiscal year ended June 30, 2002.</w:t>
      </w:r>
    </w:p>
    <w:p>
      <w:pPr>
        <w:spacing w:after="0" w:line="179"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As a result of our purchase of the electronic billing and payment assets of Bank of America we carried an intangible asset balance of $236,922,120 as of June 30, 2001 and expect our resulting amortization expense to be approximately $29,830,000 for the fiscal year ended June 30, 2002.</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Additionally, because we issued shares of our common stock in connection with both the merger agreements and the asset purchase agreement, and since historically BlueGill and TransPoint have not been profitable, the BlueGill and TransPoint mergers and related TransPoint commercial transactions and the Bank of America asset purchase agreement may cause our earnings per share to decrease. A drop in our earnings per share could have a negative impact on the market price of our common stock. Analysts and investors carefully review a company's earnings per share and often base investment decisions on a company's earnings per share.</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July 2001 the Financial Accounting Standards Board (FASB) issued FAS 142, "Goodwill and Other Intangible Assets." SFAS 142 changes the accounting for goodwill and other intangible assets. Once adopted, goodwill will no longer be subject to amortization over its estimated useful life but will be subject to at least an annual assessment for impairment. Other intangible assets will continue to be amortized over their estimated useful lives. SFAS becomes effective for us on July 1, 2002. While we are still assessing the impact of all the statement provisions on our financial position and results of operations, based on our review to date we expect to have a</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balance of goodwill of approximately $624,000,000 at June 30, 2002, which we will no longer be required to amortize. This will result in a reduction of goodwill amortization expense of approximately $200,000,000 per year for fiscal years 2003, 2004 and 2005.</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MICROSOFT, FIRST DATA, CITIBANK AND THE FORMER EMPLOYEES OF THE TRANSPOINT BUSINESS MAY ENGAGE FREELY IN MANY ACTIVITIES THAT MAY BE COMPETITIVE WITH OUR BUSINESS.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connection with the completion of the TransPoint mergers, we entered into a commercial alliance agreement with Microsoft and a marketing agreement with First Data. Both of these agreements contain limited covenants of the other party not to compete with us. These covenants, however, contain exceptions that could allow the other parties to engage in activities that could be competitive with our future business. These competitive activities, or the perception by investors that activities by Microsoft and First Data are competitive with our business, could adversely affect our business and the market price of our common stock. The TransPoint mergers did not create any obligation whatsoever on the part of Citibank to refrain from any business activities which are competitive with, or even hostile to, us. Although we would like to expand our business relationship with Citibank, nothing in or about the merger should be interpreted as increasing the likelihood that we will be successful in winning additional business from Citibank, or in preventing Citibank from competing against us.</w:t>
      </w:r>
    </w:p>
    <w:p>
      <w:pPr>
        <w:spacing w:after="0" w:line="16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MARKETING AGREEMENT WITH FIRST DATA AND THE COMMERCIAL ALLIANCE AGREEMENT WITH MICROSOFT WILL LIMIT THE FLEXIBILITY OF OUR MANAGEMENT.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marketing agreement we executed with First Data requires us to purchase payment processing and other products from First Data under specified circumstances, even if our management has other reasons for choosing a different supplier. In addition, the commercial alliance agreement with Microsoft requires the development of our products that are used with products made by Microsoft to conform to specified standards. Accordingly, as a result of these agreements with Microsoft and First Data, our management's flexibility to make business decisions will be limited in various respects.</w:t>
      </w:r>
    </w:p>
    <w:p>
      <w:pPr>
        <w:spacing w:after="0" w:line="177"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AS A RESULT OF THE BLUEGILL AND TRANSPOINT MERGERS, WE WILL HAVE AN INCREASED INTERNATIONAL PRESENCE IN WHICH WE HAVE HAD LIMITED BUSINESS EXPERIENCE.</w:t>
      </w:r>
    </w:p>
    <w:p>
      <w:pPr>
        <w:spacing w:after="0" w:line="160" w:lineRule="exact"/>
        <w:rPr>
          <w:sz w:val="20"/>
          <w:szCs w:val="20"/>
          <w:color w:val="auto"/>
        </w:rPr>
      </w:pPr>
    </w:p>
    <w:p>
      <w:pPr>
        <w:jc w:val="both"/>
        <w:ind w:right="3579" w:firstLine="787"/>
        <w:spacing w:after="0" w:line="258" w:lineRule="auto"/>
        <w:rPr>
          <w:sz w:val="20"/>
          <w:szCs w:val="20"/>
          <w:color w:val="auto"/>
        </w:rPr>
      </w:pPr>
      <w:r>
        <w:rPr>
          <w:rFonts w:ascii="Courier New" w:cs="Courier New" w:eastAsia="Courier New" w:hAnsi="Courier New"/>
          <w:sz w:val="14"/>
          <w:szCs w:val="14"/>
          <w:color w:val="auto"/>
        </w:rPr>
        <w:t>Historically, we have not offered or sold our products and services internationally. International operations are subject to many risks that are difficult or impossible to predict or control, including the following:</w:t>
      </w:r>
    </w:p>
    <w:p>
      <w:pPr>
        <w:spacing w:after="0" w:line="155" w:lineRule="exact"/>
        <w:rPr>
          <w:sz w:val="20"/>
          <w:szCs w:val="20"/>
          <w:color w:val="auto"/>
        </w:rPr>
      </w:pPr>
    </w:p>
    <w:p>
      <w:pPr>
        <w:ind w:left="880" w:hanging="433"/>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changes in laws and regulatory requirements;</w:t>
      </w:r>
    </w:p>
    <w:p>
      <w:pPr>
        <w:ind w:left="880" w:hanging="433"/>
        <w:spacing w:after="0" w:line="237"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ind w:left="880" w:hanging="433"/>
        <w:spacing w:after="0" w:line="237"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economic or political changes;</w:t>
      </w:r>
    </w:p>
    <w:p>
      <w:pPr>
        <w:spacing w:after="0" w:line="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rate risks associated with conversion of foreign currencies to United States dollars;</w:t>
      </w:r>
    </w:p>
    <w:p>
      <w:pPr>
        <w:ind w:left="880" w:hanging="433"/>
        <w:spacing w:after="0" w:line="237"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trade restrictions;</w:t>
      </w:r>
    </w:p>
    <w:p>
      <w:pPr>
        <w:ind w:left="880" w:hanging="433"/>
        <w:spacing w:after="0" w:line="237"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 collecting accounts receivables; and</w:t>
      </w:r>
    </w:p>
    <w:p>
      <w:pPr>
        <w:ind w:left="880" w:hanging="433"/>
        <w:spacing w:after="0" w:line="237"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potentially adverse tax consequences.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If we are unable to successfully adapt our business operations to these additional risks and requirements, it could have a material adverse effect on our business and financial condition.</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ANTI-TAKEOVER PROVISIONS IN THE TRANSPOINT COMMERCIAL AGREEMENTS MAY MAKE A CHANGE IN CONTROL OF OUR COMPANY MORE DIFFICULT.</w:t>
      </w:r>
    </w:p>
    <w:p>
      <w:pPr>
        <w:spacing w:after="0" w:line="173" w:lineRule="exact"/>
        <w:rPr>
          <w:sz w:val="20"/>
          <w:szCs w:val="20"/>
          <w:color w:val="auto"/>
        </w:rPr>
      </w:pPr>
    </w:p>
    <w:p>
      <w:pPr>
        <w:jc w:val="both"/>
        <w:ind w:right="3239" w:firstLine="787"/>
        <w:spacing w:after="0" w:line="236" w:lineRule="auto"/>
        <w:rPr>
          <w:sz w:val="20"/>
          <w:szCs w:val="20"/>
          <w:color w:val="auto"/>
        </w:rPr>
      </w:pPr>
      <w:r>
        <w:rPr>
          <w:rFonts w:ascii="Courier New" w:cs="Courier New" w:eastAsia="Courier New" w:hAnsi="Courier New"/>
          <w:sz w:val="15"/>
          <w:szCs w:val="15"/>
          <w:color w:val="auto"/>
        </w:rPr>
        <w:t>Both the commercial alliance agreement with Microsoft and the marketing agreement with First Data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These potential termination events could discourage third parties from acquiring us.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MAY NOT BE ABLE TO PROVIDE ELECTRONIC BILLING AND PAYMENT SERVICES TO THE BANK OF AMERICA SUBSCRIBERS FOR THE FEES WE AGREED TO IN THE STRATEGIC AGREEMENT WITH BANK OF AMERICA.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success of the strategic agreement with Bank of America will depend, in part, on our ability to ultimately provide electronic billing and payment services to the Bank of America subscribers at a cost to us that is less than the fees we have agreed to receive. If we are unable to provide electronic billing and payment services to the Bank of America subscribers profitably, the strategic agreement will have a material adverse effect on our business, financial condition and results of operations.</w:t>
      </w:r>
    </w:p>
    <w:p>
      <w:pPr>
        <w:spacing w:after="0" w:line="176" w:lineRule="exact"/>
        <w:rPr>
          <w:sz w:val="20"/>
          <w:szCs w:val="20"/>
          <w:color w:val="auto"/>
        </w:rPr>
      </w:pPr>
    </w:p>
    <w:p>
      <w:pPr>
        <w:jc w:val="both"/>
        <w:ind w:right="4019"/>
        <w:spacing w:after="0" w:line="261" w:lineRule="auto"/>
        <w:rPr>
          <w:sz w:val="20"/>
          <w:szCs w:val="20"/>
          <w:color w:val="auto"/>
        </w:rPr>
      </w:pPr>
      <w:r>
        <w:rPr>
          <w:rFonts w:ascii="Courier New" w:cs="Courier New" w:eastAsia="Courier New" w:hAnsi="Courier New"/>
          <w:sz w:val="14"/>
          <w:szCs w:val="14"/>
          <w:color w:val="auto"/>
        </w:rPr>
        <w:t>BANK OF AMERICA'S MARKETING EFFORTS MAY NOT BE SUCCESSFUL IN GENERATING ADDITIONAL SUBSCRIBERS FOR OUR ELECTRONIC BILLING AND PAYMENT SERVICES.</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If Bank of America's marketing efforts to generate additional subscribers are not successful, it could have a material adverse effect on our business, financial condition and results of operations. In order to realize the benefit of the strategic agreement with Bank of America and to consistently increase and maintain our profitability, we must encourage the existing Bank of America subscribers to actively utilize our billing and payment services, as well as generate additional subscribers from the Bank of America base of customers.</w:t>
      </w:r>
    </w:p>
    <w:p>
      <w:pPr>
        <w:spacing w:after="0" w:line="177"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ASSUMPTION OF CERTAIN LONG-TERM LEASEHOLD OBLIGATIONS COULD HAVE AN ADVERSE IMPACT ON OUR RESULTS OF OPERATIONS.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As part of the strategic agreement with Bank of America, we are assuming certain of Bank of America's long-term leasehold obligations which, if we are unable to use the leased premises efficiently in our business (or find a third party to assume the leasehold obligations), could have a material adverse effect on our profitability and results of operations.</w:t>
      </w:r>
    </w:p>
    <w:p>
      <w:pPr>
        <w:spacing w:after="0" w:line="17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OUR ABILITY TO SUCCEED IN TRANSITIONING BANK OF AMERICA'S BILLING AND PAYMENT SERVICES FROM A LEGACY SYSTEM TO OUR SYSTEM IS DEPENDENT ON RETAINING QUALIFIED BANK OF AMERICA EMPLOYEES KNOWLEDGEABLE IN THE OPERATION OF A LEGACY SYSTEM.</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success of the strategic agreement with Bank of America is dependent on our ability to retain qualified Bank of America employees with experience operating Bank of America's billing and payment processing system. Bank of America operates its electronic billing and payment services on a legacy system that we expect to migrate to our processing systems. If we are unable to retain the experienced Bank of America employees through the transition and migration process, we will have to either divert our current employees from other important work or incur a significant expense to hire people qualified to operate a legacy system to assist us with the transition and migration process. Competition for qualified employees is intense and employees qualified to operate a legacy system are in short supply.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lease the following office facilities:</w:t>
      </w:r>
    </w:p>
    <w:p>
      <w:pPr>
        <w:spacing w:after="0" w:line="166" w:lineRule="exact"/>
        <w:rPr>
          <w:sz w:val="20"/>
          <w:szCs w:val="20"/>
          <w:color w:val="auto"/>
        </w:rPr>
      </w:pPr>
    </w:p>
    <w:p>
      <w:pPr>
        <w:ind w:left="800" w:hanging="790"/>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229,000 square feet in Norcross, Georgia;</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150,000 square feet in Dublin, Ohio;</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100,000 square feet in Phoenix, Arizona;</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77,706 square feet in Aurora, Illinois;</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45,000 square feet in Houston, Texas;</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33,000 square feet in Jersey City, New Jersey</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32,000 square feet in Austin, Texas;</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30,000 square feet in Ann Arbor, Michigan;</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29,000 square feet in Waterloo, Ontario, Canada;</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26,000 square feet in Owings Mills, Maryland;</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26,000 square feet in San Francisco, California;</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21,000 square feet in Newark, New Jersey;</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15,000 square feet in Chicago, Illinois;</w:t>
      </w:r>
    </w:p>
    <w:p>
      <w:pPr>
        <w:ind w:left="800" w:hanging="790"/>
        <w:spacing w:after="0" w:line="237" w:lineRule="auto"/>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5,000 square feet in San Diego, California;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ind w:left="800" w:hanging="790"/>
        <w:spacing w:after="0"/>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2,000 square feet in Boston Massachusetts.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own a 51,000 square foot conference center in Norcross, Georgia that includes lodging, training, and fitness facilities for our customers and employees. Although we own the building, it is on land that is leased through June 30, 2021. We believe that our facilities are adequate for current and near-term growth and that additional space is available to provide for anticipated growth.</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There are no material legal proceedings pending against us.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ind w:left="80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ind w:right="2100" w:firstLine="875"/>
        <w:spacing w:after="0" w:line="235" w:lineRule="auto"/>
        <w:rPr>
          <w:sz w:val="20"/>
          <w:szCs w:val="20"/>
          <w:color w:val="auto"/>
        </w:rPr>
      </w:pPr>
      <w:r>
        <w:rPr>
          <w:rFonts w:ascii="Courier New" w:cs="Courier New" w:eastAsia="Courier New" w:hAnsi="Courier New"/>
          <w:sz w:val="15"/>
          <w:szCs w:val="15"/>
          <w:color w:val="auto"/>
        </w:rPr>
        <w:t>Our common stock is traded on the Nasdaq National Market under the symbol "CKFR." The following table sets forth the high and low sales prices of our common stock for the periods indicated as reported by the Nasdaq National Market.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336"/>
        </w:trPr>
        <w:tc>
          <w:tcPr>
            <w:tcW w:w="4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PRICE</w:t>
            </w:r>
          </w:p>
        </w:tc>
      </w:tr>
      <w:tr>
        <w:trPr>
          <w:trHeight w:val="168"/>
        </w:trPr>
        <w:tc>
          <w:tcPr>
            <w:tcW w:w="4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PERIOD</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HIGH</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LOW</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$ 44.25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$ 23.13</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$107.50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$ 34.00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$125.63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$ 55.77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$ 70.75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$ 28.50</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$ 70.88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$ 34.50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$ 62.50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$ 33.50</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$ 57.25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$ 25.38</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$ 43.15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$ 24.06</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(through September 20, 2001)......</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$ 39.68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$ 15.50</w:t>
            </w:r>
          </w:p>
        </w:tc>
      </w:tr>
    </w:tbl>
    <w:p>
      <w:pPr>
        <w:spacing w:after="0" w:line="341" w:lineRule="exact"/>
        <w:rPr>
          <w:sz w:val="20"/>
          <w:szCs w:val="20"/>
          <w:color w:val="auto"/>
        </w:rPr>
      </w:pPr>
    </w:p>
    <w:p>
      <w:pPr>
        <w:ind w:right="1940" w:firstLine="787"/>
        <w:spacing w:after="0" w:line="235" w:lineRule="auto"/>
        <w:rPr>
          <w:sz w:val="20"/>
          <w:szCs w:val="20"/>
          <w:color w:val="auto"/>
        </w:rPr>
      </w:pPr>
      <w:r>
        <w:rPr>
          <w:rFonts w:ascii="Courier New" w:cs="Courier New" w:eastAsia="Courier New" w:hAnsi="Courier New"/>
          <w:sz w:val="15"/>
          <w:szCs w:val="15"/>
          <w:color w:val="auto"/>
        </w:rPr>
        <w:t>On September 20, 2001, the last reported bid price for our common stock on the Nasdaq National Market was $16.99 per share. As of September 14, 2001, there were approximately 688 holders of record of our common stock.</w:t>
      </w:r>
    </w:p>
    <w:p>
      <w:pPr>
        <w:spacing w:after="0" w:line="174" w:lineRule="exact"/>
        <w:rPr>
          <w:sz w:val="20"/>
          <w:szCs w:val="20"/>
          <w:color w:val="auto"/>
        </w:rPr>
      </w:pPr>
    </w:p>
    <w:p>
      <w:pPr>
        <w:ind w:right="2020" w:firstLine="875"/>
        <w:spacing w:after="0" w:line="255" w:lineRule="auto"/>
        <w:rPr>
          <w:sz w:val="20"/>
          <w:szCs w:val="20"/>
          <w:color w:val="auto"/>
        </w:rPr>
      </w:pPr>
      <w:r>
        <w:rPr>
          <w:rFonts w:ascii="Courier New" w:cs="Courier New" w:eastAsia="Courier New" w:hAnsi="Courier New"/>
          <w:sz w:val="14"/>
          <w:szCs w:val="14"/>
          <w:color w:val="auto"/>
        </w:rPr>
        <w:t>We currently anticipate that all of our future earnings will be retained for the development of our business and do not anticipate paying cash dividends on our common stock for the foreseeable future. In addition, our line of credit does not allow for the payment of cash dividends on our common stock. Our board of directors will determine future dividend policy based on our results of operations, financial condition, capital requirements and other circumstances. During the last ten years, we have not paid cash dividends.</w:t>
      </w:r>
    </w:p>
    <w:p>
      <w:pPr>
        <w:spacing w:after="0" w:line="166" w:lineRule="exact"/>
        <w:rPr>
          <w:sz w:val="20"/>
          <w:szCs w:val="20"/>
          <w:color w:val="auto"/>
        </w:rPr>
      </w:pPr>
    </w:p>
    <w:p>
      <w:pPr>
        <w:ind w:right="1940" w:firstLine="875"/>
        <w:spacing w:after="0" w:line="234" w:lineRule="auto"/>
        <w:rPr>
          <w:sz w:val="20"/>
          <w:szCs w:val="20"/>
          <w:color w:val="auto"/>
        </w:rPr>
      </w:pPr>
      <w:r>
        <w:rPr>
          <w:rFonts w:ascii="Courier New" w:cs="Courier New" w:eastAsia="Courier New" w:hAnsi="Courier New"/>
          <w:sz w:val="15"/>
          <w:szCs w:val="15"/>
          <w:color w:val="auto"/>
        </w:rPr>
        <w:t>During the past fiscal year, we have issued the following unregistered securities shares of our common stock:</w:t>
      </w:r>
    </w:p>
    <w:p>
      <w:pPr>
        <w:spacing w:after="0" w:line="200" w:lineRule="exact"/>
        <w:rPr>
          <w:sz w:val="20"/>
          <w:szCs w:val="20"/>
          <w:color w:val="auto"/>
        </w:rPr>
      </w:pPr>
    </w:p>
    <w:p>
      <w:pPr>
        <w:spacing w:after="0" w:line="303" w:lineRule="exact"/>
        <w:rPr>
          <w:sz w:val="20"/>
          <w:szCs w:val="20"/>
          <w:color w:val="auto"/>
        </w:rPr>
      </w:pPr>
    </w:p>
    <w:p>
      <w:pPr>
        <w:ind w:left="2200"/>
        <w:spacing w:after="0"/>
        <w:tabs>
          <w:tab w:leader="none" w:pos="3480" w:val="left"/>
          <w:tab w:leader="none" w:pos="4980" w:val="left"/>
        </w:tabs>
        <w:rPr>
          <w:sz w:val="20"/>
          <w:szCs w:val="20"/>
          <w:color w:val="auto"/>
        </w:rPr>
      </w:pPr>
      <w:r>
        <w:rPr>
          <w:rFonts w:ascii="Courier New" w:cs="Courier New" w:eastAsia="Courier New" w:hAnsi="Courier New"/>
          <w:sz w:val="15"/>
          <w:szCs w:val="15"/>
          <w:color w:val="auto"/>
        </w:rPr>
        <w:t>TYPE OF</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UNDERWRITER /</w:t>
      </w:r>
    </w:p>
    <w:p>
      <w:pPr>
        <w:ind w:left="540"/>
        <w:spacing w:after="0"/>
        <w:tabs>
          <w:tab w:leader="none" w:pos="2000" w:val="left"/>
          <w:tab w:leader="none" w:pos="3480" w:val="left"/>
          <w:tab w:leader="none" w:pos="5160" w:val="left"/>
          <w:tab w:leader="none" w:pos="72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PURCHASER</w:t>
      </w:r>
      <w:r>
        <w:rPr>
          <w:sz w:val="20"/>
          <w:szCs w:val="20"/>
          <w:color w:val="auto"/>
        </w:rPr>
        <w:tab/>
      </w:r>
      <w:r>
        <w:rPr>
          <w:rFonts w:ascii="Courier New" w:cs="Courier New" w:eastAsia="Courier New" w:hAnsi="Courier New"/>
          <w:sz w:val="14"/>
          <w:szCs w:val="14"/>
          <w:color w:val="auto"/>
        </w:rPr>
        <w:t>CONSIDERATION</w:t>
      </w:r>
    </w:p>
    <w:p>
      <w:pPr>
        <w:spacing w:after="0"/>
        <w:tabs>
          <w:tab w:leader="none" w:pos="1920" w:val="left"/>
          <w:tab w:leader="none" w:pos="3480" w:val="left"/>
          <w:tab w:leader="none" w:pos="4720" w:val="left"/>
          <w:tab w:leader="none" w:pos="6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80"/>
        <w:spacing w:after="0"/>
        <w:tabs>
          <w:tab w:leader="none" w:pos="1920" w:val="left"/>
          <w:tab w:leader="none" w:pos="3480" w:val="left"/>
          <w:tab w:leader="none" w:pos="4880" w:val="left"/>
          <w:tab w:leader="none" w:pos="6900" w:val="left"/>
        </w:tabs>
        <w:rPr>
          <w:sz w:val="20"/>
          <w:szCs w:val="20"/>
          <w:color w:val="auto"/>
        </w:rPr>
      </w:pPr>
      <w:r>
        <w:rPr>
          <w:rFonts w:ascii="Courier New" w:cs="Courier New" w:eastAsia="Courier New" w:hAnsi="Courier New"/>
          <w:sz w:val="15"/>
          <w:szCs w:val="15"/>
          <w:color w:val="auto"/>
        </w:rPr>
        <w:t>September 28,</w:t>
      </w:r>
      <w:r>
        <w:rPr>
          <w:sz w:val="20"/>
          <w:szCs w:val="20"/>
          <w:color w:val="auto"/>
        </w:rPr>
        <w:tab/>
      </w: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10,000,000</w:t>
      </w:r>
      <w:r>
        <w:rPr>
          <w:sz w:val="20"/>
          <w:szCs w:val="20"/>
          <w:color w:val="auto"/>
        </w:rPr>
        <w:tab/>
      </w:r>
      <w:r>
        <w:rPr>
          <w:rFonts w:ascii="Courier New" w:cs="Courier New" w:eastAsia="Courier New" w:hAnsi="Courier New"/>
          <w:sz w:val="15"/>
          <w:szCs w:val="15"/>
          <w:color w:val="auto"/>
        </w:rPr>
        <w:t>Bank of America</w:t>
      </w:r>
      <w:r>
        <w:rPr>
          <w:sz w:val="20"/>
          <w:szCs w:val="20"/>
          <w:color w:val="auto"/>
        </w:rPr>
        <w:tab/>
      </w:r>
      <w:r>
        <w:rPr>
          <w:rFonts w:ascii="Courier New" w:cs="Courier New" w:eastAsia="Courier New" w:hAnsi="Courier New"/>
          <w:sz w:val="14"/>
          <w:szCs w:val="14"/>
          <w:color w:val="auto"/>
        </w:rPr>
        <w:t>Certain electronic</w:t>
      </w:r>
    </w:p>
    <w:p>
      <w:pPr>
        <w:ind w:left="540"/>
        <w:spacing w:after="0" w:line="237" w:lineRule="auto"/>
        <w:tabs>
          <w:tab w:leader="none" w:pos="69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billing and payment</w:t>
      </w:r>
    </w:p>
    <w:p>
      <w:pPr>
        <w:jc w:val="center"/>
        <w:ind w:left="6560"/>
        <w:spacing w:after="0" w:line="238" w:lineRule="auto"/>
        <w:rPr>
          <w:sz w:val="20"/>
          <w:szCs w:val="20"/>
          <w:color w:val="auto"/>
        </w:rPr>
      </w:pPr>
      <w:r>
        <w:rPr>
          <w:rFonts w:ascii="Courier New" w:cs="Courier New" w:eastAsia="Courier New" w:hAnsi="Courier New"/>
          <w:sz w:val="15"/>
          <w:szCs w:val="15"/>
          <w:color w:val="auto"/>
        </w:rPr>
        <w:t>assets of Bank of</w:t>
      </w:r>
    </w:p>
    <w:p>
      <w:pPr>
        <w:jc w:val="center"/>
        <w:ind w:left="6560"/>
        <w:spacing w:after="0" w:line="237" w:lineRule="auto"/>
        <w:rPr>
          <w:sz w:val="20"/>
          <w:szCs w:val="20"/>
          <w:color w:val="auto"/>
        </w:rPr>
      </w:pPr>
      <w:r>
        <w:rPr>
          <w:rFonts w:ascii="Courier New" w:cs="Courier New" w:eastAsia="Courier New" w:hAnsi="Courier New"/>
          <w:sz w:val="15"/>
          <w:szCs w:val="15"/>
          <w:color w:val="auto"/>
        </w:rPr>
        <w:t>America</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2200" w:firstLine="875"/>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 "SELECTED FINANCIAL DATA" in our Annual Report and is incorporated herein by reference.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800"/>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2280" w:firstLine="787"/>
        <w:spacing w:after="0" w:line="258" w:lineRule="auto"/>
        <w:rPr>
          <w:sz w:val="20"/>
          <w:szCs w:val="20"/>
          <w:color w:val="auto"/>
        </w:rPr>
      </w:pPr>
      <w:r>
        <w:rPr>
          <w:rFonts w:ascii="Courier New" w:cs="Courier New" w:eastAsia="Courier New" w:hAnsi="Courier New"/>
          <w:sz w:val="14"/>
          <w:szCs w:val="14"/>
          <w:color w:val="auto"/>
        </w:rPr>
        <w:t>The information required by this item is included under the caption "MANAGEMENT'S DISCUSSION AND ANALYSIS OF RESULTS OF OPERATIONS AND FINANCIAL CONDITION" in our Annual Report and is incorporated herein by reference.</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EXEMPTION</w:t>
      </w:r>
    </w:p>
    <w:p>
      <w:pPr>
        <w:jc w:val="center"/>
        <w:ind w:right="100"/>
        <w:spacing w:after="0" w:line="237" w:lineRule="auto"/>
        <w:rPr>
          <w:sz w:val="20"/>
          <w:szCs w:val="20"/>
          <w:color w:val="auto"/>
        </w:rPr>
      </w:pPr>
      <w:r>
        <w:rPr>
          <w:rFonts w:ascii="Courier New" w:cs="Courier New" w:eastAsia="Courier New" w:hAnsi="Courier New"/>
          <w:sz w:val="15"/>
          <w:szCs w:val="15"/>
          <w:color w:val="auto"/>
        </w:rPr>
        <w:t>CLAIMED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4(2)</w:t>
      </w:r>
    </w:p>
    <w:p>
      <w:pPr>
        <w:sectPr>
          <w:pgSz w:w="11900" w:h="16838" w:orient="portrait"/>
          <w:cols w:equalWidth="0" w:num="2">
            <w:col w:w="8940" w:space="340"/>
            <w:col w:w="1060"/>
          </w:cols>
          <w:pgMar w:left="220" w:top="281" w:right="1339"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Annual Report on Form 10-K include certain forward-looking statements within the meaning of Section 27A of the Securities Act of 1933 and Section 21E of the Securities Exchange Act of 1934 which are intended to be covered by the safe harbors created thereby. Those statements include, but may not be limited to, all statements regarding our and management's intent, belief and expectations, such as statements concerning our future profitability and our operating and growth strategy. Investors are cautioned that all forward-looking statements involve risks and uncertainties including, without limitation, the factors set forth under the caption "Business -- Business Risks" included elsewhere in this Annual Report on Form 10-K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Annual Report on Form 10-K are based on information presently available to our management. We assume no obligation to update any forward-looking statements.</w:t>
      </w:r>
    </w:p>
    <w:p>
      <w:pPr>
        <w:spacing w:after="0" w:line="33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With the acquisition of BlueGill in April 2000, we obtained operations in Canada and recently opened offices in the United Kingdom, Singapore and Australia. As a result, we now have assets and liabilities outside the United States that are subject to fluctuations in foreign currency exchange rates. Due to the start up nature of each of these operations, however, we currently utilize the U.S. dollar as the functional currency for all international operations. As these operations begin to generate sufficient cash flow to provide for their own cash flow requirements, we will convert to local currency as the functional currency in each related operating unit as appropriate. Because we utilize the U.S. dollar as the functional currency and due to the immaterial nature of the amounts involved, our economic exposure from fluctuations in foreign exchange rates is not significant enough at this time to engage in forward foreign exchange and other similar instruments.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our international sales represented less than 2% of our revenue for the year ended June 30, 2001, we now market, sell and license our products throughout the world. As a result, our future revenue could be somewhat affected by weak economic conditions in foreign markets that could reduce demand for our products.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exposure to interest rate risk is limited to the yield we earn on invested cash, cash equivalents and investments and interest based revenue earned on products such as our account balance transfer business. Our convertible debt carries a fixed rate, as do any outstanding capital lease obligations. Although our Investment Policy currently prohibits the use of derivatives for trading or hedging purposes, we believe that our limited interest rate risk currently does not warrant the use of such instruments.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Our consolidated balance sheets as of June 30, 2000 and 2001 and the related consolidated statements of operations, stockholders' equity and cash flows for the years ended June 30, 1999, 2000 and 2001 and the notes to the financial statements, together with the independent auditors' report thereon appear in our Annual Report and are incorporated herein by reference.</w:t>
      </w:r>
    </w:p>
    <w:p>
      <w:pPr>
        <w:spacing w:after="0" w:line="16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Our Financial Statement Schedule and Independent Auditors' Report on Financial Statement Schedule are included in response to Item 14 below.</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The information required by this item is included under the captions "ELECTION OF DIRECTORS," "EXECUTIVE OFFICERS" and "SECTION 16(a) BENEFICIAL OWNERSHIP REPORTING COMPLIANCE" in our Proxy Statement relating to our 2001 Annual Meeting of Stockholders to be held on November 7, 2001 and is incorporated herein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319" w:firstLine="875"/>
        <w:spacing w:after="0" w:line="258" w:lineRule="auto"/>
        <w:rPr>
          <w:sz w:val="20"/>
          <w:szCs w:val="20"/>
          <w:color w:val="auto"/>
        </w:rPr>
      </w:pPr>
      <w:r>
        <w:rPr>
          <w:rFonts w:ascii="Courier New" w:cs="Courier New" w:eastAsia="Courier New" w:hAnsi="Courier New"/>
          <w:sz w:val="14"/>
          <w:szCs w:val="14"/>
          <w:color w:val="auto"/>
        </w:rPr>
        <w:t>The information required by this item is included under the captions "INFORMATION CONCERNING THE BOARD OF DIRECTORS" and "EXECUTIVE COMPENSATION" in our Proxy Statement and is incorporated herein by reference.</w:t>
      </w:r>
    </w:p>
    <w:p>
      <w:pPr>
        <w:spacing w:after="0" w:line="1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captions "OWNERSHIP OF COMMON STOCK BY DIRECTORS AND EXECUTIVE OFFICERS" and "OWNERSHIP OF COMMON STOCK BY PRINCIPAL STOCKHOLDERS" in our Proxy Statement and is incorporated herein by reference.</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information required by this item is included under the captions "CERTAIN RELATIONSHIPS AND RELATED TRANSACTIONS" and "COMPENSATION COMMITTEE INTERLOCKS AND INSIDER PARTICIPATION" in our Proxy Statement and is incorporated herein by reference.</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580" w:hanging="783"/>
        <w:spacing w:after="0"/>
        <w:tabs>
          <w:tab w:leader="none" w:pos="15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p>
    <w:p>
      <w:pPr>
        <w:spacing w:after="0" w:line="172" w:lineRule="exact"/>
        <w:rPr>
          <w:rFonts w:ascii="Courier New" w:cs="Courier New" w:eastAsia="Courier New" w:hAnsi="Courier New"/>
          <w:sz w:val="15"/>
          <w:szCs w:val="15"/>
          <w:color w:val="auto"/>
        </w:rPr>
      </w:pPr>
    </w:p>
    <w:p>
      <w:pPr>
        <w:ind w:right="3399" w:firstLine="1584"/>
        <w:spacing w:after="0" w:line="234" w:lineRule="auto"/>
        <w:tabs>
          <w:tab w:leader="none" w:pos="192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statements appearing in our 2001 Annual Report of Stockholders are incorporated herein by reference: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Balance Sheets as of June 30, 2000 and 2001.</w:t>
      </w:r>
    </w:p>
    <w:p>
      <w:pPr>
        <w:spacing w:after="0" w:line="173" w:lineRule="exact"/>
        <w:rPr>
          <w:sz w:val="20"/>
          <w:szCs w:val="20"/>
          <w:color w:val="auto"/>
        </w:rPr>
      </w:pPr>
    </w:p>
    <w:p>
      <w:pPr>
        <w:ind w:left="1580" w:right="3499"/>
        <w:spacing w:after="0" w:line="234" w:lineRule="auto"/>
        <w:rPr>
          <w:sz w:val="20"/>
          <w:szCs w:val="20"/>
          <w:color w:val="auto"/>
        </w:rPr>
      </w:pPr>
      <w:r>
        <w:rPr>
          <w:rFonts w:ascii="Courier New" w:cs="Courier New" w:eastAsia="Courier New" w:hAnsi="Courier New"/>
          <w:sz w:val="15"/>
          <w:szCs w:val="15"/>
          <w:color w:val="auto"/>
        </w:rPr>
        <w:t>Consolidated Statements of Operations for each of the three years in the period ended June 30, 2001.</w:t>
      </w:r>
    </w:p>
    <w:p>
      <w:pPr>
        <w:spacing w:after="0" w:line="173" w:lineRule="exact"/>
        <w:rPr>
          <w:sz w:val="20"/>
          <w:szCs w:val="20"/>
          <w:color w:val="auto"/>
        </w:rPr>
      </w:pPr>
    </w:p>
    <w:p>
      <w:pPr>
        <w:ind w:left="1580" w:right="3499"/>
        <w:spacing w:after="0" w:line="234" w:lineRule="auto"/>
        <w:rPr>
          <w:sz w:val="20"/>
          <w:szCs w:val="20"/>
          <w:color w:val="auto"/>
        </w:rPr>
      </w:pPr>
      <w:r>
        <w:rPr>
          <w:rFonts w:ascii="Courier New" w:cs="Courier New" w:eastAsia="Courier New" w:hAnsi="Courier New"/>
          <w:sz w:val="15"/>
          <w:szCs w:val="15"/>
          <w:color w:val="auto"/>
        </w:rPr>
        <w:t>Consolidated Statements of Stockholders' Equity for each of the three years in the period ended June 30, 2001.</w:t>
      </w:r>
    </w:p>
    <w:p>
      <w:pPr>
        <w:spacing w:after="0" w:line="173" w:lineRule="exact"/>
        <w:rPr>
          <w:sz w:val="20"/>
          <w:szCs w:val="20"/>
          <w:color w:val="auto"/>
        </w:rPr>
      </w:pPr>
    </w:p>
    <w:p>
      <w:pPr>
        <w:ind w:left="1580" w:right="3499"/>
        <w:spacing w:after="0" w:line="234" w:lineRule="auto"/>
        <w:rPr>
          <w:sz w:val="20"/>
          <w:szCs w:val="20"/>
          <w:color w:val="auto"/>
        </w:rPr>
      </w:pPr>
      <w:r>
        <w:rPr>
          <w:rFonts w:ascii="Courier New" w:cs="Courier New" w:eastAsia="Courier New" w:hAnsi="Courier New"/>
          <w:sz w:val="15"/>
          <w:szCs w:val="15"/>
          <w:color w:val="auto"/>
        </w:rPr>
        <w:t>Consolidated Statements of Cash Flows for each of the three years in the period ended June 30, 2001.</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173" w:lineRule="exact"/>
        <w:rPr>
          <w:sz w:val="20"/>
          <w:szCs w:val="20"/>
          <w:color w:val="auto"/>
        </w:rPr>
      </w:pPr>
    </w:p>
    <w:p>
      <w:pPr>
        <w:ind w:right="3319" w:firstLine="1584"/>
        <w:spacing w:after="0" w:line="235" w:lineRule="auto"/>
        <w:tabs>
          <w:tab w:leader="none" w:pos="192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 schedule is included in this Annual Report on Form 10-K and should be read in conjunction with the Consolidated Financial Statements contained in the Annual Report: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Independent Auditors' Report on Financial Statement Schedule.</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Schedules not listed above are omitted because of the absence of the conditions under which they are required or because the required information is included in the financial statements or the notes thereto.</w:t>
      </w:r>
    </w:p>
    <w:p>
      <w:pPr>
        <w:spacing w:after="0" w:line="167" w:lineRule="exact"/>
        <w:rPr>
          <w:sz w:val="20"/>
          <w:szCs w:val="20"/>
          <w:color w:val="auto"/>
        </w:rPr>
      </w:pPr>
    </w:p>
    <w:p>
      <w:pPr>
        <w:ind w:left="1580"/>
        <w:spacing w:after="0"/>
        <w:tabs>
          <w:tab w:leader="none" w:pos="236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Exhibits: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NUMBER</w:t>
      </w:r>
    </w:p>
    <w:p>
      <w:pPr>
        <w:ind w:left="54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DESCRIPTION</w:t>
      </w:r>
    </w:p>
    <w:p>
      <w:pPr>
        <w:spacing w:after="0" w:line="10"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2">
            <w:col w:w="4880" w:space="720"/>
            <w:col w:w="463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2(a)</w:t>
      </w:r>
    </w:p>
    <w:p>
      <w:pPr>
        <w:spacing w:after="0" w:line="20" w:lineRule="exact"/>
        <w:rPr>
          <w:sz w:val="20"/>
          <w:szCs w:val="20"/>
          <w:color w:val="auto"/>
        </w:rPr>
      </w:pPr>
      <w:r>
        <w:rPr>
          <w:sz w:val="20"/>
          <w:szCs w:val="20"/>
          <w:color w:val="auto"/>
        </w:rPr>
        <w:br w:type="column"/>
      </w:r>
    </w:p>
    <w:p>
      <w:pPr>
        <w:ind w:right="3239"/>
        <w:spacing w:after="0" w:line="255" w:lineRule="auto"/>
        <w:rPr>
          <w:sz w:val="20"/>
          <w:szCs w:val="20"/>
          <w:color w:val="auto"/>
        </w:rPr>
      </w:pPr>
      <w:r>
        <w:rPr>
          <w:rFonts w:ascii="Courier New" w:cs="Courier New" w:eastAsia="Courier New" w:hAnsi="Courier New"/>
          <w:sz w:val="14"/>
          <w:szCs w:val="14"/>
          <w:color w:val="auto"/>
        </w:rPr>
        <w:t>Agreement and Plan Merger and Contribution Agreement, dated as of February 15, 2000, among Microsoft Corporation, First Data Corporation, Citibank, N.A., MS II, LLC, First Data, L.L.C., H &amp; B Finance, Inc., First Data International Partner, Inc., MSFDC International, Inc., Citicorp Electronic Commerce, Inc., CheckFree Holdings Corporation, Chopper Merger Corporation, and CheckFree Corporation (Reference is made to Exhibit 2(b) of the Registration Statement on Form S-4 (333-32644) and incorporated herein by reference.)</w:t>
      </w:r>
    </w:p>
    <w:p>
      <w:pPr>
        <w:spacing w:after="0" w:line="165" w:lineRule="exact"/>
        <w:rPr>
          <w:sz w:val="20"/>
          <w:szCs w:val="20"/>
          <w:color w:val="auto"/>
        </w:rPr>
      </w:pPr>
    </w:p>
    <w:p>
      <w:pPr>
        <w:sectPr>
          <w:pgSz w:w="11900" w:h="16838" w:orient="portrait"/>
          <w:cols w:equalWidth="0" w:num="2">
            <w:col w:w="1140" w:space="440"/>
            <w:col w:w="8659"/>
          </w:cols>
          <w:pgMar w:left="220" w:top="281"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2(b)</w:t>
      </w:r>
    </w:p>
    <w:p>
      <w:pPr>
        <w:spacing w:after="0" w:line="20" w:lineRule="exact"/>
        <w:rPr>
          <w:sz w:val="20"/>
          <w:szCs w:val="20"/>
          <w:color w:val="auto"/>
        </w:rPr>
      </w:pPr>
      <w:r>
        <w:rPr>
          <w:sz w:val="20"/>
          <w:szCs w:val="20"/>
          <w:color w:val="auto"/>
        </w:rPr>
        <w:br w:type="column"/>
      </w:r>
    </w:p>
    <w:p>
      <w:pPr>
        <w:ind w:right="3239"/>
        <w:spacing w:after="0" w:line="254" w:lineRule="auto"/>
        <w:rPr>
          <w:sz w:val="20"/>
          <w:szCs w:val="20"/>
          <w:color w:val="auto"/>
        </w:rPr>
      </w:pPr>
      <w:r>
        <w:rPr>
          <w:rFonts w:ascii="Courier New" w:cs="Courier New" w:eastAsia="Courier New" w:hAnsi="Courier New"/>
          <w:sz w:val="14"/>
          <w:szCs w:val="14"/>
          <w:color w:val="auto"/>
        </w:rPr>
        <w:t>Amended and Restated Agreement and Plan of Merger, dated as of July 7, 2000, among CheckFree Holdings Corporation, Microsoft</w:t>
      </w:r>
    </w:p>
    <w:p>
      <w:pPr>
        <w:spacing w:after="0" w:line="1" w:lineRule="exact"/>
        <w:rPr>
          <w:sz w:val="20"/>
          <w:szCs w:val="20"/>
          <w:color w:val="auto"/>
        </w:rPr>
      </w:pPr>
    </w:p>
    <w:p>
      <w:pPr>
        <w:sectPr>
          <w:pgSz w:w="11900" w:h="16838" w:orient="portrait"/>
          <w:cols w:equalWidth="0" w:num="2">
            <w:col w:w="1140" w:space="440"/>
            <w:col w:w="8659"/>
          </w:cols>
          <w:pgMar w:left="220" w:top="281" w:right="1440" w:bottom="1440" w:gutter="0" w:footer="0" w:header="0"/>
          <w:type w:val="continuous"/>
        </w:sectPr>
      </w:pPr>
    </w:p>
    <w:p>
      <w:pPr>
        <w:ind w:left="1580" w:right="3239"/>
        <w:spacing w:after="0" w:line="236" w:lineRule="auto"/>
        <w:rPr>
          <w:sz w:val="20"/>
          <w:szCs w:val="20"/>
          <w:color w:val="auto"/>
        </w:rPr>
      </w:pPr>
      <w:r>
        <w:rPr>
          <w:rFonts w:ascii="Courier New" w:cs="Courier New" w:eastAsia="Courier New" w:hAnsi="Courier New"/>
          <w:sz w:val="15"/>
          <w:szCs w:val="15"/>
          <w:color w:val="auto"/>
        </w:rPr>
        <w:t>Corporation, First Data Corporation, Citibank, N.A., H&amp;B Finance, Inc., FDC International Partner, Inc., FDR Subsidiary Corp., MS FDC International, Inc., Citi TransPoint Holdings Inc., TransPoint Acquisition Corporation, Tank Acquisition Corporation, Chopper Merger Corporation, CheckFree Corporation, Microsoft II, LLC and First Data, L.L.C. (Reference is made to Exhibit 2(c) of the Registration Statement on Form S-4 (333-32644) and incorporated herein by reference.)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type w:val="continuous"/>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2(c)</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Amended and Restated Strategic Alliance Master</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Agreement, dated as of April 26, 2000, among</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CheckFree Holdings Corporation, CheckFree Services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Corporation and Bank of America, N.A. (Reference is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made to Appendix A to the Company's Proxy Statement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 the Special Meeting of Stockholders held 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September 28, 2000, and incorporated herein by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8"/>
              </w:rPr>
              <w:t>Amended and Restated Certificate of Incorporation of</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Company. (Reference is made to Exhibit 4(e)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the Registration Statement on Form S-8 (Registration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 333-50322), filed with the Securities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Exchange Commission on November 20, 2000,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6"/>
              </w:rPr>
              <w:t>Certificate of Ownership and Merger Merging CheckFree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Corporation into CheckFree Holdings Corporation.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(Reference is made to Exhibit 3(b) to the Company's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10-K for the year ended June 30, 2000, filed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with the Securities and Exchange Commission 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September 26, 2000, and incorporated herein by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6"/>
              </w:rPr>
              <w:t>By-Laws of the Company. (Reference is made to Exhibit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3(b) to the Current Report on Form 8-K, dated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December 22, 1997, filed with the Securities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Exchange Commission on December 30, 1997,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Form of Specimen Stock Certificate. (Reference is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made to Exhibit 3(d) to the Company's Form 10-K for</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year ended June 30, 2000, filed with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and Exchange Commission on September 26,</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2000,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Articles FOURTH, FIFTH, SEVENTH, EIGHTH, TENTH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ELEVENTH of the Company's Restated Certificate of</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Incorporation (contained in the Company's Restated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Certificate of Incorporation filed as Exhibit 3(a)</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hereto) and Articles II, III, IV, VI and VIII of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Company's By-Laws (contained in the Company's By-Laws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filed as Exhibit 3(b) hereto).</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Rights Agreement, dated as of December 16, 1997, by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and between the Company and The Fifth Third Bank, as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Rights Agent. (Reference is made to Exhibit 4.1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Amendment No. 1 to Registration Statement on Form</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8-A,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on May 12, 1999, and incorporated herein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8"/>
              </w:rPr>
              <w:t>CheckFree Corporation Amended and Restated Associate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Stock Purchase Plan. (Reference is made to Exhibit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4(a) to Post-Effective Amendment No. 1 to Form S-8,</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as amended (Registration No. 333-21795), filed with</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the Securities and Exchange Commission on January 14,</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1998,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6"/>
              </w:rPr>
              <w:t>CheckFree Corporation Amended and Restated 1995 Stock</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Option Plan. (Reference is made to Exhibit 4(a)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Post-Effective Amendment No. 1 to Form S-8, as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amended (Registration No. 33-98446), filed with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and Exchange Commission on January 9,</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1998,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6"/>
              </w:rPr>
              <w:t>CheckFree Corporation Amended and Restated 1993 Stock</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Option Plan. (Reference is made to Exhibit 4(a)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Post-Effective Amendment No. 1 to Form S-8, as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amended (Registration No. 33-98442), filed with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and Exchange Commission on January 9,</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1998,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CheckFree Corporation Amended and Restated 1983</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Non-Statutory Stock Option Plan. (Reference is made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to Exhibit 4(a) to Post-Effective Amendment No. 1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S-8, as amended (Registration No. 33-98440),</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filed with the Securities and Exchange Commission 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January 9, 1998, and incorporated herein by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00" w:type="dxa"/>
            <w:vAlign w:val="bottom"/>
          </w:tcPr>
          <w:p>
            <w:pPr>
              <w:spacing w:after="0"/>
              <w:rPr>
                <w:sz w:val="24"/>
                <w:szCs w:val="24"/>
                <w:color w:val="auto"/>
              </w:rPr>
            </w:pPr>
          </w:p>
        </w:tc>
        <w:tc>
          <w:tcPr>
            <w:tcW w:w="5280" w:type="dxa"/>
            <w:vAlign w:val="bottom"/>
          </w:tcPr>
          <w:p>
            <w:pPr>
              <w:ind w:left="1620"/>
              <w:spacing w:after="0"/>
              <w:rPr>
                <w:sz w:val="20"/>
                <w:szCs w:val="20"/>
                <w:color w:val="auto"/>
              </w:rPr>
            </w:pPr>
            <w:r>
              <w:rPr>
                <w:rFonts w:ascii="Courier New" w:cs="Courier New" w:eastAsia="Courier New" w:hAnsi="Courier New"/>
                <w:sz w:val="15"/>
                <w:szCs w:val="15"/>
                <w:color w:val="auto"/>
              </w:rPr>
              <w:t>-38-</w:t>
            </w:r>
          </w:p>
        </w:tc>
      </w:tr>
    </w:tbl>
    <w:p>
      <w:pPr>
        <w:sectPr>
          <w:pgSz w:w="11900" w:h="16838" w:orient="portrait"/>
          <w:cols w:equalWidth="0" w:num="1">
            <w:col w:w="9959"/>
          </w:cols>
          <w:pgMar w:left="500" w:top="28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CheckFree Corporation Second Amended and Restated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1983 Incentive Stock Option Plan. (Reference is made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to Exhibit 4(a) to Post-Effective Amendment No. 1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S-8, as amended (Registration No. 33-98444),</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filed with the Securities and Exchange Commission 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January 9, 1998, and incorporated herein by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6"/>
              </w:rPr>
              <w:t>Form of Indemnification Agreement. (Reference is made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 Exhibit 10(a) to Registration Statement on Form</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S-1, as amended (Registration No. 33-95738), filed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with the Securities and Exchange Commission on August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14, 1995,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Schedule identifying material details of</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Indemnification Agreements substantially identical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Exhibit 10(f). (Reference is made to Exhibit 10(g)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Company's Form 10-K for the year ended June 30,</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1997,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on September 26, 1997, and incorporated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8"/>
              </w:rPr>
              <w:t>Noncompete, Nondisclosure, and Assignment Agreement,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dated February 1, 1990, between Peter J. Kight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Company. (Reference is made to Exhibit 10(i)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Registration Statement on Form S-1, as amended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(Registration No. 33-95738), filed with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and Exchange Commission on August 14,</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1995,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8"/>
              </w:rPr>
              <w:t>Noncompete, Nondisclosure, and Assignment Agreement,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dated February 1, 1990, between Mark A. Johnson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Company. (Reference is made to Exhibit 10(j) to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Registration Statement on Form S-1, as amended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(Registration No. 33-95738), filed with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and Exchange Commission on August 14,</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1995,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ACH Operations Agreement, dated April 1, 1994,</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between the Company and Society National Bank.</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(Reference is made to Exhibit 10(ii) to Registration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33-95738),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on August 14, 1995, and incorporated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w w:val="98"/>
              </w:rPr>
              <w:t>Merchant Processing Agreement, dated March 13, 1995,</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between the Company and Society National Bank.</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8"/>
              </w:rPr>
              <w:t>(Reference is made to Exhibit 10(jj) to Registration</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Statement on Form S-1, as amended (Registration No.</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33-95738),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on August 14, 1995, and incorporated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Executive Employment Agreement between the Company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and Peter J. Kight. (Reference is made to Exhibit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10(z) to the Company's Form 10-K for the year ended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June 30, 1997,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on September 26, 1997, and incorporated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Executive Employment Agreement between the Company</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and Lynn D. Busing. (Reference is made to Exhibit</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10(f) to the Form 10-Q for the quarter ended March</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31, 1996,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Agreement for ACH Services between the Company and</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 Chase Manhattan Bank, N.A., dated as of July 1,</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1996. (Reference is made to Exhibit 10(qqq) to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10-K for the transition period ended June 30,</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1996, filed with the Securities and Exchange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Commission, and incorporated herein by reference.)</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5280" w:type="dxa"/>
            <w:vAlign w:val="bottom"/>
          </w:tcPr>
          <w:p>
            <w:pPr>
              <w:ind w:left="660"/>
              <w:spacing w:after="0"/>
              <w:rPr>
                <w:sz w:val="20"/>
                <w:szCs w:val="20"/>
                <w:color w:val="auto"/>
              </w:rPr>
            </w:pPr>
            <w:r>
              <w:rPr>
                <w:rFonts w:ascii="Courier New" w:cs="Courier New" w:eastAsia="Courier New" w:hAnsi="Courier New"/>
                <w:sz w:val="15"/>
                <w:szCs w:val="15"/>
                <w:color w:val="auto"/>
              </w:rPr>
              <w:t>Loan and Security Agreement, dated as of May 13,</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1997, among KeyBank National Association, the</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Company, CheckFree Software Solutions, Inc.,</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CheckFree Services Corporation, Security APL, Inc.,</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Servantis Systems, Inc., and Servantis Services, Inc.</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(Reference is made to Exhibit 10(ee) to the Company's</w:t>
            </w:r>
          </w:p>
        </w:tc>
      </w:tr>
      <w:tr>
        <w:trPr>
          <w:trHeight w:val="168"/>
        </w:trPr>
        <w:tc>
          <w:tcPr>
            <w:tcW w:w="1100" w:type="dxa"/>
            <w:vAlign w:val="bottom"/>
          </w:tcPr>
          <w:p>
            <w:pPr>
              <w:spacing w:after="0"/>
              <w:rPr>
                <w:sz w:val="14"/>
                <w:szCs w:val="14"/>
                <w:color w:val="auto"/>
              </w:rPr>
            </w:pPr>
          </w:p>
        </w:tc>
        <w:tc>
          <w:tcPr>
            <w:tcW w:w="528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Form 10-K for the year ended</w:t>
            </w:r>
          </w:p>
        </w:tc>
      </w:tr>
      <w:tr>
        <w:trPr>
          <w:trHeight w:val="336"/>
        </w:trPr>
        <w:tc>
          <w:tcPr>
            <w:tcW w:w="1100" w:type="dxa"/>
            <w:vAlign w:val="bottom"/>
          </w:tcPr>
          <w:p>
            <w:pPr>
              <w:spacing w:after="0"/>
              <w:rPr>
                <w:sz w:val="24"/>
                <w:szCs w:val="24"/>
                <w:color w:val="auto"/>
              </w:rPr>
            </w:pPr>
          </w:p>
        </w:tc>
        <w:tc>
          <w:tcPr>
            <w:tcW w:w="5280" w:type="dxa"/>
            <w:vAlign w:val="bottom"/>
          </w:tcPr>
          <w:p>
            <w:pPr>
              <w:ind w:left="1620"/>
              <w:spacing w:after="0"/>
              <w:rPr>
                <w:sz w:val="20"/>
                <w:szCs w:val="20"/>
                <w:color w:val="auto"/>
              </w:rPr>
            </w:pPr>
            <w:r>
              <w:rPr>
                <w:rFonts w:ascii="Courier New" w:cs="Courier New" w:eastAsia="Courier New" w:hAnsi="Courier New"/>
                <w:sz w:val="15"/>
                <w:szCs w:val="15"/>
                <w:color w:val="auto"/>
              </w:rPr>
              <w:t>-39-</w:t>
            </w:r>
          </w:p>
        </w:tc>
      </w:tr>
    </w:tbl>
    <w:p>
      <w:pPr>
        <w:sectPr>
          <w:pgSz w:w="11900" w:h="16838" w:orient="portrait"/>
          <w:cols w:equalWidth="0" w:num="1">
            <w:col w:w="9959"/>
          </w:cols>
          <w:pgMar w:left="500" w:top="28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40</w:t>
      </w:r>
    </w:p>
    <w:p>
      <w:pPr>
        <w:spacing w:after="0" w:line="33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w w:val="96"/>
              </w:rPr>
              <w:t>June 30, 1997, filed with the Securities and Exchange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Commission on September 26, 1997, and incorporated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w w:val="96"/>
              </w:rPr>
              <w:t>First Amendment to Loan and Security Agreement by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between KeyBank National Association, as Lender,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CheckFree Corporation, as Borrower, dated as of</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December 9, 1998. (Reference is made to Exhibit 10.1</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 the Company's Form 10-Q for the quarter ended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March 31, 1999, filed with the Securities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Exchange Commission on May 17, 1999, and incorporated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herein by 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10(q)</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CheckFree Corporation Incentive Compensation Plan.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(Reference is made to Exhibit 10(ff) to the Company's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Form 10-K for the year ended June 30, 1997, filed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with the Securities and Exchange Commission 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September 26, 1997, and incorporated herein by</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10(r)</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Form of Stockholder Agreement entered into between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Company and each of Microsoft Corporation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First Data Corporation. (Reference is made to Exhibit</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10(ff) of the Company's Registration Statement 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Form S-4 (Registration No. 333-41098) filed with the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Securities and Exchange Commission on July 10, 2000</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10(s)</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Form of Registration Rights Agreement entered into</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between the Company and each of Microsoft Corporation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First Data Corporation. (Reference is made to</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Exhibit 10(gg) of the Company's Registration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Statement on Form S-4 (Registration No. 333-41098)</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filed with the Securities and Exchange Commission 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July 10, 2000 and incorporated herein by</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10(t)</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Form of Registration Rights Agreement entered into</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between the Company and Citibank, N.A. (Reference is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made to Exhibit 10(hh) of the Company's Registration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Statement on Form S-4 (Registration No. 333-41098)</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filed with the Securities and Exchange Commission 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July 10, 2000 and incorporated herein by</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10(u)</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Form of Commercial Alliance Agreement entered into</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between the Company and Microsoft Corporation.</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(Reference is made to Exhibit 10(ff) of the Company's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Amendment No. 1 to the Registration Statement on Form</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S-4 (Registration No. 333-32644) filed with the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Securities and Exchange Commission on April 18, 2000</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10(v)</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w w:val="98"/>
              </w:rPr>
              <w:t>Form of Marketing Agreement entered into between the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Company and First Data Corporation. (Reference is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made to Exhibit 10(gg) of the Company's Amendment No.</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 to the Registration Statement on Form S-4</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(Registration No. 333-32644) filed with the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Securities and Exchange Commission on April 18, 2000</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incorporated herein by reference).**</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10(w)</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rPr>
              <w:t>Amendment No. 2 to the Rights Agreement, dated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September 30, 2000, between CheckFree Corporation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the Fifth Third Bank, as Rights Agent. (Reference is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made to Exhibit 99 to Current Report on Form 8-K,</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dated September 30, 2001, filed with the Securities</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Exchange Commission on October 3, 2000 and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incorporated herein by reference).</w:t>
            </w:r>
          </w:p>
        </w:tc>
      </w:tr>
      <w:tr>
        <w:trPr>
          <w:trHeight w:val="336"/>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10(x)</w:t>
            </w:r>
          </w:p>
        </w:tc>
        <w:tc>
          <w:tcPr>
            <w:tcW w:w="5240" w:type="dxa"/>
            <w:vAlign w:val="bottom"/>
          </w:tcPr>
          <w:p>
            <w:pPr>
              <w:ind w:left="620"/>
              <w:spacing w:after="0"/>
              <w:rPr>
                <w:sz w:val="20"/>
                <w:szCs w:val="20"/>
                <w:color w:val="auto"/>
              </w:rPr>
            </w:pPr>
            <w:r>
              <w:rPr>
                <w:rFonts w:ascii="Courier New" w:cs="Courier New" w:eastAsia="Courier New" w:hAnsi="Courier New"/>
                <w:sz w:val="15"/>
                <w:szCs w:val="15"/>
                <w:color w:val="auto"/>
                <w:w w:val="96"/>
              </w:rPr>
              <w:t>CheckFree Corporation Third Amended and Restated 1995</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Stock Option Plan. (Reference is made to Exhibit 4(d)</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 the Registration Statement on Form S-8</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(Registration No. 333-50322), filed with the</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Securities and Exchange Commission on November 20,</w:t>
            </w:r>
          </w:p>
        </w:tc>
      </w:tr>
      <w:tr>
        <w:trPr>
          <w:trHeight w:val="168"/>
        </w:trPr>
        <w:tc>
          <w:tcPr>
            <w:tcW w:w="1140" w:type="dxa"/>
            <w:vAlign w:val="bottom"/>
          </w:tcPr>
          <w:p>
            <w:pPr>
              <w:spacing w:after="0"/>
              <w:rPr>
                <w:sz w:val="14"/>
                <w:szCs w:val="14"/>
                <w:color w:val="auto"/>
              </w:rPr>
            </w:pPr>
          </w:p>
        </w:tc>
        <w:tc>
          <w:tcPr>
            <w:tcW w:w="52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2000, and incorporated herein by reference.)</w:t>
            </w:r>
          </w:p>
        </w:tc>
      </w:tr>
    </w:tbl>
    <w:p>
      <w:pPr>
        <w:spacing w:after="0" w:line="173" w:lineRule="exact"/>
        <w:rPr>
          <w:sz w:val="20"/>
          <w:szCs w:val="20"/>
          <w:color w:val="auto"/>
        </w:rPr>
      </w:pPr>
    </w:p>
    <w:p>
      <w:pPr>
        <w:ind w:left="2100" w:right="3239" w:hanging="1671"/>
        <w:spacing w:after="0" w:line="234" w:lineRule="auto"/>
        <w:tabs>
          <w:tab w:leader="none" w:pos="131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Annual Report to Stockholders for the year ended June 30, 2001.</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959"/>
          </w:cols>
          <w:pgMar w:left="50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ind w:left="700"/>
        <w:spacing w:after="0"/>
        <w:tabs>
          <w:tab w:leader="none" w:pos="1560" w:val="left"/>
          <w:tab w:leader="none" w:pos="23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Subsidiaries of the Company.</w:t>
      </w:r>
    </w:p>
    <w:p>
      <w:pPr>
        <w:spacing w:after="0" w:line="166" w:lineRule="exact"/>
        <w:rPr>
          <w:sz w:val="20"/>
          <w:szCs w:val="20"/>
          <w:color w:val="auto"/>
        </w:rPr>
      </w:pPr>
    </w:p>
    <w:p>
      <w:pPr>
        <w:ind w:left="1580" w:hanging="871"/>
        <w:spacing w:after="0"/>
        <w:tabs>
          <w:tab w:leader="none" w:pos="15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Consent of Deloitte &amp; Touche LLP.</w:t>
      </w:r>
    </w:p>
    <w:p>
      <w:pPr>
        <w:spacing w:after="0" w:line="166" w:lineRule="exact"/>
        <w:rPr>
          <w:rFonts w:ascii="Courier New" w:cs="Courier New" w:eastAsia="Courier New" w:hAnsi="Courier New"/>
          <w:sz w:val="15"/>
          <w:szCs w:val="15"/>
          <w:color w:val="auto"/>
        </w:rPr>
      </w:pPr>
    </w:p>
    <w:p>
      <w:pPr>
        <w:ind w:left="1580" w:hanging="871"/>
        <w:spacing w:after="0"/>
        <w:tabs>
          <w:tab w:leader="none" w:pos="15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left="2380" w:right="4019" w:hanging="1671"/>
        <w:spacing w:after="0" w:line="234" w:lineRule="auto"/>
        <w:tabs>
          <w:tab w:leader="none" w:pos="159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 and Independent Auditors'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Filed with this report.</w:t>
      </w:r>
    </w:p>
    <w:p>
      <w:pPr>
        <w:spacing w:after="0" w:line="173" w:lineRule="exact"/>
        <w:rPr>
          <w:sz w:val="20"/>
          <w:szCs w:val="20"/>
          <w:color w:val="auto"/>
        </w:rPr>
      </w:pPr>
    </w:p>
    <w:p>
      <w:pPr>
        <w:ind w:left="440" w:right="3679" w:hanging="255"/>
        <w:spacing w:after="0" w:line="234" w:lineRule="auto"/>
        <w:tabs>
          <w:tab w:leader="none" w:pos="4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Securities and Exchange Commission.</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We filed no Current Reports on Form 8-K since March 31, 2001.</w:t>
      </w:r>
    </w:p>
    <w:p>
      <w:pPr>
        <w:spacing w:after="0" w:line="171"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to this report follow the Signature Page.</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ind w:right="3239" w:firstLine="1574"/>
        <w:spacing w:after="0" w:line="261" w:lineRule="auto"/>
        <w:rPr>
          <w:sz w:val="20"/>
          <w:szCs w:val="20"/>
          <w:color w:val="auto"/>
        </w:rPr>
      </w:pPr>
      <w:r>
        <w:rPr>
          <w:rFonts w:ascii="Courier New" w:cs="Courier New" w:eastAsia="Courier New" w:hAnsi="Courier New"/>
          <w:sz w:val="14"/>
          <w:szCs w:val="14"/>
          <w:color w:val="auto"/>
        </w:rPr>
        <w:t>The financial statement schedule and the independent auditors' report thereon are included in Exhibit 99 to this Annual Report on Form 10-K.</w:t>
      </w:r>
    </w:p>
    <w:p>
      <w:pPr>
        <w:spacing w:after="0" w:line="200" w:lineRule="exact"/>
        <w:rPr>
          <w:sz w:val="20"/>
          <w:szCs w:val="20"/>
          <w:color w:val="auto"/>
        </w:rPr>
      </w:pPr>
    </w:p>
    <w:p>
      <w:pPr>
        <w:spacing w:after="0" w:line="29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we have duly caused this report to be signed on its behalf by the undersigned, thereunto duly authorized.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CHECKFREE CORPORATION</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September 26,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DAVID E.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David E. Mangum, Executive Vice</w:t>
      </w:r>
    </w:p>
    <w:p>
      <w:pPr>
        <w:ind w:left="260"/>
        <w:spacing w:after="0" w:line="237" w:lineRule="auto"/>
        <w:rPr>
          <w:sz w:val="20"/>
          <w:szCs w:val="20"/>
          <w:color w:val="auto"/>
        </w:rPr>
      </w:pPr>
      <w:r>
        <w:rPr>
          <w:rFonts w:ascii="Courier New" w:cs="Courier New" w:eastAsia="Courier New" w:hAnsi="Courier New"/>
          <w:sz w:val="15"/>
          <w:szCs w:val="15"/>
          <w:color w:val="auto"/>
        </w:rPr>
        <w:t>President and Chief Financial</w:t>
      </w:r>
    </w:p>
    <w:p>
      <w:pPr>
        <w:ind w:left="260"/>
        <w:spacing w:after="0" w:line="238" w:lineRule="auto"/>
        <w:rPr>
          <w:sz w:val="20"/>
          <w:szCs w:val="20"/>
          <w:color w:val="auto"/>
        </w:rPr>
      </w:pPr>
      <w:r>
        <w:rPr>
          <w:rFonts w:ascii="Courier New" w:cs="Courier New" w:eastAsia="Courier New" w:hAnsi="Courier New"/>
          <w:sz w:val="15"/>
          <w:szCs w:val="15"/>
          <w:color w:val="auto"/>
        </w:rPr>
        <w:t>Officer</w:t>
      </w:r>
    </w:p>
    <w:p>
      <w:pPr>
        <w:spacing w:after="0" w:line="173" w:lineRule="exact"/>
        <w:rPr>
          <w:sz w:val="20"/>
          <w:szCs w:val="20"/>
          <w:color w:val="auto"/>
        </w:rPr>
      </w:pPr>
    </w:p>
    <w:p>
      <w:pPr>
        <w:sectPr>
          <w:pgSz w:w="11900" w:h="16838" w:orient="portrait"/>
          <w:cols w:equalWidth="0" w:num="3">
            <w:col w:w="2360" w:space="720"/>
            <w:col w:w="260" w:space="0"/>
            <w:col w:w="6899"/>
          </w:cols>
          <w:pgMar w:left="220" w:top="281" w:right="1440" w:bottom="1440" w:gutter="0" w:footer="0" w:header="0"/>
          <w:type w:val="continuous"/>
        </w:sect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our behalf and in the capacities indicated on the 26th day of September, 2001.</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71"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ind w:right="1999"/>
        <w:spacing w:after="0" w:line="234" w:lineRule="auto"/>
        <w:rPr>
          <w:sz w:val="20"/>
          <w:szCs w:val="20"/>
          <w:color w:val="auto"/>
        </w:rPr>
      </w:pPr>
      <w:r>
        <w:rPr>
          <w:rFonts w:ascii="Courier New" w:cs="Courier New" w:eastAsia="Courier New" w:hAnsi="Courier New"/>
          <w:sz w:val="15"/>
          <w:szCs w:val="15"/>
          <w:color w:val="auto"/>
        </w:rPr>
        <w:t>Chairman of the Board and Chief Executive Officer (Principal Executive Officer)</w:t>
      </w:r>
    </w:p>
    <w:p>
      <w:pPr>
        <w:spacing w:after="0" w:line="368" w:lineRule="exact"/>
        <w:rPr>
          <w:sz w:val="20"/>
          <w:szCs w:val="20"/>
          <w:color w:val="auto"/>
        </w:rPr>
      </w:pPr>
    </w:p>
    <w:p>
      <w:pPr>
        <w:sectPr>
          <w:pgSz w:w="11900" w:h="16838" w:orient="portrait"/>
          <w:cols w:equalWidth="0" w:num="2">
            <w:col w:w="3500" w:space="440"/>
            <w:col w:w="6299"/>
          </w:cols>
          <w:pgMar w:left="220" w:top="281" w:right="1440" w:bottom="1440" w:gutter="0" w:footer="0" w:header="0"/>
          <w:type w:val="continuous"/>
        </w:sectPr>
      </w:pP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*David E.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David E. Mangum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500" w:space="440"/>
            <w:col w:w="6299"/>
          </w:cols>
          <w:pgMar w:left="220" w:top="281" w:right="1440" w:bottom="1440" w:gutter="0" w:footer="0" w:header="0"/>
          <w:type w:val="continuous"/>
        </w:sectPr>
      </w:pP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*Gary A. Luoma,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Gary A. Luoma, Jr.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37" w:lineRule="auto"/>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3500" w:space="440"/>
            <w:col w:w="6299"/>
          </w:cols>
          <w:pgMar w:left="220" w:top="281" w:right="1440" w:bottom="1440" w:gutter="0" w:footer="0" w:header="0"/>
          <w:type w:val="continuous"/>
        </w:sectPr>
      </w:pP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*William P. Boardman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William P. Boardman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*James D. Dixon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James D. Dixon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500" w:space="44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*Henry C. Duques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Henry C. Duques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500" w:space="44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*Mark A.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 A.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*Lewis C.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Lewis C. Levin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*Eugene F. Quinn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Eugene F. Quinn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*Jeffrey M. Wilkins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Jeffrey M. Wilkins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07"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 Curtis A. Loveland</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Curtis A. Loveland,</w:t>
      </w:r>
    </w:p>
    <w:p>
      <w:pPr>
        <w:ind w:left="80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1"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13</w:t>
      </w:r>
    </w:p>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4540"/>
        <w:spacing w:after="0" w:line="254" w:lineRule="auto"/>
        <w:rPr>
          <w:sz w:val="20"/>
          <w:szCs w:val="20"/>
          <w:color w:val="auto"/>
        </w:rPr>
      </w:pPr>
      <w:r>
        <w:rPr>
          <w:rFonts w:ascii="Courier New" w:cs="Courier New" w:eastAsia="Courier New" w:hAnsi="Courier New"/>
          <w:sz w:val="14"/>
          <w:szCs w:val="14"/>
          <w:color w:val="auto"/>
        </w:rPr>
        <w:t>The selected consolidated financial data for the years ended June 30, 1999, 2000 and 2001 have been derived from the Company's financial statements included elsewhere in this Annual Report which have been audited by Deloitte and Touche, LLP, independent certified public accountants, whose report thereon is also included elsewhere in this Annual Report. The selected consolidated financial data for the years ended December 31, 1997 and 1998 have been derived from audited financial statements of the Company which are not included in this Annual Report. The selected consolidated financial data set forth below should be read in conjunction with Management's Discussion and Analysis of Financial Condition and Results of Operations and the Consolidated Financial Statements and Notes thereto elsewhere in this Annual Report. The earnings per share amounts prior to fiscal year 1998 have been restated to comply with Statement of Financial Accounting Standards No. 128 "Earnings per Share" (SFAS 128) as required. For further discussion of earnings per share and the impact of SFAS 128, see Note 1 to the consolidated financial statements. The financial information for the periods presented below includes all adjustments necessary for a fair presentation of results of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10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9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 servicing and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merchant discount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104,522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159,255</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201,059</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261,621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362,051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License fees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33,088</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28,952</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15,975</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16,818</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30,180</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22,567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25,848</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17,746</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18,752</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21,332</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16,268</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19,809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15,351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13,004</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19,757</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revenues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176,445</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233,864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250,131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310,195</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433,320</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processing, servicing and</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support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102,721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129,924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146,704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182,540</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255,528</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32,869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36,265</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21,085</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35,631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55,621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32,670</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28,839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32,354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44,782</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90,283</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18,707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20,677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31,466</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40,931</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50,474</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24,919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24,999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24,630</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42,830</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427,495</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140,000</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6,900</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Charge for stock warrants ........................</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32,827</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Exclusivity amortization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5,958</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2,963</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expenses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357,844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277,213</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258,440</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353,614</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898,001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6,250</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36,173</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4,576</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(175,149)</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(7,176)</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(3,733)</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(43,419)</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(464,681)</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2,153</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3,464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2,799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7,689</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15,415</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Expense ........................................</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(834)</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(8,027)</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(13,154)</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4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(16,077)</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before income tax ..................</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(173,830)</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(4,344)</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(1,522)</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(43,757)</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(478,497)</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tax expense (benefit) .....................</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(12,017)</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(12,009)</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(11,437)</w:t>
            </w:r>
          </w:p>
        </w:tc>
        <w:tc>
          <w:tcPr>
            <w:tcW w:w="30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(115,362)</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(161,813)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(3,703)</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10,457</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(32,320)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(363,135)</w:t>
            </w:r>
          </w:p>
        </w:tc>
      </w:tr>
      <w:tr>
        <w:trPr>
          <w:trHeight w:val="168"/>
        </w:trPr>
        <w:tc>
          <w:tcPr>
            <w:tcW w:w="4740" w:type="dxa"/>
            <w:vAlign w:val="bottom"/>
          </w:tcPr>
          <w:p>
            <w:pPr>
              <w:spacing w:after="0"/>
              <w:rPr>
                <w:sz w:val="14"/>
                <w:szCs w:val="14"/>
                <w:color w:val="auto"/>
              </w:rPr>
            </w:pP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Diluted income (loss) per common share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(0.07)</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Equivalent number of shares outstanding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46,988</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55,087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56,529</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53,367</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80,863</w:t>
            </w:r>
          </w:p>
        </w:tc>
      </w:tr>
      <w:tr>
        <w:trPr>
          <w:trHeight w:val="505"/>
        </w:trPr>
        <w:tc>
          <w:tcPr>
            <w:tcW w:w="47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Working capital ..................................</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20,002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78,238</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24,245</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178,761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142,661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assets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223,836</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250,112</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252,761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713,114</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2,183,953</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Long-term obligations, less current portion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8,401</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6,467</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3,882</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173,236</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176,541</w:t>
            </w:r>
          </w:p>
        </w:tc>
      </w:tr>
      <w:tr>
        <w:trPr>
          <w:trHeight w:val="168"/>
        </w:trPr>
        <w:tc>
          <w:tcPr>
            <w:tcW w:w="4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44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148,644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183,854</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186,903</w:t>
            </w:r>
          </w:p>
        </w:tc>
        <w:tc>
          <w:tcPr>
            <w:tcW w:w="3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445,894</w:t>
            </w:r>
          </w:p>
        </w:tc>
        <w:tc>
          <w:tcPr>
            <w:tcW w:w="30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1,732,186</w:t>
            </w:r>
          </w:p>
        </w:tc>
      </w:tr>
    </w:tbl>
    <w:p>
      <w:pPr>
        <w:sectPr>
          <w:pgSz w:w="11900" w:h="16838" w:orient="portrait"/>
          <w:cols w:equalWidth="0" w:num="1">
            <w:col w:w="11540"/>
          </w:cols>
          <w:pgMar w:left="220" w:top="135" w:right="139"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are the leading provider of electronic billing and payment services.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operate our business through three independent but inter-related divisions:</w:t>
      </w:r>
    </w:p>
    <w:p>
      <w:pPr>
        <w:spacing w:after="0" w:line="171" w:lineRule="exact"/>
        <w:rPr>
          <w:sz w:val="20"/>
          <w:szCs w:val="20"/>
          <w:color w:val="auto"/>
        </w:rPr>
      </w:pPr>
    </w:p>
    <w:p>
      <w:pPr>
        <w:ind w:left="1580" w:hanging="783"/>
        <w:spacing w:after="0"/>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ind w:left="1580" w:hanging="783"/>
        <w:spacing w:after="0" w:line="237" w:lineRule="auto"/>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ind w:left="1580" w:hanging="783"/>
        <w:spacing w:after="0" w:line="237" w:lineRule="auto"/>
        <w:tabs>
          <w:tab w:leader="none" w:pos="15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Our Electronic Commerce business provides services that allow consumers</w:t>
      </w:r>
    </w:p>
    <w:p>
      <w:pPr>
        <w:spacing w:after="0" w:line="237" w:lineRule="auto"/>
        <w:rPr>
          <w:sz w:val="20"/>
          <w:szCs w:val="20"/>
          <w:color w:val="auto"/>
        </w:rPr>
      </w:pPr>
      <w:r>
        <w:rPr>
          <w:rFonts w:ascii="Courier New" w:cs="Courier New" w:eastAsia="Courier New" w:hAnsi="Courier New"/>
          <w:sz w:val="15"/>
          <w:szCs w:val="15"/>
          <w:color w:val="auto"/>
        </w:rPr>
        <w:t>to:</w:t>
      </w:r>
    </w:p>
    <w:p>
      <w:pPr>
        <w:spacing w:after="0" w:line="167" w:lineRule="exact"/>
        <w:rPr>
          <w:sz w:val="20"/>
          <w:szCs w:val="20"/>
          <w:color w:val="auto"/>
        </w:rPr>
      </w:pPr>
    </w:p>
    <w:p>
      <w:pPr>
        <w:ind w:left="1580" w:hanging="783"/>
        <w:spacing w:after="0"/>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ind w:left="1580" w:hanging="783"/>
        <w:spacing w:after="0" w:line="237" w:lineRule="auto"/>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5" w:lineRule="exact"/>
        <w:rPr>
          <w:rFonts w:ascii="Courier New" w:cs="Courier New" w:eastAsia="Courier New" w:hAnsi="Courier New"/>
          <w:sz w:val="15"/>
          <w:szCs w:val="15"/>
          <w:color w:val="auto"/>
        </w:rPr>
      </w:pPr>
    </w:p>
    <w:p>
      <w:pPr>
        <w:ind w:left="1580" w:right="3499" w:hanging="783"/>
        <w:spacing w:after="0" w:line="235" w:lineRule="auto"/>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 provide electronic billing and payment services for over 5.2 million consumers as of June 30, 2001. Our services reach hundreds of sources, either directly or through reseller relationships, including:</w:t>
      </w:r>
    </w:p>
    <w:p>
      <w:pPr>
        <w:spacing w:after="0" w:line="167" w:lineRule="exact"/>
        <w:rPr>
          <w:sz w:val="20"/>
          <w:szCs w:val="20"/>
          <w:color w:val="auto"/>
        </w:rPr>
      </w:pPr>
    </w:p>
    <w:p>
      <w:pPr>
        <w:ind w:left="1580" w:hanging="783"/>
        <w:spacing w:after="0"/>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of the 10 largest U.S. banks;</w:t>
      </w:r>
    </w:p>
    <w:p>
      <w:pPr>
        <w:ind w:left="1580" w:hanging="783"/>
        <w:spacing w:after="0" w:line="237"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ind w:left="1580" w:hanging="783"/>
        <w:spacing w:after="0" w:line="237"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ind w:left="1580" w:hanging="783"/>
        <w:spacing w:after="0" w:line="237"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ind w:left="1580" w:hanging="783"/>
        <w:spacing w:after="0" w:line="237"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5" w:lineRule="exact"/>
        <w:rPr>
          <w:rFonts w:ascii="Courier New" w:cs="Courier New" w:eastAsia="Courier New" w:hAnsi="Courier New"/>
          <w:sz w:val="15"/>
          <w:szCs w:val="15"/>
          <w:color w:val="auto"/>
        </w:rPr>
      </w:pPr>
    </w:p>
    <w:p>
      <w:pPr>
        <w:ind w:left="1580" w:right="3839" w:hanging="783"/>
        <w:spacing w:after="0" w:line="234" w:lineRule="auto"/>
        <w:tabs>
          <w:tab w:leader="none" w:pos="15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We have developed contracts with over 1,100 merchants nationwide that allows us to remit approximately 64% of all of our bill payments electronically. We processed over 22 million transactions for the month of June 2001 and, for the year ended June 30, 2001, we processed over 231 million transactions.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March 1997, we introduced electronic billing --"E-Bill"-- which enables merchants to deliver billing as well as marketing materials interactively to their customers over the Internet. In March 2001, we introduced the latest version of our electronic billing and payment products, "WebPay for Consumers" (or WebPay 3.2), which provides consumers with the ability to receive and pay e-bills over e-mail and to exchange money with each other using e-mail "invitations" to send or receive money. As of June 30, 2001, we have 173 billers in production and are delivering nearly 500,000 electronic bills monthly. Additional biller content became available in the fourth quarter of fiscal 2001 through our ability to deliver bills scraped from biller-direct sites, which added six national credit card bills to the 173 bills available through traditional electronic and billing payment services.</w:t>
      </w:r>
    </w:p>
    <w:p>
      <w:pPr>
        <w:spacing w:after="0" w:line="16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 If the results of the credit analysis are favorable, we will assume the risk of collection of the funds from the customer's account, and if we have an electronic connection to the merchant, the remittance will be sent electronically, otherwise, it will be sent by check. If the results are not favorable, the remittance will be sent to the merchant by a draft drawn directly on the customer's checking account. In an electronic remittance, the funds are transmitted electronically to the merchant with the customer's account number included as an addenda record. For a paper draft, the customer's name, address, and account number are printed on the face of the check. In addition, our processing system is able to aggregate multiple electronic and paper remittances due to merchants. Thus, if 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 Since June 1998, we have increased our electronic payments ratio from 32% of total payments processed electronically to approximately 64% by June 2001.</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 Our portfolio management system solution includes:</w:t>
      </w:r>
    </w:p>
    <w:p>
      <w:pPr>
        <w:spacing w:after="0" w:line="168" w:lineRule="exact"/>
        <w:rPr>
          <w:sz w:val="20"/>
          <w:szCs w:val="20"/>
          <w:color w:val="auto"/>
        </w:rPr>
      </w:pPr>
    </w:p>
    <w:p>
      <w:pPr>
        <w:ind w:left="1580" w:hanging="783"/>
        <w:spacing w:after="0"/>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ind w:left="1580" w:hanging="783"/>
        <w:spacing w:after="0" w:line="237" w:lineRule="auto"/>
        <w:tabs>
          <w:tab w:leader="none" w:pos="15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interfacing.</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66" w:lineRule="exact"/>
        <w:rPr>
          <w:sz w:val="20"/>
          <w:szCs w:val="20"/>
          <w:color w:val="auto"/>
        </w:rPr>
      </w:pPr>
    </w:p>
    <w:p>
      <w:pPr>
        <w:ind w:left="1580" w:hanging="783"/>
        <w:spacing w:after="0"/>
        <w:tabs>
          <w:tab w:leader="none" w:pos="15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ind w:left="1580" w:hanging="783"/>
        <w:spacing w:after="0" w:line="237" w:lineRule="auto"/>
        <w:tabs>
          <w:tab w:leader="none" w:pos="15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ind w:left="1580" w:hanging="783"/>
        <w:spacing w:after="0" w:line="237" w:lineRule="auto"/>
        <w:tabs>
          <w:tab w:leader="none" w:pos="15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ind w:left="1580" w:hanging="783"/>
        <w:spacing w:after="0" w:line="237" w:lineRule="auto"/>
        <w:tabs>
          <w:tab w:leader="none" w:pos="15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 Our portfolios under management have grown to over 1.1 million as of June 30, 2001.</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69" w:lineRule="exact"/>
        <w:rPr>
          <w:sz w:val="20"/>
          <w:szCs w:val="20"/>
          <w:color w:val="auto"/>
        </w:rPr>
      </w:pPr>
    </w:p>
    <w:p>
      <w:pPr>
        <w:ind w:left="1240" w:hanging="443"/>
        <w:spacing w:after="0"/>
        <w:tabs>
          <w:tab w:leader="none" w:pos="12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i-Solutions.</w:t>
      </w:r>
    </w:p>
    <w:p>
      <w:pPr>
        <w:spacing w:after="0" w:line="173" w:lineRule="exact"/>
        <w:rPr>
          <w:sz w:val="20"/>
          <w:szCs w:val="20"/>
          <w:color w:val="auto"/>
        </w:rPr>
      </w:pPr>
    </w:p>
    <w:p>
      <w:pPr>
        <w:ind w:left="1240" w:right="3239" w:firstLine="350"/>
        <w:spacing w:after="0" w:line="255" w:lineRule="auto"/>
        <w:rPr>
          <w:sz w:val="20"/>
          <w:szCs w:val="20"/>
          <w:color w:val="auto"/>
        </w:rPr>
      </w:pPr>
      <w:r>
        <w:rPr>
          <w:rFonts w:ascii="Courier New" w:cs="Courier New" w:eastAsia="Courier New" w:hAnsi="Courier New"/>
          <w:sz w:val="14"/>
          <w:szCs w:val="14"/>
          <w:color w:val="auto"/>
        </w:rPr>
        <w:t>The i-Solutions product line, which is a set of electronic billing software products developed for various industry segments, was added through our acquisition of BlueGill Technologies, Inc. in April 2000. These products allow billers to install and launch an electronic billing product, send e-mail notifications and present electronic bills through the Internet, and connect to a variety of bill aggregators and payment methods. Each product includes an electronic billing web site template that is unique to a specific industry segment. Using the template as a sample design of their Internet billing site, our customers spend less time developing and designing the look and feel of their Internet billing sites, which accelerates the product implementation process. Given the nature of the process we use to convert billing and/or statement information for use over the Internet, these products are equally marketable in international markets as well.</w:t>
      </w:r>
    </w:p>
    <w:p>
      <w:pPr>
        <w:spacing w:after="0" w:line="157" w:lineRule="exact"/>
        <w:rPr>
          <w:sz w:val="20"/>
          <w:szCs w:val="20"/>
          <w:color w:val="auto"/>
        </w:rPr>
      </w:pPr>
    </w:p>
    <w:p>
      <w:pPr>
        <w:ind w:left="1240" w:hanging="443"/>
        <w:spacing w:after="0"/>
        <w:tabs>
          <w:tab w:leader="none" w:pos="124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Funds Transfer.</w:t>
      </w:r>
    </w:p>
    <w:p>
      <w:pPr>
        <w:spacing w:after="0" w:line="173" w:lineRule="exact"/>
        <w:rPr>
          <w:sz w:val="20"/>
          <w:szCs w:val="20"/>
          <w:color w:val="auto"/>
        </w:rPr>
      </w:pPr>
    </w:p>
    <w:p>
      <w:pPr>
        <w:ind w:left="1240" w:right="3239" w:firstLine="350"/>
        <w:spacing w:after="0" w:line="237" w:lineRule="auto"/>
        <w:rPr>
          <w:sz w:val="20"/>
          <w:szCs w:val="20"/>
          <w:color w:val="auto"/>
        </w:rPr>
      </w:pPr>
      <w:r>
        <w:rPr>
          <w:rFonts w:ascii="Courier New" w:cs="Courier New" w:eastAsia="Courier New" w:hAnsi="Courier New"/>
          <w:sz w:val="15"/>
          <w:szCs w:val="15"/>
          <w:color w:val="auto"/>
        </w:rPr>
        <w:t>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 site at http://www.federalreserve.gov. We do not maintain a direct connection with the automated clearinghouse, but rather, clear our electronic transactions through KeyBank, N.A., under the terms of an automated clearinghouse agreement.</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1240" w:hanging="443"/>
        <w:spacing w:after="0"/>
        <w:tabs>
          <w:tab w:leader="none" w:pos="12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3" w:lineRule="exact"/>
        <w:rPr>
          <w:sz w:val="20"/>
          <w:szCs w:val="20"/>
          <w:color w:val="auto"/>
        </w:rPr>
      </w:pPr>
    </w:p>
    <w:p>
      <w:pPr>
        <w:ind w:left="1240" w:right="3499" w:firstLine="350"/>
        <w:spacing w:after="0" w:line="255" w:lineRule="auto"/>
        <w:rPr>
          <w:sz w:val="20"/>
          <w:szCs w:val="20"/>
          <w:color w:val="auto"/>
        </w:rPr>
      </w:pPr>
      <w:r>
        <w:rPr>
          <w:rFonts w:ascii="Courier New" w:cs="Courier New" w:eastAsia="Courier New" w:hAnsi="Courier New"/>
          <w:sz w:val="14"/>
          <w:szCs w:val="14"/>
          <w:color w:val="auto"/>
        </w:rPr>
        <w:t>Through our ReconPlus software, we provide U.S. banks, international banks and corporate treasury operations with automated check and non-check reconciliations in high volume, multi-location environments. Some of the services provided by ReconPlus are automated deposit verification, consolidated bank account reconciliation and cash mobilization, immediate and accurate funds availability data and improved cash control.</w:t>
      </w:r>
    </w:p>
    <w:p>
      <w:pPr>
        <w:spacing w:after="0" w:line="160" w:lineRule="exact"/>
        <w:rPr>
          <w:sz w:val="20"/>
          <w:szCs w:val="20"/>
          <w:color w:val="auto"/>
        </w:rPr>
      </w:pPr>
    </w:p>
    <w:p>
      <w:pPr>
        <w:ind w:left="1240" w:hanging="443"/>
        <w:spacing w:after="0"/>
        <w:tabs>
          <w:tab w:leader="none" w:pos="12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left="1240" w:right="3239" w:firstLine="350"/>
        <w:spacing w:after="0" w:line="235" w:lineRule="auto"/>
        <w:rPr>
          <w:sz w:val="20"/>
          <w:szCs w:val="20"/>
          <w:color w:val="auto"/>
        </w:rPr>
      </w:pPr>
      <w:r>
        <w:rPr>
          <w:rFonts w:ascii="Courier New" w:cs="Courier New" w:eastAsia="Courier New" w:hAnsi="Courier New"/>
          <w:sz w:val="15"/>
          <w:szCs w:val="15"/>
          <w:color w:val="auto"/>
        </w:rPr>
        <w:t>We also provide software solutions such as regulatory compliance solutions for Form 1099 processing, safe box accounting and other applications.</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During the fiscal year June 30, 2001, Electronic Commerce accounted for 70% of our revenues, Investment Services accounted for 16% of our revenues, and Software accounted for 14% of our revenues.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Mobius Group, Inc. in March 1999, BlueGill Technologies, Inc. in April 2000, and MSFDC, L.L.C (TransPoint) in September 2000. In October 2000, we completed the strategic agreement we entered into with Bank of America in April 2000, under which we acquired certain of Bank of America's electronic billing and payment assets.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5820" w:type="dxa"/>
            <w:vAlign w:val="bottom"/>
          </w:tcPr>
          <w:p>
            <w:pPr>
              <w:spacing w:after="0"/>
              <w:rPr>
                <w:sz w:val="14"/>
                <w:szCs w:val="14"/>
                <w:color w:val="auto"/>
              </w:rPr>
            </w:pPr>
          </w:p>
        </w:tc>
        <w:tc>
          <w:tcPr>
            <w:tcW w:w="4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Total revenues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820" w:type="dxa"/>
            <w:vAlign w:val="bottom"/>
          </w:tcPr>
          <w:p>
            <w:pPr>
              <w:jc w:val="right"/>
              <w:ind w:right="4947"/>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12.9</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0.9</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 expenses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114.0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207.2</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(107.2)</w:t>
            </w:r>
          </w:p>
        </w:tc>
      </w:tr>
      <w:tr>
        <w:trPr>
          <w:trHeight w:val="33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Interest:</w:t>
            </w: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Income ...............................................</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Expense ..............................................</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Loss before income taxes ................................</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(110.4)</w:t>
            </w:r>
          </w:p>
        </w:tc>
      </w:tr>
      <w:tr>
        <w:trPr>
          <w:trHeight w:val="336"/>
        </w:trPr>
        <w:tc>
          <w:tcPr>
            <w:tcW w:w="5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 tax benefit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w:t>
            </w:r>
          </w:p>
        </w:tc>
        <w:tc>
          <w:tcPr>
            <w:tcW w:w="14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(loss)</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582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(83.8)%</w:t>
            </w:r>
          </w:p>
        </w:tc>
      </w:tr>
      <w:tr>
        <w:trPr>
          <w:trHeight w:val="168"/>
        </w:trPr>
        <w:tc>
          <w:tcPr>
            <w:tcW w:w="582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2000 AND 2001</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Revenues. Our total revenue increased by 40%, from $310.2 million for the year ended June 30, 2000 to $433.3 million for the year ended June 30, 2001. The increase in revenue resulted from the acquisition of BlueGill in April 2000, the acquisition of TransPoint in September 2000, our strategic alliance with Bank of America in October 2000, and underlying revenue growth in the mid 20% range on a year over year basis. Overall revenue growth was driven primarily by an increase in subscribers in our Electronic Commerce business from 3.5 million at June 30, 2000 to just over 5.2 million at June 30, 2001 (0.3 million of which were added from Bank of America in</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October 2000), an increase in portfolios managed in our Investment Services business from approximately 950,000 at June 30, 2000 to over 1.1 million at June 30, 2001, and incremental revenue from the BlueGill acquisition in our Software business. Refer to SEGMENT INFORMATION later in this commentary for further information regarding results of our three business segments.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Our processing and servicing revenue increased by 38%, from $261.6 million for the year ended June 30, 2000 to $362.1 million for the year ended June 30, 2001. Our acquisition of TransPoint included a five-year strategic agreement with Microsoft and a five-year marketing agreement with First Data Corporation, each of which includes minimum quarterly revenue guarantees, as does our ten-year strategic agreement with Bank of America. In each case, actual subscriber revenue is below minimums as of June 30, 2001 and, as a result, overall subscriber based revenue growth will correlate less directly with subscriber growth until Bank of America-related and TransPoint-related subscribers generate sufficient revenue to exceed the quarterly minimums. Net of the incremental revenue from these agreements, underlying growth in processing and servicing revenue increased by 25% on a year over year basis. Growth in underlying processing and servicing revenue is driven by the previously mentioned growth in subscribers in our Electronic Commerce business and portfolios managed in our Investment Services business. Additionally, we now have 173 billers in production, including 30 that were added through the TransPoint acquisition, that presented nearly 500,000 bills in the month ended June 30, 2001. This has increased significantly from the 94 billers that presented about 94,000 bills in June 2000. In the month ended June 30, 2001, we processed over 22 million transactions, an increase of 38% compared to the 16 million transactions we processed in the month of June 2000. As mentioned in previous reports, we are offering a transaction based pricing model for our largest customers, and when combined with strategic agreements operating below minimum quarterly revenue thresholds, it will become increasingly difficult to correlate revenue solely to the number of subscribers, with transactions processed becoming an additional revenue indicator.</w:t>
      </w:r>
    </w:p>
    <w:p>
      <w:pPr>
        <w:spacing w:after="0" w:line="34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license fee revenue increased by 79%, from $16.8 million for the year ended June 30, 2000 to $30.2 million for the year ended June 30, 2001. Growth in license revenue is primarily attributable to new revenue resulting from our acquisition of BlueGill in April 2000. We achieved modest license revenue growth in the mid single digits from our more mature software product lines in the year ended June 30, 2001. Although we anticipate continued growth in license revenue, we expect current economic conditions to have a dampening effect on the rate of growth, at least in the near term.</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maintenance revenue increased by 14%, from $18.8 million for the year ended June 30, 2000 to $21.3 million for the year ended June 30, 2001. We have achieved modest increases in maintenance revenue as a result of our acquisition of BlueGill. This line of billing software, however, is new and our related annual maintenance revenue is just now beginning to grow as customers complete their initial maintenance period and we begin to establish a renewal maintenance base. Additionally, since last year, we modified our maintenance revenue recognition policy. While we continue to recognize maintenance revenue ratably over the related service period, we now delay the onset of revenue recognition until cash is received, as opposed to estimating renewals in advance of cash receipt. Although this change caused some initial timing differences between the quarters ended September 30, 2000 and December 31, 2000, we do not expect any significant timing impact going forward. Customer retention rates in our more mature businesses continue to exceed 80% and price increases did not have a material impact on maintenance revenue in the year ended June 30, 2001.</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other revenue, which consists mostly of consulting fees, increased by 52%, from $13.0 million for the year ended June 30, 2000 to $19.8 million for the year ended June 30, 2001. Growth in other revenue is driven by increased consulting fees resulting from our BlueGill acquisition and increases related to biller implementations in our Electronic Commerce business. We placed 50 additional billers into production in the year ended June 30, 2001, bringing our total to 173.</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Cost of processing, servicing and support. Our cost of processing, servicing and support was $182.5 million, or 58.8% of total revenue for the year ended June 30, 2000, and was $255.5 million, or 59.0% of total revenue for the year ended June 30, 2001. Cost of processing, servicing and support as a percentage of servicing only revenue (total revenue less license fees) was 62.2% for the year ended June 30, 2000, and 63.3% for the year ended June 30, 2001. As previously mentioned, we acquired TransPoint in September 2000 and the electronic billing and payment assets of Bank of America in October 2000. As a result of these transactions, we have supported two additional billing and payment processing platforms for much of the year ended June 30, 2001. Although expected, this has resulted in an increase in our cost of processing as a percentage of servicing only revenue as the acquired platforms are less efficient than our Genesis processing platform. We completed the conversion of TransPoint subscribers and billers to the Genesis processing platform in the quarter ended June 30, 2001. We completed the conversion of a portion of the Bank of America East operations in the quarter ended March</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31, 2001, which includes subscribers in Georgia, Tennessee, Florida, Missouri, Arkansas, Iowa, Kansas, Arizona, New Mexico, North Carolina, South Carolina, Virginia, Maryland, and the District of Columbia. The remaining Bank of America subscribers, referred to as Bank of America West, are expected to be converted in the quarter ended December 31, 2001, with the remainder of legacy Bank of America subscribers converting from our Austin processing platform in the following quarter. Until the final conversion is completed, we will continue to experience higher than normal incremental processing costs, but at a decreasing rate, as new subscriber transactions are processed on the more efficient Genesis processing system. Somewhat masked by less efficient incremental costs resulting from TransPoint and Bank of America are underlying improvements in efficiency and processing quality within Genesis. Our ratio of electronic payments to total payments has improved from approximately 58% at June 30, 2000 to about 64% as of June 30, 2001. Electronic payments carry a significantly lower variable cost per unit than paper based transactions and are far less likely to result in a costly customer claim.</w:t>
      </w:r>
    </w:p>
    <w:p>
      <w:pPr>
        <w:spacing w:after="0" w:line="16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Research and Development. Our research and development costs were $35.6 million, or 11.5% of total revenue for the year ended June 30, 2000, and were $55.6 million, or 12.8% of total revenue for the year ended June 30, 2001. Adjusted for capitalized development costs of $7.9 million for the year ended June 30, 2000 and $4.9 million for the year ended June 30, 2001, our gross expenditures for research and development were $43.5 million, or 14.0% of total revenue for the year ended June 30, 2000, and $60.5 million, or 14.0% of total revenue for the year ended June 30, 2001. As a result of our acquisition of BlueGill, we added a large number of software development engineers and we have continued to invest heavily in our i-Solutions electronic billing software line of products. In addition, we released WebPay for Consumers, or WebPay 3.2, on our Genesis processing platform in our Electronic Commerce business in March 2001. This product offering provides consumers the ability to receive and pay e-bills over e-mail and to exchange money with each other using e-mail "invitations" to send or receive money. While we plan to continue to invest a significant portion of our revenue into research and development activities in all business segments in anticipation and support of revenue growth, quality enhancement and efficiency improvement opportunities, we expect that research and development will decline as a percentage of revenue in future periods.</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Sales and Marketing. Our sales and marketing costs were $44.8 million, or 14.4% of total revenue for the year ended June 30, 2000, and were $90.3 million, or 20.8% of total revenue for the year ended June 30, 2001. The terms of our strategic agreement with Bank of America called for us to provide $25.0 million at closing to help support an agreed upon two-year $45.0 million marketing campaign by Bank of America. Because we cannot directly impact the specific nature, timing or extent of the use of the marketing funds, we expensed the entire $25.0 million as a period cost in the quarter ended December 31, 2000. Net of this one-time charge, sales and marketing costs were $65.3 million, or 15.0% of total revenue for the year ended June 30, 2001. We initiated specific marketing programs during fiscal 2001 to provide direct assistance to our Consumer Service Provider and biller customers in designing effective marketing and advertising campaigns geared toward accelerated consumer adoption of electronic billing and payment services. In addition to the marketing programs, the increase in our sales and marketing expenses are the result of increased sales and marketing staff resulting from the BlueGill acquisition, royalty costs resulting from the TransPoint acquisition, costs associated with the launch of the new i-Solutions product line, and further investments in core marketing and communications areas in support of the continued growth of the business.</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General and Administrative. Our general and administrative expenses were $40.9 million or 13.2% of total revenue for the year ended June 30, 2000, and were $50.5 million, or 11.7% of total revenue for the year ended June 30, 2001. While we have incurred incremental facility and administrative staff costs in support of the BlueGill, TransPoint, and Bank of America transactions, and in support of the overall growth of the Company, our general and administrative costs as a percentage of revenue continue to decline due to the inherent leverage in our existing business model.</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Depreciation and Amortization. Depreciation and amortization cost increased from $42.8 million for the year ended June 30, 2000 to $427.5 million for the year ended June 30, 2001. The significant increase is the direct result of amortization of intangible assets from the acquisitions of BlueGill and TransPoint, and the purchase of the electronic billing and payment assets from Bank of America. Net of intangible asset amortization from all acquisitions, our depreciation costs related solely to fixed assets, increased from $24.3 million for the year ended June 30, 2000 to $34.1 million for the year ended June 30, 2001. The increase in fixed asset related amortization is the result of fixed assets obtained in the BlueGill and TransPoint acquisitions, and increasing capital expenditures for data processing equipment, related software and new and improved facilities in support of the continued growth of the business.</w:t>
      </w:r>
    </w:p>
    <w:p>
      <w:pPr>
        <w:spacing w:after="0" w:line="16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In-Process Research and Development. In the quarter ended June 30, 2000, we incurred $6.9 million of in-process research and development costs in relation to our acquisition of BlueGill. In the quarter ended September</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30, 2000, we incurred $18.6 million of in-process research and development costs in relation to our acquisition of TransPoint. Please refer to the Notes to Consolidated Financial Statements included herein for a detailed discussion of these charges.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Interest. Our interest income increased from $7.7 million for the year ended June 30, 2000 to $15.4 million for the year ended June 30, 2001. Our balance of cash and invested assets was $207.6 million at June 30, 2000 and $256.1 million at June 30, 2001. Although interest rates have declined throughout the year ended June 30, 2001, we have seen a significant increase in average invested assets from $116.1 million at June 30, 2000 to $231.9 million at June 30, 2001. While cash and invested assets fluctuate quarter to quarter, the primary transactions influencing our cash and investment balances were the $97.2 million we received in cash as part of the TransPoint acquisition in September 2000 and the $35.0 million of cash we used in connection with our asset purchase agreement with Bank of America.</w:t>
      </w:r>
    </w:p>
    <w:p>
      <w:pPr>
        <w:spacing w:after="0" w:line="18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Our interest expense increased from $8.0 million for the year ended June 30, 2000 to $13.2 million for the year ended June 30, 2001. While we also incur interest expense on leases, the increase in interest expense is due primarily to the $172.5 million of 6 1/2% convertible subordinated notes we issued in November 1999, which created slightly over 7 months of interest expense in the year ended June 30, 2000 and 12 months of interest expense in the year ended June 30, 2001. None of the 6 1/2% convertible debt had been converted to shares of our common stock as of June 30, 2001.</w:t>
      </w:r>
    </w:p>
    <w:p>
      <w:pPr>
        <w:spacing w:after="0" w:line="177" w:lineRule="exact"/>
        <w:rPr>
          <w:sz w:val="20"/>
          <w:szCs w:val="20"/>
          <w:color w:val="auto"/>
        </w:rPr>
      </w:pPr>
    </w:p>
    <w:p>
      <w:pPr>
        <w:jc w:val="both"/>
        <w:ind w:right="3319" w:firstLine="787"/>
        <w:spacing w:after="0" w:line="256" w:lineRule="auto"/>
        <w:rPr>
          <w:sz w:val="20"/>
          <w:szCs w:val="20"/>
          <w:color w:val="auto"/>
        </w:rPr>
      </w:pPr>
      <w:r>
        <w:rPr>
          <w:rFonts w:ascii="Courier New" w:cs="Courier New" w:eastAsia="Courier New" w:hAnsi="Courier New"/>
          <w:sz w:val="14"/>
          <w:szCs w:val="14"/>
          <w:color w:val="auto"/>
        </w:rPr>
        <w:t>Loss on Investments. Due to overall market conditions, certain of our investments have incurred an "other than temporary" decline in market value. As a result, in the year ended June 30, 2001, we recorded charges of $16.1 million to appropriately reflect the decline in value of these investments.</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Income Taxes. We recorded an income tax benefit of $11.4 million with an effective rate of 26.1% for the year ended June 30, 2000 and an income tax benefit of $115.4 million with an effective rate of 24.1% for the year ended June 30, 2001. The reported effective rates differ from the blended statutory rate of 40% in both periods due to certain non-deductible goodwill, in-process research and development and other non-deductible expenses, offset somewhat by jobs credits and tax exempt interest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1999 AND 2000</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Revenues. Our total revenue increased by 24%, from $250.1 million for the year ended June 30, 1999 to $310.2 million for the year ended June 30, 2000. On a pro forma basis, net of the divestitures of our mortgage business in September 1998 and our imaging business in October 1998, and adjusting for the acquisition of Mobius Group in March 1999 and BlueGill in April 2000, revenue increased 22%, from $252.9 million for the year ended June 30, 1999 to $308.5 million for the year ended June 30, 2000. The increase in pro forma revenue was driven by increases of 26% in our Electronic Commerce segment, 25% in our Investment Services segment, and 1% in our Software segment. Growth in Electronic Commerce revenue is driven primarily by an increase in subscribers from nearly 3.0 million at June 30, 1999 to over 3.5 million at June 30, 2000. The 3.5 million subscriber number is net of approximately 0.4 million subscribers utilizing old legacy or non-Year 2000 compliant front ends that were purged by financial institutions during the six months ended December 31, 2000. Pro forma growth in Investment Services revenue is driven primarily by an increase in portfolios managed from approximately 715,000 at June 30, 1999 to approximately 950,000 at June 30, 2000. In spite of dampened demand caused by customer focus on Year 2000 projects early in the fiscal year, the Software segment was able to achieve nominal growth on a pro forma basis for the year ended June 30, 2000.</w:t>
      </w:r>
    </w:p>
    <w:p>
      <w:pPr>
        <w:spacing w:after="0" w:line="17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Our processing and servicing revenue increased by 30%, from $201.1</w:t>
      </w:r>
    </w:p>
    <w:p>
      <w:pPr>
        <w:spacing w:after="0" w:line="237" w:lineRule="auto"/>
        <w:rPr>
          <w:sz w:val="20"/>
          <w:szCs w:val="20"/>
          <w:color w:val="auto"/>
        </w:rPr>
      </w:pPr>
      <w:r>
        <w:rPr>
          <w:rFonts w:ascii="Courier New" w:cs="Courier New" w:eastAsia="Courier New" w:hAnsi="Courier New"/>
          <w:sz w:val="15"/>
          <w:szCs w:val="15"/>
          <w:color w:val="auto"/>
        </w:rPr>
        <w:t>million for the year ended June 30, 1999 to $261.6 million for the year ended</w:t>
      </w:r>
    </w:p>
    <w:p>
      <w:pPr>
        <w:spacing w:after="0" w:line="238" w:lineRule="auto"/>
        <w:rPr>
          <w:sz w:val="20"/>
          <w:szCs w:val="20"/>
          <w:color w:val="auto"/>
        </w:rPr>
      </w:pPr>
      <w:r>
        <w:rPr>
          <w:rFonts w:ascii="Courier New" w:cs="Courier New" w:eastAsia="Courier New" w:hAnsi="Courier New"/>
          <w:sz w:val="15"/>
          <w:szCs w:val="15"/>
          <w:color w:val="auto"/>
        </w:rPr>
        <w:t>June 30, 2000. On a pro forma basis, adjusting for the acquisition of Mobius</w:t>
      </w:r>
    </w:p>
    <w:p>
      <w:pPr>
        <w:spacing w:after="0" w:line="237" w:lineRule="auto"/>
        <w:rPr>
          <w:sz w:val="20"/>
          <w:szCs w:val="20"/>
          <w:color w:val="auto"/>
        </w:rPr>
      </w:pPr>
      <w:r>
        <w:rPr>
          <w:rFonts w:ascii="Courier New" w:cs="Courier New" w:eastAsia="Courier New" w:hAnsi="Courier New"/>
          <w:sz w:val="15"/>
          <w:szCs w:val="15"/>
          <w:color w:val="auto"/>
        </w:rPr>
        <w:t>Group in March 1999, processing and servicing revenue increased by 27%,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$205.4 million for the year ended June 30, 1999, to $261.9 million for the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June 30, 2000. Pro forma growth in processing and servicing revenue is</w:t>
      </w:r>
    </w:p>
    <w:p>
      <w:pPr>
        <w:spacing w:after="0" w:line="237" w:lineRule="auto"/>
        <w:rPr>
          <w:sz w:val="20"/>
          <w:szCs w:val="20"/>
          <w:color w:val="auto"/>
        </w:rPr>
      </w:pPr>
      <w:r>
        <w:rPr>
          <w:rFonts w:ascii="Courier New" w:cs="Courier New" w:eastAsia="Courier New" w:hAnsi="Courier New"/>
          <w:sz w:val="15"/>
          <w:szCs w:val="15"/>
          <w:color w:val="auto"/>
        </w:rPr>
        <w:t>primarily the result of the previously mentioned growth in subscribers in our</w:t>
      </w:r>
    </w:p>
    <w:p>
      <w:pPr>
        <w:spacing w:after="0" w:line="238" w:lineRule="auto"/>
        <w:rPr>
          <w:sz w:val="20"/>
          <w:szCs w:val="20"/>
          <w:color w:val="auto"/>
        </w:rPr>
      </w:pPr>
      <w:r>
        <w:rPr>
          <w:rFonts w:ascii="Courier New" w:cs="Courier New" w:eastAsia="Courier New" w:hAnsi="Courier New"/>
          <w:sz w:val="15"/>
          <w:szCs w:val="15"/>
          <w:color w:val="auto"/>
        </w:rPr>
        <w:t>Electronic Commerce segment and portfolios managed in our Investment Services</w:t>
      </w:r>
    </w:p>
    <w:p>
      <w:pPr>
        <w:spacing w:after="0" w:line="237" w:lineRule="auto"/>
        <w:rPr>
          <w:sz w:val="20"/>
          <w:szCs w:val="20"/>
          <w:color w:val="auto"/>
        </w:rPr>
      </w:pPr>
      <w:r>
        <w:rPr>
          <w:rFonts w:ascii="Courier New" w:cs="Courier New" w:eastAsia="Courier New" w:hAnsi="Courier New"/>
          <w:sz w:val="15"/>
          <w:szCs w:val="15"/>
          <w:color w:val="auto"/>
        </w:rPr>
        <w:t>segment. Our processing agreements with portals allow for a free trial period</w:t>
      </w:r>
    </w:p>
    <w:p>
      <w:pPr>
        <w:spacing w:after="0" w:line="238" w:lineRule="auto"/>
        <w:rPr>
          <w:sz w:val="20"/>
          <w:szCs w:val="20"/>
          <w:color w:val="auto"/>
        </w:rPr>
      </w:pPr>
      <w:r>
        <w:rPr>
          <w:rFonts w:ascii="Courier New" w:cs="Courier New" w:eastAsia="Courier New" w:hAnsi="Courier New"/>
          <w:sz w:val="15"/>
          <w:szCs w:val="15"/>
          <w:color w:val="auto"/>
        </w:rPr>
        <w:t>for subscribers who enroll through the portal. Because these subscribers were</w:t>
      </w:r>
    </w:p>
    <w:p>
      <w:pPr>
        <w:spacing w:after="0" w:line="237" w:lineRule="auto"/>
        <w:rPr>
          <w:sz w:val="20"/>
          <w:szCs w:val="20"/>
          <w:color w:val="auto"/>
        </w:rPr>
      </w:pPr>
      <w:r>
        <w:rPr>
          <w:rFonts w:ascii="Courier New" w:cs="Courier New" w:eastAsia="Courier New" w:hAnsi="Courier New"/>
          <w:sz w:val="15"/>
          <w:szCs w:val="15"/>
          <w:color w:val="auto"/>
        </w:rPr>
        <w:t>not generating revenue during this free period, we did not count them in our</w:t>
      </w:r>
    </w:p>
    <w:p>
      <w:pPr>
        <w:spacing w:after="0" w:line="238" w:lineRule="auto"/>
        <w:rPr>
          <w:sz w:val="20"/>
          <w:szCs w:val="20"/>
          <w:color w:val="auto"/>
        </w:rPr>
      </w:pPr>
      <w:r>
        <w:rPr>
          <w:rFonts w:ascii="Courier New" w:cs="Courier New" w:eastAsia="Courier New" w:hAnsi="Courier New"/>
          <w:sz w:val="15"/>
          <w:szCs w:val="15"/>
          <w:color w:val="auto"/>
        </w:rPr>
        <w:t>active subscriber base. Additionally, we had 93 billers in production that</w:t>
      </w:r>
    </w:p>
    <w:p>
      <w:pPr>
        <w:spacing w:after="0" w:line="237" w:lineRule="auto"/>
        <w:rPr>
          <w:sz w:val="20"/>
          <w:szCs w:val="20"/>
          <w:color w:val="auto"/>
        </w:rPr>
      </w:pPr>
      <w:r>
        <w:rPr>
          <w:rFonts w:ascii="Courier New" w:cs="Courier New" w:eastAsia="Courier New" w:hAnsi="Courier New"/>
          <w:sz w:val="15"/>
          <w:szCs w:val="15"/>
          <w:color w:val="auto"/>
        </w:rPr>
        <w:t>presented approximately 94,000 bills in the month ended June 30, 2000.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bills we presented electronically has increased by 52% since the month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March 31, 2000 and was up significantly from just over 13,000 per month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We exited the quarter ended June 30, 2000 processing about 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transactions on a monthly basis, compared to about 12 million as of June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30, 1999.</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license fee revenue increased by 5%, from $16.0 million for the year ended June 30, 1999 to $16.8 million for the year ended June 30, 2000. On a pro forma basis, adjusting for the impact of divested software businesses and the acquisition of BlueGill in April 2000, license revenue declined by 3% from $15.7 million for the year ended June 30, 1999 to $15.3 million for the year ended June 30, 2000. In spite of dampened demand caused by customer focus on Year 2000 projects early in the fiscal year, the Software segment was able to generate fairly consistent license sales on a year over year basis.</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maintenance fee revenue increased by 6%, from $17.7 million for the year ended June 30, 1999 to $18.8 million for the year ended June 30, 2000. On a pro forma basis, adjusting for the impact of divested software businesses and the acquisition of BlueGill, maintenance revenue increased by 10%, from $16.9 million for the year ended June 30, 1999 to $18.6 million for the year ended June 30, 2000. This increase was due to first year maintenance fees from new maintenance paying customers added late in fiscal 1999 and throughout fiscal 2000 and moderate price increases, offset by maintenance retention rates in the mid to upper 80% range for the renewal maintenance base in the Software segment.</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Our other revenue decreased by 16%, from $15.4 million for the year ended June 30, 1999 to $13.0 million for the year ended June 30, 2000. On a pro forma basis, adjusting for the impact of divested software businesses and the acquisitions of Mobius Group and BlueGill, other revenue decreased by 15%, from $14.9 million for the year ended June 30, 1999 to $12.7 million for the year ended June 30, 2000. The decrease in pro forma revenue was due primarily to the decline in software implementations and other software consulting engagements resulting from customer software implementation freezes earlier in fiscal 2000 in preparation for and follow up from the Year 2000.</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$146.7 million or 58.7% of total revenue for the year ended June 30, 1999, and was $182.5 million or 58.8% of total revenue for the year ended June 30, 2000. Cost of processing, servicing and support as a percentage of servicing only revenue was 62.7% for the year ended June 30, 1999, and was 62.2% for the year ended June 30, 2000. From an efficiency perspective, our ratio of electronic payments to total payments improved from 49% at June 30, 1999 to 58% at June 30, 2000. Electronic payments carry a significantly lower variable cost per unit than paper based payments. Additionally, we saw improvements from the leverage inherent in converting the majority of our subscribers from two legacy systems to our Genesis processing system. These improvements, however, were offset by E-Bill implementation costs as we continued to move an increasing number of billers into live production, and by transaction costs generated by portal subscribers operating within their free period. Additionally, throughout the year ended June 30, 2000, we invested significantly in quality improvement and infrastructure improvement initiatives to prepare for future growth.</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Research and Development. Our research and development costs were $21.1 million or 8.4% of total revenue for the year ended June 30, 1999, and were $35.6 million or 11.5% of total revenue for the year ended June 30, 2000. Adjusted for capitalized development costs of $7.4 million for the year ended June 30, 1999 and $7.9 million for the year ended June 30, 2000, our gross research and development costs were $28.5 million, or 11.4% of total revenue for the year ended June 30, 1999, and $43.5 million, or 14.0% of total revenue for the year ended June 30, 2000. While $0.9 million of the increase was attributable to BlueGill, we have continued to invest a significant portion of our revenue into research and development activities in all business segments in anticipation and support of revenue growth, quality enhancement and efficiency improvement opportunities.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Sales and Marketing. Our sales and marketing costs were $32.4 million or 12.9% of total revenue for the year ended June 30, 1999, and were $44.8 million or 14.4% of total revenue for the year ended June 30, 2000. While BlueGill accounted for $2.3 million of the increase, we increased our sales staff to sign additional billers in support of our electronic billing offerings, and we increased program management staff in support of new non-subscriber based products designed to leverage our existing electronic payment infrastructure.</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General and Administrative. Our general and administrative expenses were $31.5 million or 12.6% of total revenue for the year ended June 30, 1999, and were $40.9 million or 13.2% of total revenue for the year ended June 30, 2000. Aside from the $0.9 million of added cost directly attributable to BlueGill and a full year of Mobius Group operations, the increase in general and administrative expense is due principally to an increase in facilities costs resulting from upgraded facilities in Dublin, Ohio and Jersey City, New Jersey and a new facility in Phoenix, Arizona, and increased administrative staff required to manage growth in all areas of the Company.</w:t>
      </w:r>
    </w:p>
    <w:p>
      <w:pPr>
        <w:spacing w:after="0" w:line="16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Depreciation and amortization. Our depreciation and amortization costs increased from $24.6 million for the year ended June 30, 1999 to $42.8 million for the year ended June 30, 2000. The increase was primarily the</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5"/>
          <w:szCs w:val="15"/>
          <w:color w:val="auto"/>
        </w:rPr>
        <w:t>result of amortization of intangible assets resulting from the Mobius Group and BlueGill acquisitions. The amount of the increase directly attributable to BlueGill alone was $10.2 million. The remaining increase is the result of capital spending in support of continued growth and quality improvement initiatives.</w:t>
      </w:r>
    </w:p>
    <w:p>
      <w:pPr>
        <w:spacing w:after="0" w:line="174" w:lineRule="exact"/>
        <w:rPr>
          <w:sz w:val="20"/>
          <w:szCs w:val="20"/>
          <w:color w:val="auto"/>
        </w:rPr>
      </w:pPr>
    </w:p>
    <w:p>
      <w:pPr>
        <w:ind w:right="80" w:firstLine="787"/>
        <w:spacing w:after="0" w:line="236" w:lineRule="auto"/>
        <w:rPr>
          <w:sz w:val="20"/>
          <w:szCs w:val="20"/>
          <w:color w:val="auto"/>
        </w:rPr>
      </w:pPr>
      <w:r>
        <w:rPr>
          <w:rFonts w:ascii="Courier New" w:cs="Courier New" w:eastAsia="Courier New" w:hAnsi="Courier New"/>
          <w:sz w:val="15"/>
          <w:szCs w:val="15"/>
          <w:color w:val="auto"/>
        </w:rPr>
        <w:t>In-Process Research and Development. The in-process research and development charge of $2.2 million for the year ended June 30, 1999 resulted from our purchase of the Mobius Group in March 1999 and the charge of $6.9 million for the year ended June 30, 2000 resulted from our purchase of BlueGill in April 2000. Please refer to the Notes to Consolidated Financial Statements included herein for a detailed discussion of these charges.</w:t>
      </w:r>
    </w:p>
    <w:p>
      <w:pPr>
        <w:spacing w:after="0" w:line="175" w:lineRule="exact"/>
        <w:rPr>
          <w:sz w:val="20"/>
          <w:szCs w:val="20"/>
          <w:color w:val="auto"/>
        </w:rPr>
      </w:pPr>
    </w:p>
    <w:p>
      <w:pPr>
        <w:ind w:right="80" w:firstLine="787"/>
        <w:spacing w:after="0" w:line="236" w:lineRule="auto"/>
        <w:rPr>
          <w:sz w:val="20"/>
          <w:szCs w:val="20"/>
          <w:color w:val="auto"/>
        </w:rPr>
      </w:pPr>
      <w:r>
        <w:rPr>
          <w:rFonts w:ascii="Courier New" w:cs="Courier New" w:eastAsia="Courier New" w:hAnsi="Courier New"/>
          <w:sz w:val="15"/>
          <w:szCs w:val="15"/>
          <w:color w:val="auto"/>
        </w:rPr>
        <w:t>Interest. Our interest income increased from $2.8 million for the year ended June 30, 1999 to $7.7 million for the year ended June 30, 2000. The increase was primarily due to an increase in average cash and investments from $43.3 million for the year ended June 30, 1999 to $116.1 million for the year ended June 30, 2000. The increase in average cash and investments is primarily the result of proceeds from the convertible subordinated debenture offering in November 1999.</w:t>
      </w:r>
    </w:p>
    <w:p>
      <w:pPr>
        <w:spacing w:after="0" w:line="176" w:lineRule="exact"/>
        <w:rPr>
          <w:sz w:val="20"/>
          <w:szCs w:val="20"/>
          <w:color w:val="auto"/>
        </w:rPr>
      </w:pPr>
    </w:p>
    <w:p>
      <w:pPr>
        <w:ind w:firstLine="787"/>
        <w:spacing w:after="0" w:line="236" w:lineRule="auto"/>
        <w:rPr>
          <w:sz w:val="20"/>
          <w:szCs w:val="20"/>
          <w:color w:val="auto"/>
        </w:rPr>
      </w:pPr>
      <w:r>
        <w:rPr>
          <w:rFonts w:ascii="Courier New" w:cs="Courier New" w:eastAsia="Courier New" w:hAnsi="Courier New"/>
          <w:sz w:val="15"/>
          <w:szCs w:val="15"/>
          <w:color w:val="auto"/>
        </w:rPr>
        <w:t>Our interest expense increased from $0.6 million for the year ended June 30, 1999 to $8.0 million for the year ended June 30, 2000. The increase is due primarily to $172.5 million of 6 1/2% convertible subordinated notes that we issued in November 1999 which resulted in just over seven months of interest expense in the year ended June 30, 2000.</w:t>
      </w:r>
    </w:p>
    <w:p>
      <w:pPr>
        <w:spacing w:after="0" w:line="174" w:lineRule="exact"/>
        <w:rPr>
          <w:sz w:val="20"/>
          <w:szCs w:val="20"/>
          <w:color w:val="auto"/>
        </w:rPr>
      </w:pPr>
    </w:p>
    <w:p>
      <w:pPr>
        <w:ind w:firstLine="787"/>
        <w:spacing w:after="0" w:line="236" w:lineRule="auto"/>
        <w:rPr>
          <w:sz w:val="20"/>
          <w:szCs w:val="20"/>
          <w:color w:val="auto"/>
        </w:rPr>
      </w:pPr>
      <w:r>
        <w:rPr>
          <w:rFonts w:ascii="Courier New" w:cs="Courier New" w:eastAsia="Courier New" w:hAnsi="Courier New"/>
          <w:sz w:val="15"/>
          <w:szCs w:val="15"/>
          <w:color w:val="auto"/>
        </w:rPr>
        <w:t>Income Taxes. For the year ended June 30, 1999, we recorded an income tax benefit of $12.0 million (effective rate not meaningful) and, for the year ended June 30, 2000, we recorded an income tax benefit of $11.4 million with an effective rate of 26%. In the year ended June 30, 1999, we recorded a one-time tax benefit of approximately $12.2 million arising out of our medical benefits management subsidiary. Net of this one-time benefit, the effective rates in both years differ from the statutory rate of 35% due to goodwill, in-process research and development and other non deductible expenses; jobs credits; state income taxes; and tax exempt interest income.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3" w:lineRule="exact"/>
        <w:rPr>
          <w:sz w:val="20"/>
          <w:szCs w:val="20"/>
          <w:color w:val="auto"/>
        </w:rPr>
      </w:pPr>
    </w:p>
    <w:p>
      <w:pPr>
        <w:ind w:firstLine="787"/>
        <w:spacing w:after="0" w:line="236" w:lineRule="auto"/>
        <w:rPr>
          <w:sz w:val="20"/>
          <w:szCs w:val="20"/>
          <w:color w:val="auto"/>
        </w:rPr>
      </w:pPr>
      <w:r>
        <w:rPr>
          <w:rFonts w:ascii="Courier New" w:cs="Courier New" w:eastAsia="Courier New" w:hAnsi="Courier New"/>
          <w:sz w:val="15"/>
          <w:szCs w:val="15"/>
          <w:color w:val="auto"/>
        </w:rPr>
        <w:t>The following table sets forth our operating revenue and operating income by industry segment for the periods noted. Charges identified as purchase accounting amortization, in-process research and development, a one time marketing charge, and net gain on dispositions of assets were separated from the operating results for a better understanding of the underlying performance of each segment. Explanations of these charges can be found in the discussions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w:t>
      </w:r>
    </w:p>
    <w:p>
      <w:pPr>
        <w:ind w:left="440"/>
        <w:spacing w:after="0" w:line="237" w:lineRule="auto"/>
        <w:rPr>
          <w:sz w:val="20"/>
          <w:szCs w:val="20"/>
          <w:color w:val="auto"/>
        </w:rPr>
      </w:pPr>
      <w:r>
        <w:rPr>
          <w:rFonts w:ascii="Courier New" w:cs="Courier New" w:eastAsia="Courier New" w:hAnsi="Courier New"/>
          <w:sz w:val="15"/>
          <w:szCs w:val="15"/>
          <w:color w:val="auto"/>
        </w:rPr>
        <w:t>Electronic Commerce ..................................................</w:t>
      </w:r>
    </w:p>
    <w:p>
      <w:pPr>
        <w:ind w:left="440"/>
        <w:spacing w:after="0" w:line="238" w:lineRule="auto"/>
        <w:rPr>
          <w:sz w:val="20"/>
          <w:szCs w:val="20"/>
          <w:color w:val="auto"/>
        </w:rPr>
      </w:pPr>
      <w:r>
        <w:rPr>
          <w:rFonts w:ascii="Courier New" w:cs="Courier New" w:eastAsia="Courier New" w:hAnsi="Courier New"/>
          <w:sz w:val="15"/>
          <w:szCs w:val="15"/>
          <w:color w:val="auto"/>
        </w:rPr>
        <w:t>Investment Services ..................................................</w:t>
      </w:r>
    </w:p>
    <w:p>
      <w:pPr>
        <w:ind w:left="440"/>
        <w:spacing w:after="0" w:line="237" w:lineRule="auto"/>
        <w:rPr>
          <w:sz w:val="20"/>
          <w:szCs w:val="20"/>
          <w:color w:val="auto"/>
        </w:rPr>
      </w:pPr>
      <w:r>
        <w:rPr>
          <w:rFonts w:ascii="Courier New" w:cs="Courier New" w:eastAsia="Courier New" w:hAnsi="Courier New"/>
          <w:sz w:val="15"/>
          <w:szCs w:val="15"/>
          <w:color w:val="auto"/>
        </w:rPr>
        <w:t>Software .............................................................</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Total Operating Revenue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 (Loss):</w:t>
      </w:r>
    </w:p>
    <w:p>
      <w:pPr>
        <w:ind w:left="440"/>
        <w:spacing w:after="0" w:line="237" w:lineRule="auto"/>
        <w:rPr>
          <w:sz w:val="20"/>
          <w:szCs w:val="20"/>
          <w:color w:val="auto"/>
        </w:rPr>
      </w:pPr>
      <w:r>
        <w:rPr>
          <w:rFonts w:ascii="Courier New" w:cs="Courier New" w:eastAsia="Courier New" w:hAnsi="Courier New"/>
          <w:sz w:val="15"/>
          <w:szCs w:val="15"/>
          <w:color w:val="auto"/>
        </w:rPr>
        <w:t>Operating Income (Loss) Excluding Specific Items:</w:t>
      </w:r>
    </w:p>
    <w:p>
      <w:pPr>
        <w:ind w:left="880"/>
        <w:spacing w:after="0" w:line="238" w:lineRule="auto"/>
        <w:rPr>
          <w:sz w:val="20"/>
          <w:szCs w:val="20"/>
          <w:color w:val="auto"/>
        </w:rPr>
      </w:pPr>
      <w:r>
        <w:rPr>
          <w:rFonts w:ascii="Courier New" w:cs="Courier New" w:eastAsia="Courier New" w:hAnsi="Courier New"/>
          <w:sz w:val="15"/>
          <w:szCs w:val="15"/>
          <w:color w:val="auto"/>
        </w:rPr>
        <w:t>Electronic Commerce .............................................</w:t>
      </w:r>
    </w:p>
    <w:p>
      <w:pPr>
        <w:ind w:left="880"/>
        <w:spacing w:after="0" w:line="237" w:lineRule="auto"/>
        <w:rPr>
          <w:sz w:val="20"/>
          <w:szCs w:val="20"/>
          <w:color w:val="auto"/>
        </w:rPr>
      </w:pPr>
      <w:r>
        <w:rPr>
          <w:rFonts w:ascii="Courier New" w:cs="Courier New" w:eastAsia="Courier New" w:hAnsi="Courier New"/>
          <w:sz w:val="15"/>
          <w:szCs w:val="15"/>
          <w:color w:val="auto"/>
        </w:rPr>
        <w:t>Investment Services .............................................</w:t>
      </w:r>
    </w:p>
    <w:p>
      <w:pPr>
        <w:ind w:left="880"/>
        <w:spacing w:after="0" w:line="238" w:lineRule="auto"/>
        <w:rPr>
          <w:sz w:val="20"/>
          <w:szCs w:val="20"/>
          <w:color w:val="auto"/>
        </w:rPr>
      </w:pPr>
      <w:r>
        <w:rPr>
          <w:rFonts w:ascii="Courier New" w:cs="Courier New" w:eastAsia="Courier New" w:hAnsi="Courier New"/>
          <w:sz w:val="15"/>
          <w:szCs w:val="15"/>
          <w:color w:val="auto"/>
        </w:rPr>
        <w:t>Software ........................................................</w:t>
      </w:r>
    </w:p>
    <w:p>
      <w:pPr>
        <w:ind w:left="880"/>
        <w:spacing w:after="0" w:line="237" w:lineRule="auto"/>
        <w:rPr>
          <w:sz w:val="20"/>
          <w:szCs w:val="20"/>
          <w:color w:val="auto"/>
        </w:rPr>
      </w:pPr>
      <w:r>
        <w:rPr>
          <w:rFonts w:ascii="Courier New" w:cs="Courier New" w:eastAsia="Courier New" w:hAnsi="Courier New"/>
          <w:sz w:val="15"/>
          <w:szCs w:val="15"/>
          <w:color w:val="auto"/>
        </w:rPr>
        <w:t>Corporate .......................................................</w:t>
      </w:r>
    </w:p>
    <w:p>
      <w:pPr>
        <w:ind w:left="440"/>
        <w:spacing w:after="0" w:line="238" w:lineRule="auto"/>
        <w:rPr>
          <w:sz w:val="20"/>
          <w:szCs w:val="20"/>
          <w:color w:val="auto"/>
        </w:rPr>
      </w:pPr>
      <w:r>
        <w:rPr>
          <w:rFonts w:ascii="Courier New" w:cs="Courier New" w:eastAsia="Courier New" w:hAnsi="Courier New"/>
          <w:sz w:val="15"/>
          <w:szCs w:val="15"/>
          <w:color w:val="auto"/>
        </w:rPr>
        <w:t>Specific Items:</w:t>
      </w:r>
    </w:p>
    <w:p>
      <w:pPr>
        <w:ind w:left="980"/>
        <w:spacing w:after="0" w:line="237" w:lineRule="auto"/>
        <w:rPr>
          <w:sz w:val="20"/>
          <w:szCs w:val="20"/>
          <w:color w:val="auto"/>
        </w:rPr>
      </w:pPr>
      <w:r>
        <w:rPr>
          <w:rFonts w:ascii="Courier New" w:cs="Courier New" w:eastAsia="Courier New" w:hAnsi="Courier New"/>
          <w:sz w:val="15"/>
          <w:szCs w:val="15"/>
          <w:color w:val="auto"/>
        </w:rPr>
        <w:t>Purchase accounting amortization ...............................</w:t>
      </w:r>
    </w:p>
    <w:p>
      <w:pPr>
        <w:ind w:left="980"/>
        <w:spacing w:after="0" w:line="238" w:lineRule="auto"/>
        <w:rPr>
          <w:sz w:val="20"/>
          <w:szCs w:val="20"/>
          <w:color w:val="auto"/>
        </w:rPr>
      </w:pPr>
      <w:r>
        <w:rPr>
          <w:rFonts w:ascii="Courier New" w:cs="Courier New" w:eastAsia="Courier New" w:hAnsi="Courier New"/>
          <w:sz w:val="15"/>
          <w:szCs w:val="15"/>
          <w:color w:val="auto"/>
        </w:rPr>
        <w:t>In-process research and development ............................</w:t>
      </w:r>
    </w:p>
    <w:p>
      <w:pPr>
        <w:ind w:left="980"/>
        <w:spacing w:after="0" w:line="238" w:lineRule="auto"/>
        <w:rPr>
          <w:sz w:val="20"/>
          <w:szCs w:val="20"/>
          <w:color w:val="auto"/>
        </w:rPr>
      </w:pPr>
      <w:r>
        <w:rPr>
          <w:rFonts w:ascii="Courier New" w:cs="Courier New" w:eastAsia="Courier New" w:hAnsi="Courier New"/>
          <w:sz w:val="15"/>
          <w:szCs w:val="15"/>
          <w:color w:val="auto"/>
        </w:rPr>
        <w:t>One time marketing charge ......................................</w:t>
      </w:r>
    </w:p>
    <w:p>
      <w:pPr>
        <w:ind w:left="980"/>
        <w:spacing w:after="0" w:line="237" w:lineRule="auto"/>
        <w:rPr>
          <w:sz w:val="20"/>
          <w:szCs w:val="20"/>
          <w:color w:val="auto"/>
        </w:rPr>
      </w:pPr>
      <w:r>
        <w:rPr>
          <w:rFonts w:ascii="Courier New" w:cs="Courier New" w:eastAsia="Courier New" w:hAnsi="Courier New"/>
          <w:sz w:val="15"/>
          <w:szCs w:val="15"/>
          <w:color w:val="auto"/>
        </w:rPr>
        <w:t>Net gain on dispositions of assets .............................</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Total Operating Loss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YEAR ENDED JUNE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r>
      <w:tr>
        <w:trPr>
          <w:trHeight w:val="505"/>
        </w:trPr>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3"/>
              </w:rPr>
              <w:t>$ 169,443</w:t>
            </w:r>
          </w:p>
        </w:tc>
        <w:tc>
          <w:tcPr>
            <w:tcW w:w="18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$ 213,391</w:t>
            </w: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$ 301,532</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39,304</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54,792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69,613</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41,384</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42,012</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62,175</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$ 250,131</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$ 310,195</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$ 433,320</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(3,126)</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(18,248)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(13,083)</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11,250</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15,830</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20,347</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15,931</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10,536</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837</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(23,348)</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(26,120)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(35,746)</w:t>
            </w:r>
          </w:p>
        </w:tc>
      </w:tr>
      <w:tr>
        <w:trPr>
          <w:trHeight w:val="336"/>
        </w:trPr>
        <w:tc>
          <w:tcPr>
            <w:tcW w:w="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(393,436)</w:t>
            </w:r>
          </w:p>
        </w:tc>
        <w:tc>
          <w:tcPr>
            <w:tcW w:w="1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(6,815)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(18,517)</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(2,201)</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(6,900)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8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4,576</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(3,733)</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(43,419)</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$(464,681)</w:t>
            </w:r>
          </w:p>
        </w:tc>
      </w:tr>
      <w:tr>
        <w:trPr>
          <w:trHeight w:val="168"/>
        </w:trPr>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360"/>
            <w:col w:w="4180"/>
          </w:cols>
          <w:pgMar w:left="220" w:top="281" w:right="139"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order to provide a meaningful analysis of the underlying performance of our business segments, for each period presented we have separated the effect of purchase accounting amortization, in-process research and development costs and significant one-time charges related to our various business and asset acquisitions and divestitures.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2000 AND 2001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 in our Electronic Commerce business increased by 41%,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$213.4 million for the year ended June 30, 2000 to $301.5 million for the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June 30, 2001. Net of approximately $35.0 million of incremental revenue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from TransPoint and Bank of America as described below, underlying</w:t>
      </w:r>
    </w:p>
    <w:p>
      <w:pPr>
        <w:spacing w:after="0" w:line="237" w:lineRule="auto"/>
        <w:rPr>
          <w:sz w:val="20"/>
          <w:szCs w:val="20"/>
          <w:color w:val="auto"/>
        </w:rPr>
      </w:pPr>
      <w:r>
        <w:rPr>
          <w:rFonts w:ascii="Courier New" w:cs="Courier New" w:eastAsia="Courier New" w:hAnsi="Courier New"/>
          <w:sz w:val="15"/>
          <w:szCs w:val="15"/>
          <w:color w:val="auto"/>
        </w:rPr>
        <w:t>revenue in our Electronic Commerce business grew in the mid 20% range.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primary driver of this underlying revenue growth was an increase in subscribers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3.5 million at June 30, 2000 to just over 5.2 million at June 30, 2001, 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which were added from Bank of America in October 2000.</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We completed our acquisition of TransPoint in September 2000 and, with this acquisition, became the preferred provider of electronic billing and payment services to customers offered through Microsoft's MSN and Money Central product offerings. The agreement with Microsoft provides guaranteed revenue of $120 million over a five-year period, which commenced in January 2001. Additionally, as part of the TransPoint acquisition, we received $60 million of guaranteed revenue and/or cost saving opportunities through First Data Corporation over a five-year period, which began in September 2000. Effective October 1, 2000, we completed a strategic agreement with Bank of America, the largest bank in the U.S., to offer electronic billing and payment services to its customer base. This ten-year agreement provides annual revenue guarantees of $50 million ($12.5 million on a quarterly basis) and Bank of America has agreed to invest $45 million over a two year period to promote the awareness and adoption of electronic billing and payment services by their customers. We had been processing certain transactions for Bank of America before the strategic alliance was completed and, therefore, the $50 million annual revenue guarantee should not be considered entirely incremental to our underlying revenue. We did, however, add 300,000 incremental subscribers to our subscriber base upon completion of the agreement. In each of these agreements, actual subscriber revenue is below minimums as of June 30, 2001, and as a result, overall subscriber based revenue growth will correlate less closely with the growth in the number of subscribers until Bank of America and Microsoft subscribers generate sufficient subscriber revenue to exceed the quarterly minimums.</w:t>
      </w:r>
    </w:p>
    <w:p>
      <w:pPr>
        <w:spacing w:after="0" w:line="34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To date, we have signed 241 named billers to our E-Bill electronic billing product offering. Combined with the 30 net new billers we assumed with the TransPoint acquisition, this brings our signed biller total to 271. We now have 173 billers in production that delivered nearly 500,000 electronic bills in the month ended June 30, 2001. Our acquisition of BlueGill is expected to facilitate our efforts to provide quality billing content by simplifying and accelerating the process of taking bills from paper to electronic. Also, we are adding bill aggregation technology to our Genesis platform and currently plan to add access to up to 30 additional billers through "bill scraping" over the course of calendar 2001, which will be available to our consumer service provider partners as they upgrade to Web Pay for Consumers. As of June 30, 2001, we are distributing six popular credit card bills through scraping technology for a total consumer choice of among 179 electronic bills. We believe that a complete, integrated round trip electronic billing and payment experience for an average of six to ten bills per customer per month is an important factor in driving subscriber growth. As of June 30, 2001, we estimate that the average consumer has the potential to receive from five to eight electronic bills, and by the end of the calendar year, we expect to extend that number to eight to ten electronic bills for consumers in major strategic marketing areas throughout the United States.</w:t>
      </w:r>
    </w:p>
    <w:p>
      <w:pPr>
        <w:spacing w:after="0" w:line="34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When combining subscriber growth within guaranteed revenue minimums and increasing electronic billing revenue with a transaction based pricing model available to our largest bill payment customers, it has become more difficult to correlate revenue solely to the number of subscribers, with transactions processed becoming an additional key indicator. During the month ended June 30, 2001, we processed over 22 million transactions, compared to about 16 million in the quarter ended June 30, 2000.</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operating loss in our Electronic Commerce segment, excluding purchase accounting amortization, a one time marketing charge of $25.0 million, and in-process research and development, has improved from $18.2 million for the year ended June 30, 2000 to $13.1 million for the year ended June 30, 2001. As a result of the TransPoint acquisition and the purchase of Bank of America's electronic billing and payment assets, we have supported two additional and less efficient billing and payment processing platforms for most of fiscal 2001. Although expected, this has resulted in a significant increase in our cost of processing, servicing and support during the year. We completed the conversion of TransPoint subscribers and billers to the Genesis processing platform in the quarter ended June 30, 2001. We completed the conversion of a portion of the Bank of America East subscribers within the quarter ended March 31, 2001. The remaining Bank of America subscribers, referred to internally as</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Bank of America West, are expected to be converted in the quarter ended December 31, 2001 with the remainder of legacy Bank of America subscribers converting from our Austin processing platform in the following quarter. Until the final conversion is completed, we will continue to experience higher than normal incremental processing costs, but at a decreasing rate, as new subscriber transactions are processed on the more efficient Genesis processing system. Somewhat masked by less efficient incremental costs resulting from TransPoint and Bank of America are underlying improvements in efficiency and processing quality within Genesis. Our ratio of electronic payments to total payments has improved from approximately 58% at June 30, 2000 to about 64% as of June 30, 2001. Electronic payments carry a significantly lower variable cost per unit than paper based transactions and are far less likely to result in a costly customer claim. We have also incurred additional sales and marketing and general and administrative expenses as a result of the two transactions. Throughout fiscal 2001, we have continued to focus attention on the following four areas within our Electronic Commerce business:</w:t>
      </w:r>
    </w:p>
    <w:p>
      <w:pPr>
        <w:spacing w:after="0" w:line="332" w:lineRule="exact"/>
        <w:rPr>
          <w:sz w:val="20"/>
          <w:szCs w:val="20"/>
          <w:color w:val="auto"/>
        </w:rPr>
      </w:pPr>
    </w:p>
    <w:p>
      <w:pPr>
        <w:ind w:left="1580" w:right="3319" w:hanging="783"/>
        <w:spacing w:after="0" w:line="234"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an increasing number of bills electronically over the Internet;</w:t>
      </w:r>
    </w:p>
    <w:p>
      <w:pPr>
        <w:spacing w:after="0" w:line="173" w:lineRule="exact"/>
        <w:rPr>
          <w:rFonts w:ascii="Courier New" w:cs="Courier New" w:eastAsia="Courier New" w:hAnsi="Courier New"/>
          <w:sz w:val="15"/>
          <w:szCs w:val="15"/>
          <w:color w:val="auto"/>
        </w:rPr>
      </w:pPr>
    </w:p>
    <w:p>
      <w:pPr>
        <w:ind w:left="1580" w:right="3679" w:hanging="783"/>
        <w:spacing w:after="0" w:line="23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the payment capabilities of our Genesis infrastructure while continuing to deliver market-leading quality and cost efficiency;</w:t>
      </w:r>
    </w:p>
    <w:p>
      <w:pPr>
        <w:spacing w:after="0" w:line="173" w:lineRule="exact"/>
        <w:rPr>
          <w:rFonts w:ascii="Courier New" w:cs="Courier New" w:eastAsia="Courier New" w:hAnsi="Courier New"/>
          <w:sz w:val="15"/>
          <w:szCs w:val="15"/>
          <w:color w:val="auto"/>
        </w:rPr>
      </w:pPr>
    </w:p>
    <w:p>
      <w:pPr>
        <w:ind w:left="1580" w:right="3239" w:hanging="783"/>
        <w:spacing w:after="0" w:line="235"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co-marketing programs designed to bring billers and channel partners together to strengthen incentives and value delivered to consumers; and</w:t>
      </w:r>
    </w:p>
    <w:p>
      <w:pPr>
        <w:spacing w:after="0" w:line="173" w:lineRule="exact"/>
        <w:rPr>
          <w:rFonts w:ascii="Courier New" w:cs="Courier New" w:eastAsia="Courier New" w:hAnsi="Courier New"/>
          <w:sz w:val="15"/>
          <w:szCs w:val="15"/>
          <w:color w:val="auto"/>
        </w:rPr>
      </w:pPr>
    </w:p>
    <w:p>
      <w:pPr>
        <w:ind w:left="1580" w:right="3399" w:hanging="783"/>
        <w:spacing w:after="0" w:line="234" w:lineRule="auto"/>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sites where consumers can receive and pay bills.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there are no guarantees as to the timing or extent of accelerated adoption of electronic billing and payment services, we believe that with our recent transactions with BlueGill, TransPoint and Bank of America, along with other previously described strategic alliances, we are better positioned to maintain our market leadership position throughout an accelerated growth cycle should it occur.</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Revenue in our Investment Services business increased by 27%, from $54.8 million for the year ended June 30, 2000 to $69.6 million for the year ended June 30, 2001. Growth in this business is due primarily to an increase in portfolios managed from approximately 950,000 at June 30, 2000 to over 1.1 million at June 30, 2001. Much of the revenue growth has occurred in retail versus institutional accounts that carry a lower unit price. During the quarter ended March 31, 2001, the business released a significantly enhanced version of M-Search, a money manager database system, and APL-ASP, an innovative and flexible new portfolio management services offering for start-up and break away money managers. When combined with the emergence of Internet-based wrap services, which is creating a highly visible new distribution channel for money managers and brokers, these product enhancements and new distribution channel opportunities could fuel further growth for our Investment Services business.</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Operating income in our Investment Services business, net of purchase accounting amortization, increased by 29%, from $15.8 million for the year ended June 30, 2000 to $20.3 million for the year ended June 30, 2001. Although much of our revenue growth has occurred in retail versus institutional accounts that carry a lower unit price, which in turn places downward pressure on margins as the cost to process this business is not proportionally lower, we have been able offset this pressure with efficiencies elsewhere in the business, as our operating margins have remained consistent year over year.</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Revenue in our Software business increased by 48%, from $42.0 million for the year ended June 30, 2000 to $62.2 million for the year ended June 30, 2001. The growth in software revenue is primarily attributable to the acquisition of BlueGill, now operating as CheckFree i-Solutions, as revenue in our more mature software businesses has increased modestly on a year over year basis. Growth from i-Solutions sales has come from successful efforts both domestically and internationally. While we expect software revenue to continue to grow, current market conditions have placed a dampening effect on the rate of growth in the near term.</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Operating income in our Software business, net of purchase accounting amortization, has declined from $10.5 million for the year ended June 30, 2000 to $0.8 million for the year ended June 30, 2001. As expected, the operations acquired from BlueGill have provided downward pressure on operating margins throughout fiscal 2001 as we have invested significantly in this emerging product line. The electronic billing and statement software product line acquired from BlueGill provides significant synergies to the electronic billing and payment products within our Electronic Commerce business. Investments in this area are expected to facilitate our efforts to provide high quality billing content, and simplify and accelerate the process of taking bills and statements from paper to electronic form.</w:t>
      </w:r>
    </w:p>
    <w:p>
      <w:pPr>
        <w:spacing w:after="0" w:line="180"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Our Corporate segment represents costs for legal, human resources, finance and various other unallocated overhead expenses. Our Corporate segment incurred operating expenses of $26.1 million or 8.4% of total revenue</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the year ended June 30, 2000 and $35.7 million or 8.2% of total revenue for the year ended June 30, 2001. Although we continue to add corporate resources in support of the growth of the business, our overhead costs as a percentage of revenue have begun to decline, and are starting to reflect the expected leverage in our business model.</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purchase accounting amortization line represents amortization of intangible assets resulting from all of our various acquisitions from 1996 forward. The total amount of purchase accounting amortization has increased from $18.5 million for the year ended June 30, 2000 to $393.4 million for the year ended June 30, 2001. The increases are the result of intangible assets created by the acquisitions of BlueGill in April 2000 and TransPoint in September 2000 and the acquisition of the electronic billing and payment assets of Bank of America effective in October 2000. For comparative purposes, the breakout of purchase accounting amortization by segment is as follows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FOR THE YEAR ENDED JUNE 30,</w:t>
            </w:r>
          </w:p>
        </w:tc>
        <w:tc>
          <w:tcPr>
            <w:tcW w:w="700" w:type="dxa"/>
            <w:vAlign w:val="bottom"/>
          </w:tcPr>
          <w:p>
            <w:pPr>
              <w:spacing w:after="0"/>
              <w:rPr>
                <w:sz w:val="14"/>
                <w:szCs w:val="14"/>
                <w:color w:val="auto"/>
              </w:rPr>
            </w:pPr>
          </w:p>
        </w:tc>
      </w:tr>
      <w:tr>
        <w:trPr>
          <w:trHeight w:val="168"/>
        </w:trPr>
        <w:tc>
          <w:tcPr>
            <w:tcW w:w="5160" w:type="dxa"/>
            <w:vAlign w:val="bottom"/>
          </w:tcPr>
          <w:p>
            <w:pPr>
              <w:spacing w:after="0"/>
              <w:rPr>
                <w:sz w:val="14"/>
                <w:szCs w:val="14"/>
                <w:color w:val="auto"/>
              </w:rPr>
            </w:pPr>
          </w:p>
        </w:tc>
        <w:tc>
          <w:tcPr>
            <w:tcW w:w="49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1999</w:t>
            </w:r>
          </w:p>
        </w:tc>
        <w:tc>
          <w:tcPr>
            <w:tcW w:w="27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16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Electronic Commerce ..................................</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2,364</w:t>
            </w:r>
          </w:p>
        </w:tc>
        <w:tc>
          <w:tcPr>
            <w:tcW w:w="270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  2,371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$328,072</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3,157</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4,920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5,369</w:t>
            </w: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 .............................................</w:t>
            </w:r>
          </w:p>
        </w:tc>
        <w:tc>
          <w:tcPr>
            <w:tcW w:w="6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1,294</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11,226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59,995</w:t>
            </w:r>
          </w:p>
        </w:tc>
      </w:tr>
      <w:tr>
        <w:trPr>
          <w:trHeight w:val="168"/>
        </w:trPr>
        <w:tc>
          <w:tcPr>
            <w:tcW w:w="516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6,815</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$ 18,517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$393,436</w:t>
            </w:r>
          </w:p>
        </w:tc>
      </w:tr>
      <w:tr>
        <w:trPr>
          <w:trHeight w:val="168"/>
        </w:trPr>
        <w:tc>
          <w:tcPr>
            <w:tcW w:w="516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10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the quarter ended June 30, 2000, we incurred $6.9 million of in-process research and development costs related to the acquisition of BlueGill and, in the quarter ended September 30, 2000, we incurred $18.6 million of in-process research and development costs as a result of the acquisition of TransPoint. Please refer to the Notes to Consolidated Financial Statements included herein for a complete description of the in-process research and development charges.</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The one time marketing charge took place in the quarter ended December 31, 2000. Our strategic alliance with Bank of America called for us to provide $25.0 million of cash at closing to help support a two-year $45.0 million marketing campaign by Bank of America. Because we do not have the ability to directly impact the specific nature, timing or extent of the use of the funds, we expensed the $25.0 million as a period cost in the quarter ended December 31, 2000. Additionally, because we do not market directly to subscribers but rather leave that to our various consumer service provider customers, we have separated this charge from ongoing operations as an unusual, non-recurring event.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1999 AND 2000</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Revenue in our Electronic Commerce segment increased by 26%, from</w:t>
      </w:r>
    </w:p>
    <w:p>
      <w:pPr>
        <w:spacing w:after="0" w:line="237" w:lineRule="auto"/>
        <w:rPr>
          <w:sz w:val="20"/>
          <w:szCs w:val="20"/>
          <w:color w:val="auto"/>
        </w:rPr>
      </w:pPr>
      <w:r>
        <w:rPr>
          <w:rFonts w:ascii="Courier New" w:cs="Courier New" w:eastAsia="Courier New" w:hAnsi="Courier New"/>
          <w:sz w:val="15"/>
          <w:szCs w:val="15"/>
          <w:color w:val="auto"/>
        </w:rPr>
        <w:t>$169.4 million for the year ended June 30, 1999 to $213.4 million for the year</w:t>
      </w:r>
    </w:p>
    <w:p>
      <w:pPr>
        <w:spacing w:after="0" w:line="238" w:lineRule="auto"/>
        <w:rPr>
          <w:sz w:val="20"/>
          <w:szCs w:val="20"/>
          <w:color w:val="auto"/>
        </w:rPr>
      </w:pPr>
      <w:r>
        <w:rPr>
          <w:rFonts w:ascii="Courier New" w:cs="Courier New" w:eastAsia="Courier New" w:hAnsi="Courier New"/>
          <w:sz w:val="15"/>
          <w:szCs w:val="15"/>
          <w:color w:val="auto"/>
        </w:rPr>
        <w:t>ended June 30, 2000. This increase was primarily due to an increase in</w:t>
      </w:r>
    </w:p>
    <w:p>
      <w:pPr>
        <w:spacing w:after="0" w:line="237" w:lineRule="auto"/>
        <w:rPr>
          <w:sz w:val="20"/>
          <w:szCs w:val="20"/>
          <w:color w:val="auto"/>
        </w:rPr>
      </w:pPr>
      <w:r>
        <w:rPr>
          <w:rFonts w:ascii="Courier New" w:cs="Courier New" w:eastAsia="Courier New" w:hAnsi="Courier New"/>
          <w:sz w:val="15"/>
          <w:szCs w:val="15"/>
          <w:color w:val="auto"/>
        </w:rPr>
        <w:t>subscribers from nearly 3.0 million at June 30, 1999 to 3.5 million at June 30,</w:t>
      </w:r>
    </w:p>
    <w:p>
      <w:pPr>
        <w:spacing w:after="0" w:line="238" w:lineRule="auto"/>
        <w:rPr>
          <w:sz w:val="20"/>
          <w:szCs w:val="20"/>
          <w:color w:val="auto"/>
        </w:rPr>
      </w:pPr>
      <w:r>
        <w:rPr>
          <w:rFonts w:ascii="Courier New" w:cs="Courier New" w:eastAsia="Courier New" w:hAnsi="Courier New"/>
          <w:sz w:val="15"/>
          <w:szCs w:val="15"/>
          <w:color w:val="auto"/>
        </w:rPr>
        <w:t>2000. During the quarter ended September 30, 1999, a few of our financial</w:t>
      </w:r>
    </w:p>
    <w:p>
      <w:pPr>
        <w:spacing w:after="0" w:line="237" w:lineRule="auto"/>
        <w:rPr>
          <w:sz w:val="20"/>
          <w:szCs w:val="20"/>
          <w:color w:val="auto"/>
        </w:rPr>
      </w:pPr>
      <w:r>
        <w:rPr>
          <w:rFonts w:ascii="Courier New" w:cs="Courier New" w:eastAsia="Courier New" w:hAnsi="Courier New"/>
          <w:sz w:val="15"/>
          <w:szCs w:val="15"/>
          <w:color w:val="auto"/>
        </w:rPr>
        <w:t>institution customers removed approximately 200,000 subscribers from our system</w:t>
      </w:r>
    </w:p>
    <w:p>
      <w:pPr>
        <w:spacing w:after="0" w:line="238" w:lineRule="auto"/>
        <w:rPr>
          <w:sz w:val="20"/>
          <w:szCs w:val="20"/>
          <w:color w:val="auto"/>
        </w:rPr>
      </w:pPr>
      <w:r>
        <w:rPr>
          <w:rFonts w:ascii="Courier New" w:cs="Courier New" w:eastAsia="Courier New" w:hAnsi="Courier New"/>
          <w:sz w:val="15"/>
          <w:szCs w:val="15"/>
          <w:color w:val="auto"/>
        </w:rPr>
        <w:t>that were either utilizing our low fee maintenance only processing services</w:t>
      </w:r>
    </w:p>
    <w:p>
      <w:pPr>
        <w:spacing w:after="0" w:line="237" w:lineRule="auto"/>
        <w:rPr>
          <w:sz w:val="20"/>
          <w:szCs w:val="20"/>
          <w:color w:val="auto"/>
        </w:rPr>
      </w:pPr>
      <w:r>
        <w:rPr>
          <w:rFonts w:ascii="Courier New" w:cs="Courier New" w:eastAsia="Courier New" w:hAnsi="Courier New"/>
          <w:sz w:val="15"/>
          <w:szCs w:val="15"/>
          <w:color w:val="auto"/>
        </w:rPr>
        <w:t>through proprietary PC-based front ends or that no longer promoted certain</w:t>
      </w:r>
    </w:p>
    <w:p>
      <w:pPr>
        <w:spacing w:after="0" w:line="238" w:lineRule="auto"/>
        <w:rPr>
          <w:sz w:val="20"/>
          <w:szCs w:val="20"/>
          <w:color w:val="auto"/>
        </w:rPr>
      </w:pPr>
      <w:r>
        <w:rPr>
          <w:rFonts w:ascii="Courier New" w:cs="Courier New" w:eastAsia="Courier New" w:hAnsi="Courier New"/>
          <w:sz w:val="15"/>
          <w:szCs w:val="15"/>
          <w:color w:val="auto"/>
        </w:rPr>
        <w:t>legacy financial manager software. Additionally, in the quarter ended December</w:t>
      </w:r>
    </w:p>
    <w:p>
      <w:pPr>
        <w:spacing w:after="0" w:line="238" w:lineRule="auto"/>
        <w:rPr>
          <w:sz w:val="20"/>
          <w:szCs w:val="20"/>
          <w:color w:val="auto"/>
        </w:rPr>
      </w:pPr>
      <w:r>
        <w:rPr>
          <w:rFonts w:ascii="Courier New" w:cs="Courier New" w:eastAsia="Courier New" w:hAnsi="Courier New"/>
          <w:sz w:val="15"/>
          <w:szCs w:val="15"/>
          <w:color w:val="auto"/>
        </w:rPr>
        <w:t>31, 1999, we assisted our financial institution customers in removing another</w:t>
      </w:r>
    </w:p>
    <w:p>
      <w:pPr>
        <w:spacing w:after="0" w:line="237" w:lineRule="auto"/>
        <w:rPr>
          <w:sz w:val="20"/>
          <w:szCs w:val="20"/>
          <w:color w:val="auto"/>
        </w:rPr>
      </w:pPr>
      <w:r>
        <w:rPr>
          <w:rFonts w:ascii="Courier New" w:cs="Courier New" w:eastAsia="Courier New" w:hAnsi="Courier New"/>
          <w:sz w:val="15"/>
          <w:szCs w:val="15"/>
          <w:color w:val="auto"/>
        </w:rPr>
        <w:t>200,000 subscribers who were utilizing personal financial management software</w:t>
      </w:r>
    </w:p>
    <w:p>
      <w:pPr>
        <w:spacing w:after="0" w:line="238" w:lineRule="auto"/>
        <w:rPr>
          <w:sz w:val="20"/>
          <w:szCs w:val="20"/>
          <w:color w:val="auto"/>
        </w:rPr>
      </w:pPr>
      <w:r>
        <w:rPr>
          <w:rFonts w:ascii="Courier New" w:cs="Courier New" w:eastAsia="Courier New" w:hAnsi="Courier New"/>
          <w:sz w:val="15"/>
          <w:szCs w:val="15"/>
          <w:color w:val="auto"/>
        </w:rPr>
        <w:t>that was not Year 2000 compliant. The majority of these combined reductions were</w:t>
      </w:r>
    </w:p>
    <w:p>
      <w:pPr>
        <w:spacing w:after="0" w:line="237" w:lineRule="auto"/>
        <w:rPr>
          <w:sz w:val="20"/>
          <w:szCs w:val="20"/>
          <w:color w:val="auto"/>
        </w:rPr>
      </w:pPr>
      <w:r>
        <w:rPr>
          <w:rFonts w:ascii="Courier New" w:cs="Courier New" w:eastAsia="Courier New" w:hAnsi="Courier New"/>
          <w:sz w:val="15"/>
          <w:szCs w:val="15"/>
          <w:color w:val="auto"/>
        </w:rPr>
        <w:t>on older contracts with lower than average associated monthly fees.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As of June 30, 2000, we had signed 157 billers to our E-Bill electronic billing product offering, and we had 93 billers in production that presented approximately 94,000 bills in the final month of fiscal 2000. The number of bills we presented electronically had increased by 52% since the month ended March 31, 2000 and was up significantly from just over 13,000 per month at June 30, 1999. As of June 30, 2000, we had the potential to process an average of four to five bills per month for our existing customer base. We exited the quarter ended June 30, 2000 processing about 16 million transactions on a monthly basis, compared to about 12 million as of June 30, 1999.</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operating loss in our Electronic Commerce segment, net of purchase accounting amortization, increased from $3.1 million for the year ended June 30, 1999, to $18.2 million for the year ended June 30, 2000. In April 1999, we experienced a system error that led some users of our electronic payment service to experience intermittent problems accessing and using the system. As a result of this outage, we recorded charges totaling $2.7 million. Net of these charges, the operating loss in our Electronic Commerce segment would have been $0.4 million in the year ended June 30, 1999. During the year ended June 30, 2000, we invested heavily in the following four areas:</w:t>
      </w:r>
    </w:p>
    <w:p>
      <w:pPr>
        <w:sectPr>
          <w:pgSz w:w="11900" w:h="16838" w:orient="portrait"/>
          <w:cols w:equalWidth="0" w:num="1">
            <w:col w:w="10239"/>
          </w:cols>
          <w:pgMar w:left="220" w:top="281" w:right="1440" w:bottom="1014"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ind w:left="1580" w:hanging="783"/>
        <w:spacing w:after="0"/>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2" w:lineRule="exact"/>
        <w:rPr>
          <w:rFonts w:ascii="Courier New" w:cs="Courier New" w:eastAsia="Courier New" w:hAnsi="Courier New"/>
          <w:sz w:val="15"/>
          <w:szCs w:val="15"/>
          <w:color w:val="auto"/>
        </w:rPr>
      </w:pPr>
    </w:p>
    <w:p>
      <w:pPr>
        <w:ind w:left="1580" w:right="3499" w:hanging="783"/>
        <w:spacing w:after="0" w:line="234" w:lineRule="auto"/>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compressing the time from E-Bill contract execution to live billing;</w:t>
      </w:r>
    </w:p>
    <w:p>
      <w:pPr>
        <w:spacing w:after="0" w:line="173"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3" w:lineRule="exact"/>
        <w:rPr>
          <w:rFonts w:ascii="Courier New" w:cs="Courier New" w:eastAsia="Courier New" w:hAnsi="Courier New"/>
          <w:sz w:val="15"/>
          <w:szCs w:val="15"/>
          <w:color w:val="auto"/>
        </w:rPr>
      </w:pPr>
    </w:p>
    <w:p>
      <w:pPr>
        <w:ind w:left="1580" w:right="3939" w:hanging="783"/>
        <w:spacing w:after="0" w:line="234" w:lineRule="auto"/>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payment infrastructure.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From an efficiency perspective, our ratio of electronic payments to total payments improved from 49% at June 30, 1999 to 58% at June 30, 2000. Additionally, we saw improvements from the leverage inherent in converting two-thirds of our subscribers from two legacy systems to our Genesis processing system. However, as subscribers signed up for electronic billing and payment offerings through portals and other sponsors that offer free trial periods, we incurred the variable costs associated with processing transactions from these customers with no revenue to offset the costs.</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Revenue in our Investment Services segment increased by 39%, from $39.3 million for the year ended June 30, 1999 to $54.5 million for the year ended June 30, 2000. On a pro forma basis, assuming that Mobius Group had been in place for a full year in fiscal 1999, revenue increased by 25%, from $43.9 million for the year ended June 30, 1999 to $54.8 million for the year ended June 30, 2000. Growth in pro forma revenue was primarily the result of an increase in portfolios managed from approximately 715,000 at June 30, 1999 to over 950,000 at June 30, 2000. A significant portion of portfolio growth over fiscal 2000 occurred in retail versus institutional accounts that carry a lower unit price. In October 1999, we launched our new M-Plan product from Mobius Group. Consultants, plan sponsors, investment managers and financial planners use M-Plan for integrating retirement, capital needs, tax, education and real estate planning needs for their customers. Additionally, in March 2000, we released revisions to our M-Search product from Mobius Group that allows Internet based data collection capabilities to the product which will make data collection on money manager returns and asset allocations more timely.</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Reported operating income in our Investment Services segment, net of purchase accounting amortization, increased from $11.3 million for the year ended June 30, 1999 to $15.8 million for the year ended June 30, 2000. On a pro forma basis, adjusting for the Mobius Group acquisition, operating income increased from $11.8 million for the year ended June 30, 1999 to $15.8 million for the year ended June 30, 2000. As indicated earlier, much of the portfolio growth over the year had occurred in retail versus institutional accounts that carried a lower unit price, which placed downward pressure on margins as the cost to process this business was not proportionally lower.</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Reported revenue in our Software segment increased by 2%, from $41.4 million for the year ended June 30, 1999 to $42.0 million for the year ended June 30, 2000. On a pro forma basis, net of the impact of divestitures in fiscal 1999 and the acquisition of BlueGill in fiscal 2000, revenue increased by 1%, from $39.6 million for the year ended June 30, 1999 to $40.1 million for the year ended June 30, 2000. The revenue results were expected, given purchasing moratoriums by customers concerned with Year 2000 issues through calendar year 1999 and into calendar year 2000.</w:t>
      </w:r>
    </w:p>
    <w:p>
      <w:pPr>
        <w:spacing w:after="0" w:line="177"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Reported operating income in our Software segment, net of purchase accounting amortization, declined from $15.9 million for the year ended June 30, 1999 to $10.5 million for the year ended June 30, 2000. The decrease in operating income reflects investments in new initiatives such as the launch of missingmoney.com, a state-sponsored Internet site developed with the National Association of Unclaimed Property Administrators designed to enable individuals to find and claim money owed to them from non-refunded deposits, unclaimed securities and other accounts held by states. Also, incremental resources had been assigned to a new automated clearinghouse alliance services program that carries a profit margin that is inherently lower than that of our traditional product offerings in this area and the acquisition of BlueGill in April 2000 provided a few months of loss from operations due to significant investment inherent in this new business.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Our Corporate segment operating loss increased from $23.3 million, or 9.3% of total revenue for the year ended June 30, 1999 to $26.1 million, or 8.4% of total revenue for the year ended June 30, 2000. During the year ended June 30, 1999, we incurred $1.9 million of non-recurring costs related to a terminated follow-on stock offering, the creation of a special-purpose employee medical benefits management subsidiary, and the sale of a building in Columbus, Ohio. Net of these one-time charges, our operating loss for the year ended June 30, 1999 would have been $21.4 million, or 8.6% of total revenue. On an adjusted basis, our corporate overhead as a percentage of revenue continued to decrease.</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referred to in conjunction with statements regarding our liquidity and capital resources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SUMMARY OF CASH FLOWS FOR THE</w:t>
            </w:r>
          </w:p>
        </w:tc>
        <w:tc>
          <w:tcPr>
            <w:tcW w:w="10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47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22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60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w:t>
            </w:r>
          </w:p>
        </w:tc>
        <w:tc>
          <w:tcPr>
            <w:tcW w:w="2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Cash flow provided by (used in) operating activities .........</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25,571</w:t>
            </w:r>
          </w:p>
        </w:tc>
        <w:tc>
          <w:tcPr>
            <w:tcW w:w="22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21,016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(234)</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Cash flow used in investing activities .......................</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(16,217)</w:t>
            </w:r>
          </w:p>
        </w:tc>
        <w:tc>
          <w:tcPr>
            <w:tcW w:w="2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(108,935)</w:t>
            </w:r>
          </w:p>
        </w:tc>
        <w:tc>
          <w:tcPr>
            <w:tcW w:w="34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(26,888)</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Cash flow provided by (used in) financing activities .........</w:t>
            </w:r>
          </w:p>
        </w:tc>
        <w:tc>
          <w:tcPr>
            <w:tcW w:w="4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(33,443)</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203,547</w:t>
            </w:r>
          </w:p>
        </w:tc>
        <w:tc>
          <w:tcPr>
            <w:tcW w:w="34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23,170</w:t>
            </w:r>
          </w:p>
        </w:tc>
      </w:tr>
      <w:tr>
        <w:trPr>
          <w:trHeight w:val="168"/>
        </w:trPr>
        <w:tc>
          <w:tcPr>
            <w:tcW w:w="56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increase (decrease) in cash and cash equivalents ......</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(24,089)</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$ 115,628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(3,952)</w:t>
            </w:r>
          </w:p>
        </w:tc>
      </w:tr>
      <w:tr>
        <w:trPr>
          <w:trHeight w:val="168"/>
        </w:trPr>
        <w:tc>
          <w:tcPr>
            <w:tcW w:w="560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As of June 30, 2001, we have $160.1 million in cash, cash equivalents and short-term investments on hand and an additional $96.0 million in long-term investments. Our balance sheet reflects a current ratio of 2.11 and working capital of $142.7 million. We believe that existing cash, cash equivalents and investments will be more than sufficient to meet our presently anticipated requirements for the foreseeable future. To the extent that additional capital resources are required, we have access to an untapped $30 million line of credit.</w:t>
      </w:r>
    </w:p>
    <w:p>
      <w:pPr>
        <w:spacing w:after="0" w:line="177"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For the year ended June 30, 2001, we used $0.2 million of cash flow from operations. Of this amount, $6.7 million represents net proceeds from trading securities transactions, which GAAP requires us to reflect in cash flow from operations. Also of note, included in cash used in operations was a one time $25.0 million cash marketing charge related to our strategic alliance with Bank of America.</w:t>
      </w:r>
    </w:p>
    <w:p>
      <w:pPr>
        <w:spacing w:after="0" w:line="175" w:lineRule="exact"/>
        <w:rPr>
          <w:sz w:val="20"/>
          <w:szCs w:val="20"/>
          <w:color w:val="auto"/>
        </w:rPr>
      </w:pPr>
    </w:p>
    <w:p>
      <w:pPr>
        <w:ind w:right="3500" w:firstLine="787"/>
        <w:spacing w:after="0" w:line="236" w:lineRule="auto"/>
        <w:rPr>
          <w:sz w:val="20"/>
          <w:szCs w:val="20"/>
          <w:color w:val="auto"/>
        </w:rPr>
      </w:pPr>
      <w:r>
        <w:rPr>
          <w:rFonts w:ascii="Courier New" w:cs="Courier New" w:eastAsia="Courier New" w:hAnsi="Courier New"/>
          <w:sz w:val="15"/>
          <w:szCs w:val="15"/>
          <w:color w:val="auto"/>
        </w:rPr>
        <w:t>From an investing perspective, we used $41.7 million of cash for the purchase of property and software and we capitalized $4.9 million of software development costs. We used $67.0 million for the net purchase of held-to-maturity securities and we capitalized another $10.3 million of strategic agreement costs. Finally, we received $96.6 million in cash and cash equivalents through the purchase of TransPoint, net of related acquisition costs.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From a financing perspective, we received $15.7 million in proceeds</w:t>
      </w:r>
    </w:p>
    <w:p>
      <w:pPr>
        <w:spacing w:after="0" w:line="237" w:lineRule="auto"/>
        <w:rPr>
          <w:sz w:val="20"/>
          <w:szCs w:val="20"/>
          <w:color w:val="auto"/>
        </w:rPr>
      </w:pPr>
      <w:r>
        <w:rPr>
          <w:rFonts w:ascii="Courier New" w:cs="Courier New" w:eastAsia="Courier New" w:hAnsi="Courier New"/>
          <w:sz w:val="15"/>
          <w:szCs w:val="15"/>
          <w:color w:val="auto"/>
        </w:rPr>
        <w:t>from the exercise of common stock warrants. We received an additional $6.9</w:t>
      </w:r>
    </w:p>
    <w:p>
      <w:pPr>
        <w:spacing w:after="0" w:line="238" w:lineRule="auto"/>
        <w:rPr>
          <w:sz w:val="20"/>
          <w:szCs w:val="20"/>
          <w:color w:val="auto"/>
        </w:rPr>
      </w:pPr>
      <w:r>
        <w:rPr>
          <w:rFonts w:ascii="Courier New" w:cs="Courier New" w:eastAsia="Courier New" w:hAnsi="Courier New"/>
          <w:sz w:val="15"/>
          <w:szCs w:val="15"/>
          <w:color w:val="auto"/>
        </w:rPr>
        <w:t>million from the exercise of options from our employee stock option plan and</w:t>
      </w:r>
    </w:p>
    <w:p>
      <w:pPr>
        <w:spacing w:after="0" w:line="237" w:lineRule="auto"/>
        <w:rPr>
          <w:sz w:val="20"/>
          <w:szCs w:val="20"/>
          <w:color w:val="auto"/>
        </w:rPr>
      </w:pPr>
      <w:r>
        <w:rPr>
          <w:rFonts w:ascii="Courier New" w:cs="Courier New" w:eastAsia="Courier New" w:hAnsi="Courier New"/>
          <w:sz w:val="15"/>
          <w:szCs w:val="15"/>
          <w:color w:val="auto"/>
        </w:rPr>
        <w:t>$4.4 million from the purchase of stock from our employee stock purchase plan.</w:t>
      </w:r>
    </w:p>
    <w:p>
      <w:pPr>
        <w:spacing w:after="0" w:line="238" w:lineRule="auto"/>
        <w:rPr>
          <w:sz w:val="20"/>
          <w:szCs w:val="20"/>
          <w:color w:val="auto"/>
        </w:rPr>
      </w:pPr>
      <w:r>
        <w:rPr>
          <w:rFonts w:ascii="Courier New" w:cs="Courier New" w:eastAsia="Courier New" w:hAnsi="Courier New"/>
          <w:sz w:val="15"/>
          <w:szCs w:val="15"/>
          <w:color w:val="auto"/>
        </w:rPr>
        <w:t>Finally, we used $3.8 million of cash for principal payments under capital lease</w:t>
      </w:r>
    </w:p>
    <w:p>
      <w:pPr>
        <w:spacing w:after="0" w:line="237" w:lineRule="auto"/>
        <w:rPr>
          <w:sz w:val="20"/>
          <w:szCs w:val="20"/>
          <w:color w:val="auto"/>
        </w:rPr>
      </w:pPr>
      <w:r>
        <w:rPr>
          <w:rFonts w:ascii="Courier New" w:cs="Courier New" w:eastAsia="Courier New" w:hAnsi="Courier New"/>
          <w:sz w:val="15"/>
          <w:szCs w:val="15"/>
          <w:color w:val="auto"/>
        </w:rPr>
        <w:t>obligations.</w:t>
      </w:r>
    </w:p>
    <w:p>
      <w:pPr>
        <w:spacing w:after="0" w:line="174"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For the year ended June 30, 2000, we generated $21.0 million of cash flow from operations. Of this amount, $3.6 million represented net proceeds from trading securities transactions, which GAAP requires us to reflect in cash flow from operations.</w:t>
      </w:r>
    </w:p>
    <w:p>
      <w:pPr>
        <w:spacing w:after="0" w:line="175" w:lineRule="exact"/>
        <w:rPr>
          <w:sz w:val="20"/>
          <w:szCs w:val="20"/>
          <w:color w:val="auto"/>
        </w:rPr>
      </w:pPr>
    </w:p>
    <w:p>
      <w:pPr>
        <w:ind w:right="3420" w:firstLine="787"/>
        <w:spacing w:after="0" w:line="236" w:lineRule="auto"/>
        <w:rPr>
          <w:sz w:val="20"/>
          <w:szCs w:val="20"/>
          <w:color w:val="auto"/>
        </w:rPr>
      </w:pPr>
      <w:r>
        <w:rPr>
          <w:rFonts w:ascii="Courier New" w:cs="Courier New" w:eastAsia="Courier New" w:hAnsi="Courier New"/>
          <w:sz w:val="15"/>
          <w:szCs w:val="15"/>
          <w:color w:val="auto"/>
        </w:rPr>
        <w:t>From an investing perspective, we used $39.5 million of cash for the purchase of property and software, and capitalized $7.6 million of software development costs. We used $61.0 million for the net purchase of held-to-maturity securities and another $10.0 million in the purchase of common stock. Finally, we received $9.2 million in cash and cash equivalents through the purchase of BlueGill, net of related acquisition costs.</w:t>
      </w:r>
    </w:p>
    <w:p>
      <w:pPr>
        <w:spacing w:after="0" w:line="175" w:lineRule="exact"/>
        <w:rPr>
          <w:sz w:val="20"/>
          <w:szCs w:val="20"/>
          <w:color w:val="auto"/>
        </w:rPr>
      </w:pPr>
    </w:p>
    <w:p>
      <w:pPr>
        <w:ind w:right="3340" w:firstLine="787"/>
        <w:spacing w:after="0" w:line="236" w:lineRule="auto"/>
        <w:rPr>
          <w:sz w:val="20"/>
          <w:szCs w:val="20"/>
          <w:color w:val="auto"/>
        </w:rPr>
      </w:pPr>
      <w:r>
        <w:rPr>
          <w:rFonts w:ascii="Courier New" w:cs="Courier New" w:eastAsia="Courier New" w:hAnsi="Courier New"/>
          <w:sz w:val="15"/>
          <w:szCs w:val="15"/>
          <w:color w:val="auto"/>
        </w:rPr>
        <w:t>From a financing perspective, we received $166.9 million of net proceeds from the issuance of $172.5 million in 6 1/2% convertible subordinated notes and another $25.5 million in proceeds from the exercise of common stock warrants and the purchase of our common stock by third parties. We received additional cash of $9.7 million from the exercise of options from our employee stock option plans and $2.9 million from the purchase of stock from our employee stock purchase plan. Finally, we used $1.5 million of cash for principal payments under capital lease obligations.</w:t>
      </w:r>
    </w:p>
    <w:p>
      <w:pPr>
        <w:spacing w:after="0" w:line="177" w:lineRule="exact"/>
        <w:rPr>
          <w:sz w:val="20"/>
          <w:szCs w:val="20"/>
          <w:color w:val="auto"/>
        </w:rPr>
      </w:pPr>
    </w:p>
    <w:p>
      <w:pPr>
        <w:ind w:right="3340" w:firstLine="787"/>
        <w:spacing w:after="0" w:line="235" w:lineRule="auto"/>
        <w:rPr>
          <w:sz w:val="20"/>
          <w:szCs w:val="20"/>
          <w:color w:val="auto"/>
        </w:rPr>
      </w:pPr>
      <w:r>
        <w:rPr>
          <w:rFonts w:ascii="Courier New" w:cs="Courier New" w:eastAsia="Courier New" w:hAnsi="Courier New"/>
          <w:sz w:val="15"/>
          <w:szCs w:val="15"/>
          <w:color w:val="auto"/>
        </w:rPr>
        <w:t>For the year ended June 30, 1999, we generated $25.6 million of cash flow from operations. Of this amount, $14.3 million represented net proceeds from trading securities transactions, which are reflected as operating in nature for accounting purposes.</w:t>
      </w:r>
    </w:p>
    <w:p>
      <w:pPr>
        <w:spacing w:after="0" w:line="175" w:lineRule="exact"/>
        <w:rPr>
          <w:sz w:val="20"/>
          <w:szCs w:val="20"/>
          <w:color w:val="auto"/>
        </w:rPr>
      </w:pPr>
    </w:p>
    <w:p>
      <w:pPr>
        <w:ind w:right="3420" w:firstLine="787"/>
        <w:spacing w:after="0" w:line="235" w:lineRule="auto"/>
        <w:rPr>
          <w:sz w:val="20"/>
          <w:szCs w:val="20"/>
          <w:color w:val="auto"/>
        </w:rPr>
      </w:pPr>
      <w:r>
        <w:rPr>
          <w:rFonts w:ascii="Courier New" w:cs="Courier New" w:eastAsia="Courier New" w:hAnsi="Courier New"/>
          <w:sz w:val="15"/>
          <w:szCs w:val="15"/>
          <w:color w:val="auto"/>
        </w:rPr>
        <w:t>From an investing perspective, we used $40.4 million of cash for the purchase of property and software, of which approximately $14.9 million was for the purchase of land and a building in Dublin, Ohio and another $6.4</w:t>
      </w:r>
    </w:p>
    <w:p>
      <w:pPr>
        <w:sectPr>
          <w:pgSz w:w="11900" w:h="16838" w:orient="portrait"/>
          <w:cols w:equalWidth="0" w:num="1">
            <w:col w:w="10340"/>
          </w:cols>
          <w:pgMar w:left="220" w:top="281" w:right="1339"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leasehold improvements to ready the building for occupancy.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remaining $19.1 million was used for computer equipment, software and leasehold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improvements in support of initiatives to grow the business and improve quality.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received $18.4 million from the net sale of the various software business</w:t>
      </w:r>
    </w:p>
    <w:p>
      <w:pPr>
        <w:spacing w:after="0" w:line="237" w:lineRule="auto"/>
        <w:rPr>
          <w:sz w:val="20"/>
          <w:szCs w:val="20"/>
          <w:color w:val="auto"/>
        </w:rPr>
      </w:pPr>
      <w:r>
        <w:rPr>
          <w:rFonts w:ascii="Courier New" w:cs="Courier New" w:eastAsia="Courier New" w:hAnsi="Courier New"/>
          <w:sz w:val="15"/>
          <w:szCs w:val="15"/>
          <w:color w:val="auto"/>
        </w:rPr>
        <w:t>divestitures during the year and the sale of a building in Columbus, Ohio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 million from the repayment of a note receivable established in fiscal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the purchase of the Dublin, Ohio facility. We capitalized $8.0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software development costs related to new business initiatives in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of our business segments. Additionally, we spent approximately $0.2</w:t>
      </w:r>
    </w:p>
    <w:p>
      <w:pPr>
        <w:spacing w:after="0" w:line="237" w:lineRule="auto"/>
        <w:rPr>
          <w:sz w:val="20"/>
          <w:szCs w:val="20"/>
          <w:color w:val="auto"/>
        </w:rPr>
      </w:pPr>
      <w:r>
        <w:rPr>
          <w:rFonts w:ascii="Courier New" w:cs="Courier New" w:eastAsia="Courier New" w:hAnsi="Courier New"/>
          <w:sz w:val="15"/>
          <w:szCs w:val="15"/>
          <w:color w:val="auto"/>
        </w:rPr>
        <w:t>million in cash in connection with the acquisition of Mobius Group, purchased</w:t>
      </w:r>
    </w:p>
    <w:p>
      <w:pPr>
        <w:spacing w:after="0" w:line="238" w:lineRule="auto"/>
        <w:rPr>
          <w:sz w:val="20"/>
          <w:szCs w:val="20"/>
          <w:color w:val="auto"/>
        </w:rPr>
      </w:pPr>
      <w:r>
        <w:rPr>
          <w:rFonts w:ascii="Courier New" w:cs="Courier New" w:eastAsia="Courier New" w:hAnsi="Courier New"/>
          <w:sz w:val="15"/>
          <w:szCs w:val="15"/>
          <w:color w:val="auto"/>
        </w:rPr>
        <w:t>$1.9 million in held-to-maturity securities and received $1.0 million in</w:t>
      </w:r>
    </w:p>
    <w:p>
      <w:pPr>
        <w:spacing w:after="0" w:line="237" w:lineRule="auto"/>
        <w:rPr>
          <w:sz w:val="20"/>
          <w:szCs w:val="20"/>
          <w:color w:val="auto"/>
        </w:rPr>
      </w:pPr>
      <w:r>
        <w:rPr>
          <w:rFonts w:ascii="Courier New" w:cs="Courier New" w:eastAsia="Courier New" w:hAnsi="Courier New"/>
          <w:sz w:val="15"/>
          <w:szCs w:val="15"/>
          <w:color w:val="auto"/>
        </w:rPr>
        <w:t>proceeds from the sale of held-to-maturity securities.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From a financing perspective, we used $31.3 million in the purchase of approximately 4.7 million shares of treasury stock for an average price of approximately $6.65 per share. We used $3.3 million of cash for principal payments under capital leases and another $3.6 million to fund an escrow account to release our obligation for bonds with the Department of Economic Development of the State of Ohio to facilitate the sale of land an a building in Columbus, Ohio. We received $2.9 million in proceeds from the exercise of options under the employee stock option plan and $1.9 million from the purchase of shares under the employee stock purchase plan.</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With the acquisition of BlueGill in April 2000, weobtained operations in Canada and recently opened offices in the United Kingdom, Singapore and Australia. As a result, we now have assets and liabilities outside the United States that are subject to fluctuations in foreign currency exchange rates. Due to the start up nature of each of these operations, however, we currently utilize the U.S. dollar as the functional currency for all international operations. As these operations begin to generate sufficient cash flow to provide for their own cash flow requirements, we will convert to local currency as the functional currency in each related operating unit as appropriate. Because we utilize the U.S. dollar as the functional currency and due to the immaterial nature of the amounts involved, our economic exposure from fluctuations in foreign exchange rates is not significant enough at this time to engage in forward foreign exchange and other similar instruments.</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While our international sales represented less than 2% of our revenue for the year ended June 30, 2001, we now market, sell and license our products throughout the world. As a result, our future revenue could be somewhat affected by weak economic conditions in foreign markets that could reduce demand for our products.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Our exposure to interest rate risk is limited to the yield we earn on invested cash, cash equivalents and investments and interest based revenue earned on products such as our account balance transfer business. Our convertible debt carries a fixed rate, as do any outstanding capital lease obligations. Although our Investment Policy currently prohibits the use of derivatives for trading or hedging purposes, we believe that our limited interest rate risk currently does not warrant the use of such instruments.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July 20, 2001, the Financial Accounting Standards Board (FASB) issued SFAS 141, "Business Combinations" and SFAS 142, "Goodwill and Other Intangible Assets." SFAS 141 requires all business combinations initiated after June 30, 2001 to be accounted for using the purchase method of accounting. In addition, it requires application of the provisions of SFAS 142 for goodwill and other intangible assets related to any business combinations completed after June 30, 2001, but prior to the adoption date of SFAS 142. SFAS 142 changes the accounting for goodwill and other intangible assets. Goodwill will no longer be subject to amortization over its estimated useful life. Rather, goodwill will be subject to at least an annual assessment for impairment by applying a fair-value-based test. All other acquired intangibles will be separately recognized if the benefit of the intangible asset is obtained through contractual or other legal rights, or if the intangible asset can be sold, transferred, licensed, or exchanged, regardless of our intent to do so. Other intangibles will be amortized over their useful lives.</w:t>
      </w:r>
    </w:p>
    <w:p>
      <w:pPr>
        <w:spacing w:after="0" w:line="332"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SFAS 142 becomes effective for us on July 1, 2002. We are still assessing the impact of all the statement provisions on our financial position and results of operations; however, based on our review to date, we expect the following significant impacts:</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jc w:val="both"/>
        <w:ind w:left="1580" w:right="3239" w:hanging="783"/>
        <w:spacing w:after="0" w:line="235" w:lineRule="auto"/>
        <w:tabs>
          <w:tab w:leader="none" w:pos="15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we will be required to reclassify approximately $2 million of unamortized workforce in place intangible assets into goodwill.</w:t>
      </w:r>
    </w:p>
    <w:p>
      <w:pPr>
        <w:spacing w:after="0" w:line="173" w:lineRule="exact"/>
        <w:rPr>
          <w:rFonts w:ascii="Courier New" w:cs="Courier New" w:eastAsia="Courier New" w:hAnsi="Courier New"/>
          <w:sz w:val="15"/>
          <w:szCs w:val="15"/>
          <w:color w:val="auto"/>
        </w:rPr>
      </w:pPr>
    </w:p>
    <w:p>
      <w:pPr>
        <w:ind w:left="1580" w:right="3319" w:hanging="783"/>
        <w:spacing w:after="0" w:line="255" w:lineRule="auto"/>
        <w:tabs>
          <w:tab w:leader="none" w:pos="15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adoption, the balance of goodwill and workforce in place is expected to be $624 million and we will discontinue amortizing these assets at that time. The resulting reduction in amortization expense is estimated at approximately $200 million for each of our fiscal years 2003 and 2004, and approximately $192 million for our 2005 fiscal year.</w:t>
      </w:r>
    </w:p>
    <w:p>
      <w:pPr>
        <w:spacing w:after="0" w:line="166" w:lineRule="exact"/>
        <w:rPr>
          <w:rFonts w:ascii="Courier New" w:cs="Courier New" w:eastAsia="Courier New" w:hAnsi="Courier New"/>
          <w:sz w:val="14"/>
          <w:szCs w:val="14"/>
          <w:color w:val="auto"/>
        </w:rPr>
      </w:pPr>
    </w:p>
    <w:p>
      <w:pPr>
        <w:ind w:left="1580" w:right="3239" w:hanging="783"/>
        <w:spacing w:after="0" w:line="255" w:lineRule="auto"/>
        <w:tabs>
          <w:tab w:leader="none" w:pos="15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will be required to perform a transitional goodwill impairment test as of July 1, 2002. The impairment test will require us to: (1) identify our reporting units, (2) determine the carrying value of each reporting unit by assigning assets and liabilities, including existing goodwill and intangible assets, to those reporting units, and (3) determine the fair value of each reporting unit. If the carrying value of any reporting unit exceeds its fair value, we will determine the amount of any goodwill impairment through a detailed fair value analysis of each of the assigned assets (excluding goodwill). At this time, we do not anticipate any charge resulting from the transitional impairment test; however, due to the extensiveness of the efforts involved, that test has not yet been performed. Under the provisions of SFAS 142, we are required to complete the test before December 31, 2002.</w:t>
      </w:r>
    </w:p>
    <w:p>
      <w:pPr>
        <w:spacing w:after="0" w:line="163" w:lineRule="exact"/>
        <w:rPr>
          <w:rFonts w:ascii="Courier New" w:cs="Courier New" w:eastAsia="Courier New" w:hAnsi="Courier New"/>
          <w:sz w:val="14"/>
          <w:szCs w:val="14"/>
          <w:color w:val="auto"/>
        </w:rPr>
      </w:pPr>
    </w:p>
    <w:p>
      <w:pPr>
        <w:ind w:left="1580" w:right="3319" w:hanging="783"/>
        <w:spacing w:after="0" w:line="236" w:lineRule="auto"/>
        <w:tabs>
          <w:tab w:leader="none" w:pos="15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transitional impairment test, our goodwill balances will be subject to annual impairment tests using the same process described above. If any impairment is indicated as a result of the annual test, an impairment charge would be recorded as part of income from operations.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Annual Report include certain forward-looking statements within the meaning of Section 27A of the Securities Act, as amended, and Section 21E of the Securities Exchange Act of 1934, as amended, which are intended to be covered by the safe harbors created thereby. Those statements include, but may not be limited to, all statements regarding our and management's intent, belief and expectations, such as statements concerning our future profitability, and our operating and growth strategy. Investors are cautioned that all forward-looking statements involve risks and uncertainties including, without limitation, the factors set forth under the caption "Business - Business Risks" in the Annual Report on Form 10-K for the year ended June 30, 2001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Annual Report will prove to be accurate. In light of the significant uncertainties inherent in the forward-looking statements included herein, the inclusion of such information should not be regarded as representations by us or any other person that our objectives and plans will be achieved. All forward-looking statements made in this Annual Report are based on information presently available to our management. We assume no obligation to update any forward-looking statements.</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237" w:lineRule="auto"/>
        <w:rPr>
          <w:sz w:val="20"/>
          <w:szCs w:val="20"/>
          <w:color w:val="auto"/>
        </w:rPr>
      </w:pPr>
      <w:r>
        <w:rPr>
          <w:rFonts w:ascii="Courier New" w:cs="Courier New" w:eastAsia="Courier New" w:hAnsi="Courier New"/>
          <w:sz w:val="15"/>
          <w:szCs w:val="15"/>
          <w:color w:val="auto"/>
        </w:rPr>
        <w:t>CheckFree Corporation and Subsidiaries: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CheckFree Corporation (the "Company") and its subsidiaries as of June 30, 2000 and 2001, and the related consolidated statements of operations, stockholders' equity and cash flows for the years ended June 30, 1999, 2000, and 2001.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2000 and 2001, and the results of their operations and their cash flows for the years ended June 30, 1999, 2000, and 2001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August 3, 2001</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tbl>
      <w:tblPr>
        <w:tblLayout w:type="fixed"/>
        <w:tblInd w:w="0" w:type="dxa"/>
        <w:tblCellMar>
          <w:top w:w="0" w:type="dxa"/>
          <w:left w:w="0" w:type="dxa"/>
          <w:bottom w:w="0" w:type="dxa"/>
          <w:right w:w="0" w:type="dxa"/>
        </w:tblCellMar>
      </w:tblPr>
      <w:tr>
        <w:trPr>
          <w:trHeight w:val="168"/>
        </w:trPr>
        <w:tc>
          <w:tcPr>
            <w:tcW w:w="7140" w:type="dxa"/>
            <w:vAlign w:val="bottom"/>
          </w:tcPr>
          <w:p>
            <w:pPr>
              <w:jc w:val="right"/>
              <w:ind w:right="2327"/>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41"/>
        </w:trPr>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7140" w:type="dxa"/>
            <w:vAlign w:val="bottom"/>
          </w:tcPr>
          <w:p>
            <w:pPr>
              <w:spacing w:after="0"/>
              <w:rPr>
                <w:sz w:val="14"/>
                <w:szCs w:val="14"/>
                <w:color w:val="auto"/>
              </w:rPr>
            </w:pPr>
          </w:p>
        </w:tc>
        <w:tc>
          <w:tcPr>
            <w:tcW w:w="32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58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140" w:type="dxa"/>
            <w:vAlign w:val="bottom"/>
          </w:tcPr>
          <w:p>
            <w:pPr>
              <w:spacing w:after="0"/>
              <w:rPr>
                <w:sz w:val="14"/>
                <w:szCs w:val="14"/>
                <w:color w:val="auto"/>
              </w:rPr>
            </w:pP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 THOUSANDS, EXCEPT SHARE DATA)</w:t>
            </w:r>
          </w:p>
        </w:tc>
      </w:tr>
      <w:tr>
        <w:trPr>
          <w:trHeight w:val="336"/>
        </w:trPr>
        <w:tc>
          <w:tcPr>
            <w:tcW w:w="7140" w:type="dxa"/>
            <w:vAlign w:val="bottom"/>
          </w:tcPr>
          <w:p>
            <w:pPr>
              <w:jc w:val="right"/>
              <w:ind w:right="3287"/>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128,074</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124,122</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56,548</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35,930</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58,308</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88,818</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assets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12,813</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8,681</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9,733</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13,725</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265,476</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271,276</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93,214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109,226</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37,189</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187,021</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Goodwill, net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213,305</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820,169</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Strategic agreements, net .................................................</w:t>
            </w:r>
          </w:p>
        </w:tc>
        <w:tc>
          <w:tcPr>
            <w:tcW w:w="2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643,212</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37,975</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47,118</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23,003</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96,042</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29,248</w:t>
            </w:r>
          </w:p>
        </w:tc>
        <w:tc>
          <w:tcPr>
            <w:tcW w:w="5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noncurrent assets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13,704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9,889</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other assets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354,424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1,803,451</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713,114</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$ 2,183,953</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4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6"/>
        </w:trPr>
        <w:tc>
          <w:tcPr>
            <w:tcW w:w="7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10,158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19,084</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43,958</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60,090</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long-term obligations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5,955</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4,528</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26,644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44,913</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86,715</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128,615</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ACCRUED RENT AND OTHER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7,269</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4,758</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 ..........................................................</w:t>
            </w:r>
          </w:p>
        </w:tc>
        <w:tc>
          <w:tcPr>
            <w:tcW w:w="2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141,853</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OBLIGATIONS UNDER CAPITAL LEASES- Less current portion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736</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4,041</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CONVERTIBLE SUBORDINATED NOTES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172,500</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172,500</w:t>
            </w: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(Note 21)</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Preferred stock- 15,000,000 and 50,000,000 authorized shares, respectively,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 par value; no amounts issued or outstanding ......................</w:t>
            </w:r>
          </w:p>
        </w:tc>
        <w:tc>
          <w:tcPr>
            <w:tcW w:w="22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stock- 150,000,000 and 500,000,000 authorized shares, respectively,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$0.01 par value: issued 63,957,859 and 92,472,299 shares, respectively;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 58,414,035 and 86,928,475 shares, respectively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584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paid-in-capital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771,892</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2,420,957</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deficit .......................................................</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(326,320)</w:t>
            </w:r>
          </w:p>
        </w:tc>
        <w:tc>
          <w:tcPr>
            <w:tcW w:w="5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(689,455)</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Unearned compensation .....................................................</w:t>
            </w:r>
          </w:p>
        </w:tc>
        <w:tc>
          <w:tcPr>
            <w:tcW w:w="2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w:t>
            </w:r>
          </w:p>
        </w:tc>
        <w:tc>
          <w:tcPr>
            <w:tcW w:w="58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2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445,894</w:t>
            </w:r>
          </w:p>
        </w:tc>
        <w:tc>
          <w:tcPr>
            <w:tcW w:w="58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1,732,186</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4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713,114</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$ 2,183,953</w:t>
            </w:r>
          </w:p>
        </w:tc>
      </w:tr>
      <w:tr>
        <w:trPr>
          <w:trHeight w:val="168"/>
        </w:trPr>
        <w:tc>
          <w:tcPr>
            <w:tcW w:w="7140" w:type="dxa"/>
            <w:vAlign w:val="bottom"/>
          </w:tcPr>
          <w:p>
            <w:pPr>
              <w:spacing w:after="0"/>
              <w:rPr>
                <w:sz w:val="14"/>
                <w:szCs w:val="14"/>
                <w:color w:val="auto"/>
              </w:rPr>
            </w:pPr>
          </w:p>
        </w:tc>
        <w:tc>
          <w:tcPr>
            <w:tcW w:w="15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340"/>
          </w:cols>
          <w:pgMar w:left="220" w:top="281" w:right="1339"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03"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CHECKFREE CORPORATION AND SUBSIDIARIES</w:t>
      </w:r>
    </w:p>
    <w:p>
      <w:pPr>
        <w:jc w:val="right"/>
        <w:ind w:right="505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5"/>
              </w:rPr>
              <w:t>YEAR ENDED JUNE 30,</w:t>
            </w:r>
          </w:p>
        </w:tc>
        <w:tc>
          <w:tcPr>
            <w:tcW w:w="10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416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16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4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41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Processing and servicing ................</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201,059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261,621</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362,051</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License fees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15,975</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16,818</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30,180</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17,746</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18,752</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21,332</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15,351</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13,004</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19,757</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250,131</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310,195</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433,320</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Cost of processing, servicing and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support................................</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146,704</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182,540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255,528</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Research and development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21,085</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35,631</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55,621</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32,354</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44,782</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90,283</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General and administrative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31,466</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40,931</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50,474</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427,495</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24,630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42,830</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In-process research and development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2,201</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6,900</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expenses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258,440</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353,614</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898,001</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gain on dispositions of assets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4,576</w:t>
            </w: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LOSS FROM OPERATIONS .........................</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(3,733)</w:t>
            </w:r>
          </w:p>
        </w:tc>
        <w:tc>
          <w:tcPr>
            <w:tcW w:w="3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(43,419)</w:t>
            </w:r>
          </w:p>
        </w:tc>
        <w:tc>
          <w:tcPr>
            <w:tcW w:w="3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(464,681)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income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2,799</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7,689</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15,415</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Interest expense ........................</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w:t>
            </w:r>
          </w:p>
        </w:tc>
        <w:tc>
          <w:tcPr>
            <w:tcW w:w="3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(8,027)</w:t>
            </w:r>
          </w:p>
        </w:tc>
        <w:tc>
          <w:tcPr>
            <w:tcW w:w="3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(13,154)</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32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(16,077)</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LOSS BEFORE INCOME TAXES .....................</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(1,552)</w:t>
            </w:r>
          </w:p>
        </w:tc>
        <w:tc>
          <w:tcPr>
            <w:tcW w:w="3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(43,757)</w:t>
            </w:r>
          </w:p>
        </w:tc>
        <w:tc>
          <w:tcPr>
            <w:tcW w:w="3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(478,497)</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INCOME TAX BENEFIT ...........................</w:t>
            </w:r>
          </w:p>
        </w:tc>
        <w:tc>
          <w:tcPr>
            <w:tcW w:w="32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(12,009)</w:t>
            </w:r>
          </w:p>
        </w:tc>
        <w:tc>
          <w:tcPr>
            <w:tcW w:w="30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(11,437)</w:t>
            </w:r>
          </w:p>
        </w:tc>
        <w:tc>
          <w:tcPr>
            <w:tcW w:w="30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(115,362)</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10,457</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(32,320)</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(363,135)</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(0.61)</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52,444,375</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53,367,339</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80,863,100</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SHARE: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0.18</w:t>
            </w:r>
          </w:p>
        </w:tc>
        <w:tc>
          <w:tcPr>
            <w:tcW w:w="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(0.61)</w:t>
            </w:r>
          </w:p>
        </w:tc>
        <w:tc>
          <w:tcPr>
            <w:tcW w:w="3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2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56,529,165</w:t>
            </w:r>
          </w:p>
        </w:tc>
        <w:tc>
          <w:tcPr>
            <w:tcW w:w="30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53,367,339</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80,863,100</w:t>
            </w:r>
          </w:p>
        </w:tc>
      </w:tr>
      <w:tr>
        <w:trPr>
          <w:trHeight w:val="168"/>
        </w:trPr>
        <w:tc>
          <w:tcPr>
            <w:tcW w:w="416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20</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500"/>
        <w:spacing w:after="0" w:line="237" w:lineRule="auto"/>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rPr>
              <w:t>NUMBER OF</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spacing w:after="0"/>
              <w:rPr>
                <w:sz w:val="14"/>
                <w:szCs w:val="14"/>
                <w:color w:val="auto"/>
              </w:rPr>
            </w:pP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SHARES OF</w:t>
            </w:r>
          </w:p>
        </w:tc>
        <w:tc>
          <w:tcPr>
            <w:tcW w:w="3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COMMON</w:t>
            </w:r>
          </w:p>
        </w:tc>
        <w:tc>
          <w:tcPr>
            <w:tcW w:w="15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ADDITIONAL</w:t>
            </w: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SHARES OF</w:t>
            </w:r>
          </w:p>
        </w:tc>
        <w:tc>
          <w:tcPr>
            <w:tcW w:w="30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TREASURY</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COMMON</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STOCK AT</w:t>
            </w: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PAID-IN</w:t>
            </w: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TREASURY</w:t>
            </w:r>
          </w:p>
        </w:tc>
        <w:tc>
          <w:tcPr>
            <w:tcW w:w="30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STOCK AT</w:t>
            </w:r>
          </w:p>
        </w:tc>
      </w:tr>
      <w:tr>
        <w:trPr>
          <w:trHeight w:val="168"/>
        </w:trPr>
        <w:tc>
          <w:tcPr>
            <w:tcW w:w="3500" w:type="dxa"/>
            <w:vAlign w:val="bottom"/>
          </w:tcPr>
          <w:p>
            <w:pPr>
              <w:spacing w:after="0"/>
              <w:rPr>
                <w:sz w:val="14"/>
                <w:szCs w:val="14"/>
                <w:color w:val="auto"/>
              </w:rPr>
            </w:pPr>
          </w:p>
        </w:tc>
        <w:tc>
          <w:tcPr>
            <w:tcW w:w="17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STOCK</w:t>
            </w:r>
          </w:p>
        </w:tc>
        <w:tc>
          <w:tcPr>
            <w:tcW w:w="3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PAR</w:t>
            </w:r>
          </w:p>
        </w:tc>
        <w:tc>
          <w:tcPr>
            <w:tcW w:w="15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CAPITAL</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STOCK</w:t>
            </w:r>
          </w:p>
        </w:tc>
        <w:tc>
          <w:tcPr>
            <w:tcW w:w="300" w:type="dxa"/>
            <w:vAlign w:val="bottom"/>
          </w:tcPr>
          <w:p>
            <w:pPr>
              <w:spacing w:after="0"/>
              <w:rPr>
                <w:sz w:val="14"/>
                <w:szCs w:val="14"/>
                <w:color w:val="auto"/>
              </w:rPr>
            </w:pPr>
          </w:p>
        </w:tc>
        <w:tc>
          <w:tcPr>
            <w:tcW w:w="9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4"/>
              </w:rPr>
              <w:t>COST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w w:val="99"/>
              </w:rPr>
              <w:t>(IN THOUSANDS,</w:t>
            </w:r>
          </w:p>
        </w:tc>
        <w:tc>
          <w:tcPr>
            <w:tcW w:w="2620" w:type="dxa"/>
            <w:vAlign w:val="bottom"/>
            <w:gridSpan w:val="2"/>
          </w:tcPr>
          <w:p>
            <w:pPr>
              <w:jc w:val="right"/>
              <w:ind w:right="927"/>
              <w:spacing w:after="0" w:line="168" w:lineRule="exact"/>
              <w:rPr>
                <w:sz w:val="20"/>
                <w:szCs w:val="20"/>
                <w:color w:val="auto"/>
              </w:rPr>
            </w:pPr>
            <w:r>
              <w:rPr>
                <w:rFonts w:ascii="Courier New" w:cs="Courier New" w:eastAsia="Courier New" w:hAnsi="Courier New"/>
                <w:sz w:val="15"/>
                <w:szCs w:val="15"/>
                <w:color w:val="auto"/>
                <w:w w:val="98"/>
              </w:rPr>
              <w:t>EXCEPT SHARE DATA)</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JUNE 30, 1998 ................</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56,364,839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564</w:t>
            </w:r>
          </w:p>
        </w:tc>
        <w:tc>
          <w:tcPr>
            <w:tcW w:w="6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492,109</w:t>
            </w:r>
          </w:p>
        </w:tc>
        <w:tc>
          <w:tcPr>
            <w:tcW w:w="17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(963,295)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options exercised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354,758</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1,605</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Employee stock purchases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48,748</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968</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48,631</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1,070</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401(k) match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74,981</w:t>
            </w:r>
          </w:p>
        </w:tc>
        <w:tc>
          <w:tcPr>
            <w:tcW w:w="30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acquired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(4,709,698)</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(31,336)</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retired ..............</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(5,549,381)</w:t>
            </w:r>
          </w:p>
        </w:tc>
        <w:tc>
          <w:tcPr>
            <w:tcW w:w="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66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(33,610)</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5,549,381</w:t>
            </w:r>
          </w:p>
        </w:tc>
        <w:tc>
          <w:tcPr>
            <w:tcW w:w="300" w:type="dxa"/>
            <w:vAlign w:val="bottom"/>
          </w:tcPr>
          <w:p>
            <w:pPr>
              <w:spacing w:after="0"/>
              <w:rPr>
                <w:sz w:val="14"/>
                <w:szCs w:val="14"/>
                <w:color w:val="auto"/>
              </w:rPr>
            </w:pPr>
          </w:p>
        </w:tc>
        <w:tc>
          <w:tcPr>
            <w:tcW w:w="9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33,665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acquisition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537,314</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17,995</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stock options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1,318</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1999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51,756,278</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518</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480,385</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 options and warrants exercised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1,795,785</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35,224</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99,010</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2,285</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36,226</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1,059</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acquisition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4,713,736</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239,447</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restricted stock ........</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13,000</w:t>
            </w:r>
          </w:p>
        </w:tc>
        <w:tc>
          <w:tcPr>
            <w:tcW w:w="3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333</w:t>
            </w:r>
          </w:p>
        </w:tc>
        <w:tc>
          <w:tcPr>
            <w:tcW w:w="1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24"/>
                <w:szCs w:val="24"/>
                <w:color w:val="auto"/>
              </w:rPr>
            </w:pP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500" w:type="dxa"/>
            <w:vAlign w:val="bottom"/>
          </w:tcPr>
          <w:p>
            <w:pPr>
              <w:ind w:left="100"/>
              <w:spacing w:after="0"/>
              <w:rPr>
                <w:sz w:val="20"/>
                <w:szCs w:val="20"/>
                <w:color w:val="auto"/>
              </w:rPr>
            </w:pPr>
            <w:r>
              <w:rPr>
                <w:rFonts w:ascii="Courier New" w:cs="Courier New" w:eastAsia="Courier New" w:hAnsi="Courier New"/>
                <w:sz w:val="15"/>
                <w:szCs w:val="15"/>
                <w:color w:val="auto"/>
              </w:rPr>
              <w:t>Tax benefit associated with exercise</w:t>
            </w: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13,159</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2000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58,414,035</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584</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771,892</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loss .............................</w:t>
            </w: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24"/>
                <w:szCs w:val="24"/>
                <w:color w:val="auto"/>
              </w:rPr>
            </w:pP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Stock options and warrants exercised .</w:t>
            </w:r>
          </w:p>
        </w:tc>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1,369,885</w:t>
            </w:r>
          </w:p>
        </w:tc>
        <w:tc>
          <w:tcPr>
            <w:tcW w:w="30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22,609</w:t>
            </w:r>
          </w:p>
        </w:tc>
        <w:tc>
          <w:tcPr>
            <w:tcW w:w="17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24"/>
                <w:szCs w:val="24"/>
                <w:color w:val="auto"/>
              </w:rPr>
            </w:pP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92,721</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3,623</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51,834</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2,487</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acquisition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27,000,000</w:t>
            </w:r>
          </w:p>
        </w:tc>
        <w:tc>
          <w:tcPr>
            <w:tcW w:w="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1,601,723</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 ...............</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17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18,623</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2001 ................</w:t>
            </w: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86,928,475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869</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$ 2,420,957</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tcPr>
          <w:p>
            <w:pPr>
              <w:spacing w:after="0"/>
              <w:rPr>
                <w:sz w:val="14"/>
                <w:szCs w:val="14"/>
                <w:color w:val="auto"/>
              </w:rPr>
            </w:pPr>
          </w:p>
        </w:tc>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UNEARNED</w:t>
            </w:r>
          </w:p>
        </w:tc>
        <w:tc>
          <w:tcPr>
            <w:tcW w:w="18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ACCUMULATED</w:t>
            </w:r>
          </w:p>
        </w:tc>
        <w:tc>
          <w:tcPr>
            <w:tcW w:w="1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500" w:type="dxa"/>
            <w:vAlign w:val="bottom"/>
          </w:tcPr>
          <w:p>
            <w:pPr>
              <w:spacing w:after="0"/>
              <w:rPr>
                <w:sz w:val="14"/>
                <w:szCs w:val="14"/>
                <w:color w:val="auto"/>
              </w:rPr>
            </w:pPr>
          </w:p>
        </w:tc>
        <w:tc>
          <w:tcPr>
            <w:tcW w:w="168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COMPENSATION</w:t>
            </w:r>
          </w:p>
        </w:tc>
        <w:tc>
          <w:tcPr>
            <w:tcW w:w="18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DEFICIT</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JUNE 30, 1998 ................</w:t>
            </w:r>
          </w:p>
        </w:tc>
        <w:tc>
          <w:tcPr>
            <w:tcW w:w="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(304,457)</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183,854</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10,457</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10,457</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options exercised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1,608</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Employee stock purchases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2,039</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401(k) match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acquired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(31,336)</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retired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acquisition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18,000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stock options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1,318</w:t>
            </w:r>
          </w:p>
        </w:tc>
      </w:tr>
      <w:tr>
        <w:trPr>
          <w:trHeight w:val="168"/>
        </w:trPr>
        <w:tc>
          <w:tcPr>
            <w:tcW w:w="3500" w:type="dxa"/>
            <w:vAlign w:val="bottom"/>
          </w:tcPr>
          <w:p>
            <w:pPr>
              <w:spacing w:after="0"/>
              <w:rPr>
                <w:sz w:val="14"/>
                <w:szCs w:val="14"/>
                <w:color w:val="auto"/>
              </w:rPr>
            </w:pPr>
          </w:p>
        </w:tc>
        <w:tc>
          <w:tcPr>
            <w:tcW w:w="16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BALANCE- JUNE 30, 1999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(294,000)</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186,903</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Net loss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(32,320)</w:t>
            </w:r>
          </w:p>
        </w:tc>
        <w:tc>
          <w:tcPr>
            <w:tcW w:w="1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(32,320)</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Stock options and warrants exercised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35,242</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2,286</w:t>
            </w: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 acquisition .............</w:t>
            </w:r>
          </w:p>
        </w:tc>
        <w:tc>
          <w:tcPr>
            <w:tcW w:w="44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239,494</w:t>
            </w:r>
          </w:p>
        </w:tc>
      </w:tr>
      <w:tr>
        <w:trPr>
          <w:trHeight w:val="336"/>
        </w:trPr>
        <w:tc>
          <w:tcPr>
            <w:tcW w:w="3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Issuance of restricted stock ........</w:t>
            </w:r>
          </w:p>
        </w:tc>
        <w:tc>
          <w:tcPr>
            <w:tcW w:w="44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(333)</w:t>
            </w:r>
          </w:p>
        </w:tc>
        <w:tc>
          <w:tcPr>
            <w:tcW w:w="18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5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compensation ...............</w:t>
            </w:r>
          </w:p>
        </w:tc>
        <w:tc>
          <w:tcPr>
            <w:tcW w:w="440" w:type="dxa"/>
            <w:vAlign w:val="bottom"/>
          </w:tcPr>
          <w:p>
            <w:pPr>
              <w:spacing w:after="0"/>
              <w:rPr>
                <w:sz w:val="14"/>
                <w:szCs w:val="14"/>
                <w:color w:val="auto"/>
              </w:rPr>
            </w:pP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w:t>
            </w:r>
          </w:p>
        </w:tc>
        <w:tc>
          <w:tcPr>
            <w:tcW w:w="18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r>
    </w:tbl>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Tax benefit associated with exercise</w:t>
      </w:r>
    </w:p>
    <w:p>
      <w:pPr>
        <w:sectPr>
          <w:pgSz w:w="11900" w:h="16838" w:orient="portrait"/>
          <w:cols w:equalWidth="0" w:num="1">
            <w:col w:w="11200"/>
          </w:cols>
          <w:pgMar w:left="220" w:top="281" w:right="47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 stock options and warrants</w:t>
            </w:r>
          </w:p>
        </w:tc>
        <w:tc>
          <w:tcPr>
            <w:tcW w:w="7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13,159</w:t>
            </w:r>
          </w:p>
        </w:tc>
      </w:tr>
      <w:tr>
        <w:trPr>
          <w:trHeight w:val="168"/>
        </w:trPr>
        <w:tc>
          <w:tcPr>
            <w:tcW w:w="3600" w:type="dxa"/>
            <w:vAlign w:val="bottom"/>
          </w:tcPr>
          <w:p>
            <w:pPr>
              <w:spacing w:after="0"/>
              <w:rPr>
                <w:sz w:val="14"/>
                <w:szCs w:val="14"/>
                <w:color w:val="auto"/>
              </w:rPr>
            </w:pP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JUNE 30, 2000 ................</w:t>
            </w:r>
          </w:p>
        </w:tc>
        <w:tc>
          <w:tcPr>
            <w:tcW w:w="7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(262)</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(326,320)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445,894</w:t>
            </w:r>
          </w:p>
        </w:tc>
      </w:tr>
      <w:tr>
        <w:trPr>
          <w:trHeight w:val="336"/>
        </w:trPr>
        <w:tc>
          <w:tcPr>
            <w:tcW w:w="3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Net loss .............................</w:t>
            </w:r>
          </w:p>
        </w:tc>
        <w:tc>
          <w:tcPr>
            <w:tcW w:w="7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(363,135)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(363,135)</w:t>
            </w:r>
          </w:p>
        </w:tc>
      </w:tr>
      <w:tr>
        <w:trPr>
          <w:trHeight w:val="336"/>
        </w:trPr>
        <w:tc>
          <w:tcPr>
            <w:tcW w:w="3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Stock options and warrants exercised .</w:t>
            </w:r>
          </w:p>
        </w:tc>
        <w:tc>
          <w:tcPr>
            <w:tcW w:w="7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22,623</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Employee stock purchases .............</w:t>
            </w:r>
          </w:p>
        </w:tc>
        <w:tc>
          <w:tcPr>
            <w:tcW w:w="7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3,624</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401(k) match .........................</w:t>
            </w:r>
          </w:p>
        </w:tc>
        <w:tc>
          <w:tcPr>
            <w:tcW w:w="7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2,487</w:t>
            </w:r>
          </w:p>
        </w:tc>
      </w:tr>
      <w:tr>
        <w:trPr>
          <w:trHeight w:val="168"/>
        </w:trPr>
        <w:tc>
          <w:tcPr>
            <w:tcW w:w="3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Issuance of common stock pursuant</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 acquisition .............</w:t>
            </w:r>
          </w:p>
        </w:tc>
        <w:tc>
          <w:tcPr>
            <w:tcW w:w="7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1,601,993</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w:t>
            </w:r>
          </w:p>
        </w:tc>
        <w:tc>
          <w:tcPr>
            <w:tcW w:w="7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77</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benefit associated with exercise</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stock options and warrants</w:t>
            </w:r>
          </w:p>
        </w:tc>
        <w:tc>
          <w:tcPr>
            <w:tcW w:w="78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18,623</w:t>
            </w:r>
          </w:p>
        </w:tc>
      </w:tr>
      <w:tr>
        <w:trPr>
          <w:trHeight w:val="168"/>
        </w:trPr>
        <w:tc>
          <w:tcPr>
            <w:tcW w:w="3600" w:type="dxa"/>
            <w:vAlign w:val="bottom"/>
          </w:tcPr>
          <w:p>
            <w:pPr>
              <w:spacing w:after="0"/>
              <w:rPr>
                <w:sz w:val="14"/>
                <w:szCs w:val="14"/>
                <w:color w:val="auto"/>
              </w:rPr>
            </w:pP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BALANCE- JUNE 30, 2001 ................</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(185)</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(689,455)</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$ 1,732,186</w:t>
            </w:r>
          </w:p>
        </w:tc>
      </w:tr>
      <w:tr>
        <w:trPr>
          <w:trHeight w:val="168"/>
        </w:trPr>
        <w:tc>
          <w:tcPr>
            <w:tcW w:w="3600" w:type="dxa"/>
            <w:vAlign w:val="bottom"/>
          </w:tcPr>
          <w:p>
            <w:pPr>
              <w:spacing w:after="0"/>
              <w:rPr>
                <w:sz w:val="14"/>
                <w:szCs w:val="14"/>
                <w:color w:val="auto"/>
              </w:rPr>
            </w:pPr>
          </w:p>
        </w:tc>
        <w:tc>
          <w:tcPr>
            <w:tcW w:w="16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135"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21</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CHECKFREE CORPORATION AND SUBSIDIARIES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CONSOLIDATED STATEMENTS OF CASH FLOWS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6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 ENDED JUNE 30,</w:t>
            </w:r>
          </w:p>
        </w:tc>
        <w:tc>
          <w:tcPr>
            <w:tcW w:w="1220" w:type="dxa"/>
            <w:vAlign w:val="bottom"/>
          </w:tcPr>
          <w:p>
            <w:pPr>
              <w:spacing w:after="0"/>
              <w:rPr>
                <w:sz w:val="24"/>
                <w:szCs w:val="24"/>
                <w:color w:val="auto"/>
              </w:rPr>
            </w:pPr>
          </w:p>
        </w:tc>
      </w:tr>
      <w:tr>
        <w:trPr>
          <w:trHeight w:val="168"/>
        </w:trPr>
        <w:tc>
          <w:tcPr>
            <w:tcW w:w="6440" w:type="dxa"/>
            <w:vAlign w:val="bottom"/>
          </w:tcPr>
          <w:p>
            <w:pPr>
              <w:spacing w:after="0"/>
              <w:rPr>
                <w:sz w:val="14"/>
                <w:szCs w:val="14"/>
                <w:color w:val="auto"/>
              </w:rPr>
            </w:pPr>
          </w:p>
        </w:tc>
        <w:tc>
          <w:tcPr>
            <w:tcW w:w="442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1999</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440" w:type="dxa"/>
            <w:vAlign w:val="bottom"/>
          </w:tcPr>
          <w:p>
            <w:pPr>
              <w:spacing w:after="0"/>
              <w:rPr>
                <w:sz w:val="14"/>
                <w:szCs w:val="14"/>
                <w:color w:val="auto"/>
              </w:rPr>
            </w:pP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85"/>
              </w:rPr>
              <w:t>--------------</w:t>
            </w:r>
          </w:p>
        </w:tc>
        <w:tc>
          <w:tcPr>
            <w:tcW w:w="1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10,457</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(32,320)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$(363,135)</w:t>
            </w: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 provided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2587"/>
              <w:spacing w:after="0" w:line="168" w:lineRule="exact"/>
              <w:rPr>
                <w:sz w:val="20"/>
                <w:szCs w:val="20"/>
                <w:color w:val="auto"/>
              </w:rPr>
            </w:pPr>
            <w:r>
              <w:rPr>
                <w:rFonts w:ascii="Courier New" w:cs="Courier New" w:eastAsia="Courier New" w:hAnsi="Courier New"/>
                <w:sz w:val="15"/>
                <w:szCs w:val="15"/>
                <w:color w:val="auto"/>
              </w:rPr>
              <w:t>by (used in) operating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Write off of in-process research and development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Loss on investments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16,077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24,630</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42,830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427,495</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 provision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(11,437)</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(115,362)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854</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(gain) loss on dispositions of assets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(4,576)</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loss on sale of property and equipment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investments- Trading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(10,416)</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(19,002)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(12,369)</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maturities and sales of investments, net- Trading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24,683</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22,608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19,029</w:t>
            </w: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certain assets and liabilities (net of acquisitions and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4267"/>
              <w:spacing w:after="0" w:line="168" w:lineRule="exact"/>
              <w:rPr>
                <w:sz w:val="20"/>
                <w:szCs w:val="20"/>
                <w:color w:val="auto"/>
              </w:rPr>
            </w:pPr>
            <w:r>
              <w:rPr>
                <w:rFonts w:ascii="Courier New" w:cs="Courier New" w:eastAsia="Courier New" w:hAnsi="Courier New"/>
                <w:sz w:val="15"/>
                <w:szCs w:val="15"/>
                <w:color w:val="auto"/>
              </w:rPr>
              <w:t>dispositions):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(6,976)</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(14,499)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(30,510)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expenses and other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1,434</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644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988</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(4,153)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8,926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and other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(2,194)</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20,259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16,808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revenue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1,739</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9,188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 accounts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(17,253)</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1,765</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25,571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21,016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property and software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(40,444)</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(39,495)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(41,701)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 of assets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18,435</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repayment of note receivable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14,882</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Capitalization of software development costs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(8,031)</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(7,576)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business, net of cash acquired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9,152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96,599</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Capitalization of strategic agreement costs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(10,279)</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Purchases of investments- Held to maturity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(1,875)</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(70,796)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(145,997)</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Proceeds from maturities and sales of investments- Held to maturity</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1,006</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9,780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79,041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other investments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(1,881)</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(used in) investing activities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(16,217)</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(108,935)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(26,888)</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Principal payments under capital lease obligations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(3,327)</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(1,495)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Escrow deposit associated with capital lease obligation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(3,637)</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stock options exercised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2,926</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9,721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employee stock purchase plan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1,931</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2,903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4,374</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of treasury stock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(31,336)</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sale of stock and exercise of warrants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25,515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15,703</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Proceeds from issuance of convertible subordinated notes ..........</w:t>
            </w:r>
          </w:p>
        </w:tc>
        <w:tc>
          <w:tcPr>
            <w:tcW w:w="30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166,903</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(33,443)</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203,547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23,170</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EQUIVALENTS ..................................................</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(24,089)</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115,628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(3,952)</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Beginning of period ...............................................</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36,535</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12,446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128,074</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End of period .....................................................</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12,446</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$ 128,074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$ 124,122</w:t>
            </w:r>
          </w:p>
        </w:tc>
      </w:tr>
      <w:tr>
        <w:trPr>
          <w:trHeight w:val="168"/>
        </w:trPr>
        <w:tc>
          <w:tcPr>
            <w:tcW w:w="644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60"/>
          </w:cols>
          <w:pgMar w:left="220" w:top="281" w:right="819"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8" w:lineRule="auto"/>
        <w:rPr>
          <w:sz w:val="20"/>
          <w:szCs w:val="20"/>
          <w:color w:val="auto"/>
        </w:rPr>
      </w:pPr>
      <w:r>
        <w:rPr>
          <w:rFonts w:ascii="Courier New" w:cs="Courier New" w:eastAsia="Courier New" w:hAnsi="Courier New"/>
          <w:sz w:val="15"/>
          <w:szCs w:val="15"/>
          <w:color w:val="auto"/>
        </w:rPr>
        <w:t>AS OF AND FOR THE YEARS ENDED JUNE 30, 1999, 2000 AND 2001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ORGANIZATION - CheckFree Corporation (the "Company") is the parent company of CheckFree Services Corporation ("CFSC"), the principal operating company of the business. In April, 2000, CFSC changed its name from CheckFree Corporation to CheckFree Services Corporation. Following that change, in August 2000, CheckFree Holdings Corporation changed its name to CheckFree Corporation. CFSC was organized in 1981 and is a leading provider of transaction processing services, software and related products to financial institutions and businesses and their customers throughout the United States. See Note 19 for a description of the Company's business segments.</w:t>
      </w:r>
    </w:p>
    <w:p>
      <w:pPr>
        <w:spacing w:after="0" w:line="17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USE OF ESTIMATES - The accompanying consolidated financial statements have been prepared in accordance with accounting principles generally accepted in the United States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CASH AND CASH EQUIVALENTS - The Company considers all highly liquid debt instruments purchased with maturities of three months or less to be cash equivalents.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INVESTMENTS - The Company has certain investments in debt and equity securities that are classified as either available-for-sale, trading or held-to-maturity securities in accordance with Statement of Financial Accounting Standards ("SFAS") 115, "Accounting for Certain Investments in Debt and Equity Securities". At June 30, 2000 and 2001, the Company does not have any investments classified as available-for-sale. Trading securities are carried at market value and unrealized holding gains and losses are included in income. Held-to-maturity securities are carried at amortized cost.</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certain other investments that are accounted for under the cost method. Under the cost method of accounting, investments are carried at cost and are adjusted only for other-than-temporary declines in fair value, distributions of earnings and additional investments.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received equity instruments in connection with agreements with certain partners. In such cases, the Company's initial cost is determined based on the estimated fair value of the equity instruments received. Subsequent changes in the fair value of these equity instruments are accounted for in accordance with the investment policies noted above.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OTHER FINANCIAL INSTRUMENTS - On July 1, 2000, the Company adopted SFAS 133, "Accounting for Derivative Instruments and Hedging Activities," as amended by SFAS 138, "Accounting for Certain Derivative Instruments and Certain Hedging Activities", which requires that all derivative financial instruments be recognized as either assets or liabilities in the balance sheet SFAS 133, as amended, requires the Company to recognize all derivatives on the balance sheet at fair value. Derivatives that are not hedges must be adjusted to fair value through income. If the derivative is a hedge, depending on the nature of the hedge, changes in the fair value of derivatives are either offset against the change in fair value of assets, liabilities, or firm commitments through earnings or recognized in other comprehensive income until the hedged item is recognized in earnings. The ineffective portion of a derivative's change in fair value is immediately recognized in earnings.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Investment Policy currently prohibits the use of derivatives for trading or hedging purposes. Additionally, the Company completed a review of its contracts and determined that they contained no "imbedded derivatives" that require separate reporting and disclosure under SFAS 133, as amended. As such, the adoption of SFAS 133, as amended, did not have a material impact on the Company's financial position or results of operations.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3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CAPITALIZED SOFTWARE COSTS - On July 1, 1999, the Company adopted Statement of Position ("SOP") 98-1, "Accounting for the Costs of Computer Software Developed or Obtained for Internal Use." The Statement distinguishes accounting for costs of computer software developed or obtained for internal use from guidance under SFAS 86, "Accounting for the Costs of Computer Software to Be Sold, Leased, or Otherwise Marketed." The Company determines whether software costs fall under the provisions of SFAS 86 or SOP 98-1 and accounts for them as follows:</w:t>
      </w:r>
    </w:p>
    <w:p>
      <w:pPr>
        <w:spacing w:after="0" w:line="166" w:lineRule="exact"/>
        <w:rPr>
          <w:sz w:val="20"/>
          <w:szCs w:val="20"/>
          <w:color w:val="auto"/>
        </w:rPr>
      </w:pPr>
    </w:p>
    <w:p>
      <w:pPr>
        <w:ind w:left="440" w:right="3239" w:hanging="430"/>
        <w:spacing w:after="0" w:line="255"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SFAS 86-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Capitalized software costs are amortized on a product-by-product basis using the estimated economic life of the product on a straight-line basis over three to five years. Unamortized software development costs in excess of estimated future net revenues from a particular product are written down to estimated net realizable value.</w:t>
      </w:r>
    </w:p>
    <w:p>
      <w:pPr>
        <w:spacing w:after="0" w:line="165" w:lineRule="exact"/>
        <w:rPr>
          <w:rFonts w:ascii="Courier New" w:cs="Courier New" w:eastAsia="Courier New" w:hAnsi="Courier New"/>
          <w:sz w:val="14"/>
          <w:szCs w:val="14"/>
          <w:color w:val="auto"/>
        </w:rPr>
      </w:pPr>
    </w:p>
    <w:p>
      <w:pPr>
        <w:ind w:left="440" w:right="3239" w:hanging="430"/>
        <w:spacing w:after="0" w:line="255" w:lineRule="auto"/>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SOP 98-1- Software costs incurred in the preliminary project stage are expensed as incurred. Software costs incurred after the preliminary project stage is complete, management has committed to the project, and it is probable the software will be used to perform the function intended are capitalized in accordance with SOP 98-1. Capitalized software costs are amortized on a product-by-product basis using the estimated economic life of the product on a straight-line basis over three to five years. Capitalized software costs not expected to be completed and placed in service are written down to estimated net realizable value.</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INTANGIBLE ASSETS - The costs of identified intangible assets are generally amortized on a straight-line basis over periods from 8 months to 10 years. Goodwill is amortized on a straight-line basis over 5 to 10 years. In accordance with SFAS No. 121, "Accounting for the Impairment of Long-Lived Assets and for Long-Lived Assets to Be Disposed Of", the Company periodically reviews long-lived assets, including identifiable intangibles and goodwill related to those assets, to evaluate whether events or changes in circumstances have occurred that would indicate that the carrying amount of the asset may not be recoverable. If this review indicates that the remaining useful life of goodwill or other intangible assets requires revision or that the asset is not recoverable, the carrying amount is reduced by the estimated shortfall of cash flows on a discounted basis.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1"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BASIC AND DILUTED EARNINGS (LOSS) PER SHARE -The Company reports Basic and Diluted Earnings (Loss) Per Share in accordance with the provisions of SFAS 128 "Earnings Per Share". Basic earnings (loss) per common share is determined by dividing income (loss) available to common shareholders by the weighted average number of common shares outstanding. Diluted per-common-share amounts assume the issuance of common stock for all potentially dilutive equivalent shares outstanding.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 - The Company expenses advertising costs as incurred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SOP 97-3, "Reporting on Advertising Costs". Advertising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not significant for the years ended June 30, 1999 and 2000. Advertising</w:t>
      </w:r>
    </w:p>
    <w:p>
      <w:pPr>
        <w:spacing w:after="0" w:line="237" w:lineRule="auto"/>
        <w:rPr>
          <w:sz w:val="20"/>
          <w:szCs w:val="20"/>
          <w:color w:val="auto"/>
        </w:rPr>
      </w:pPr>
      <w:r>
        <w:rPr>
          <w:rFonts w:ascii="Courier New" w:cs="Courier New" w:eastAsia="Courier New" w:hAnsi="Courier New"/>
          <w:sz w:val="15"/>
          <w:szCs w:val="15"/>
          <w:color w:val="auto"/>
        </w:rPr>
        <w:t>expense for the year ended June 30, 2001 was $29,925,000 and includes</w:t>
      </w:r>
    </w:p>
    <w:p>
      <w:pPr>
        <w:spacing w:after="0" w:line="238" w:lineRule="auto"/>
        <w:rPr>
          <w:sz w:val="20"/>
          <w:szCs w:val="20"/>
          <w:color w:val="auto"/>
        </w:rPr>
      </w:pPr>
      <w:r>
        <w:rPr>
          <w:rFonts w:ascii="Courier New" w:cs="Courier New" w:eastAsia="Courier New" w:hAnsi="Courier New"/>
          <w:sz w:val="15"/>
          <w:szCs w:val="15"/>
          <w:color w:val="auto"/>
        </w:rPr>
        <w:t>$25,000,000 provided to Bank of America in connection with the Strategic</w:t>
      </w:r>
    </w:p>
    <w:p>
      <w:pPr>
        <w:spacing w:after="0" w:line="237" w:lineRule="auto"/>
        <w:rPr>
          <w:sz w:val="20"/>
          <w:szCs w:val="20"/>
          <w:color w:val="auto"/>
        </w:rPr>
      </w:pPr>
      <w:r>
        <w:rPr>
          <w:rFonts w:ascii="Courier New" w:cs="Courier New" w:eastAsia="Courier New" w:hAnsi="Courier New"/>
          <w:sz w:val="15"/>
          <w:szCs w:val="15"/>
          <w:color w:val="auto"/>
        </w:rPr>
        <w:t>Agreement described in Note 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COMPREHENSIVE INCOME - Where applicable, the Company reports comprehensive income in accordance with SFAS 130, "Reporting Comprehensive Income." The Statement requires disclosure of total non-shareowner changes in equity and its components. Total non-shareowner changes in equity include all changes in equity during a period except those resulting from investments by and distributions to shareowners. The components of other comprehensive income applicable to the Company would be unrealized holding gains or losses on the Company's available-for-sale securities and certain transactions associated with derivative instruments. There were no available-for-sale securities held or derivative instrument transactions during the years ended June 30, 1999, 2000 and 2001. As a result, there were no components of comprehensive income applicable to the Company during the years ending June 30, 1999, 2000 and 2001.</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BUSINESS SEGMENTS - The Company reports information about its business segments in accordance with SFAS 131, "Disclosures about Segments of an Enterprise and Related Information". The Statement defines how operating segments are determined and requires disclosure of certain financial and descriptive information about a company's operating segments. See Note 19 for the Company's segment information.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FOREIGN CURRENCY TRANSLATION - Effective with the acquisition of BlueGill Technologies, Inc. on April 28, 2000, certain wholly-owned subsidiaries of the Company have foreign operations. The financial statements of these foreign subsidiaries are measured using the US dollar as the functional currency. Assets, liabilities, revenues, and expenses are remeasured using current and historical exchange rates in accordance with SFAS No. 52, "Foreign Currency Translation". Transaction gains and losses resulting from the remeasurement process are included the determination of net income. The net transaction losses for the year ended June 30, 2001 and the period from April 28, 2000 to June 30, 2000 were not significant.</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RECENT ACCOUNTING PRONOUNCEMENTS - On July 20, 2001, the Financial Accounting Standards Board (FASB) issued SFAS 141, "Business Combinations" and SFAS 142, "Goodwill and Other Intangible Assets." SFAS 141 requires all business combinations initiated after June 30, 2001 to be accounted for using the purchase method of accounting. In addition, it requires application of the provisions of SFAS 142 for goodwill and other intangible assets related to any business combinations completed after June 30, 2001, but prior to the adoption date of SFAS 142. SFAS 142 changes the accounting for goodwill and other intangible assets. Upon adoption, goodwill will no longer be subject to amortization over its estimated useful life. Rather, goodwill will be subject to at least an annual assessment for impairment by applying a fair-value-based test. All other acquired intangibles will be separately recognized if the benefit of the intangible asset is obtained through contractual or other legal rights, or if the intangible asset can be sold, transferred, licensed, or exchanged, regardless of the Company's intent to do so. Other intangibles will be amortized over their useful lives.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SFAS 142 becomes effective for the Company on July 1, 2002. The Company is still assessing the impact of all the Statement provisions on its financial position and results of operations, however, based on its review to date, the Company expects the following significant impacts:</w:t>
      </w:r>
    </w:p>
    <w:p>
      <w:pPr>
        <w:spacing w:after="0" w:line="175" w:lineRule="exact"/>
        <w:rPr>
          <w:sz w:val="20"/>
          <w:szCs w:val="20"/>
          <w:color w:val="auto"/>
        </w:rPr>
      </w:pPr>
    </w:p>
    <w:p>
      <w:pPr>
        <w:ind w:left="880" w:right="3319" w:hanging="433"/>
        <w:spacing w:after="0" w:line="235"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the Company will be required to reclassify approximately $2 million of unamortized workforce in place intangible assets into goodwill.</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1" w:right="1440"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left="880" w:right="3499" w:hanging="433"/>
        <w:spacing w:after="0" w:line="236" w:lineRule="auto"/>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adoption, the balance of goodwill and workforce in place is expected to be $624 million and the Company will discontinue amortizing these assets at that time. The resulting reduction in amortization expense is estimated at approximately $200 million for each of the Company's fiscal years 2003 and 2004, and approximately $192 million for the Company's 2005 fiscal year.</w:t>
      </w:r>
    </w:p>
    <w:p>
      <w:pPr>
        <w:spacing w:after="0" w:line="174" w:lineRule="exact"/>
        <w:rPr>
          <w:rFonts w:ascii="Courier New" w:cs="Courier New" w:eastAsia="Courier New" w:hAnsi="Courier New"/>
          <w:sz w:val="15"/>
          <w:szCs w:val="15"/>
          <w:color w:val="auto"/>
        </w:rPr>
      </w:pPr>
    </w:p>
    <w:p>
      <w:pPr>
        <w:ind w:left="880" w:right="3239" w:hanging="433"/>
        <w:spacing w:after="0" w:line="254" w:lineRule="auto"/>
        <w:tabs>
          <w:tab w:leader="none" w:pos="8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be required to perform a transitional impairment test as of July 1, 2002. This impairment test will require the Company to</w:t>
      </w:r>
    </w:p>
    <w:p>
      <w:pPr>
        <w:ind w:left="880" w:right="3239" w:firstLine="4"/>
        <w:spacing w:after="0" w:line="254" w:lineRule="auto"/>
        <w:tabs>
          <w:tab w:leader="none" w:pos="123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its reporting units, (2) determine the carrying value of each reporting unit by assigning assets and liabilities, including existing goodwill and intangible assets, to those reporting units, and</w:t>
      </w:r>
    </w:p>
    <w:p>
      <w:pPr>
        <w:spacing w:after="0" w:line="1" w:lineRule="exact"/>
        <w:rPr>
          <w:rFonts w:ascii="Courier New" w:cs="Courier New" w:eastAsia="Courier New" w:hAnsi="Courier New"/>
          <w:sz w:val="14"/>
          <w:szCs w:val="14"/>
          <w:color w:val="auto"/>
        </w:rPr>
      </w:pPr>
    </w:p>
    <w:p>
      <w:pPr>
        <w:ind w:left="880" w:right="3239" w:firstLine="4"/>
        <w:spacing w:after="0" w:line="236" w:lineRule="auto"/>
        <w:tabs>
          <w:tab w:leader="none" w:pos="123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fair value of each reporting unit. If the carrying value of any reporting unit exceeds its fair value, then the amount of any goodwill impairment will be determined through a fair value analysis of each of the assigned assets (excluding goodwill) and liabilities.</w:t>
      </w:r>
    </w:p>
    <w:p>
      <w:pPr>
        <w:spacing w:after="0" w:line="174" w:lineRule="exact"/>
        <w:rPr>
          <w:sz w:val="20"/>
          <w:szCs w:val="20"/>
          <w:color w:val="auto"/>
        </w:rPr>
      </w:pPr>
    </w:p>
    <w:p>
      <w:pPr>
        <w:ind w:left="880" w:right="3399"/>
        <w:spacing w:after="0" w:line="236" w:lineRule="auto"/>
        <w:rPr>
          <w:sz w:val="20"/>
          <w:szCs w:val="20"/>
          <w:color w:val="auto"/>
        </w:rPr>
      </w:pPr>
      <w:r>
        <w:rPr>
          <w:rFonts w:ascii="Courier New" w:cs="Courier New" w:eastAsia="Courier New" w:hAnsi="Courier New"/>
          <w:sz w:val="15"/>
          <w:szCs w:val="15"/>
          <w:color w:val="auto"/>
        </w:rPr>
        <w:t>At this time, the Company does not anticipate any charge resulting from the transitional impairment test, however, due to the extensiveness of the efforts involved, that test has not yet been performed. Under the provisions of SFAS 142, the Company is required to complete the test before December 31, 2002.</w:t>
      </w:r>
    </w:p>
    <w:p>
      <w:pPr>
        <w:spacing w:after="0" w:line="174" w:lineRule="exact"/>
        <w:rPr>
          <w:sz w:val="20"/>
          <w:szCs w:val="20"/>
          <w:color w:val="auto"/>
        </w:rPr>
      </w:pPr>
    </w:p>
    <w:p>
      <w:pPr>
        <w:ind w:left="880" w:right="3239" w:hanging="433"/>
        <w:spacing w:after="0" w:line="236" w:lineRule="auto"/>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transitional impairment test, the Company's goodwill balances will be subject to annual impairment tests using the same process described above. If any impairment is indicated as a result of the annual test, an impairment charge would be recorded as part of income from operations.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RECLASSIFICATIONS - Certain amounts in the prior years' financial statements have been reclassified to conform to the 2001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1999, the SEC issued Staff Accounting Bulletin ("SAB") No. 101, "Revenue Recognition in Financial Statements." The SAB provides guidance on the recognition, presentation and disclosure of revenue in financial statements filed with the SEC. Although SAB No. 101 does not change any of the existing accounting standards on revenue recognition, it draws upon existing rules and explains how the SEC staff applies these rules, by analogy, to other transactions that existing rules do not specifically address. SAB No. 101, as amended by SAB No. 101B, became effective for the fourth quarter of the Company's 2001 fiscal year. The adoption of SAB No. 101 did not have an impact on the Company's results of operations or financial position.</w:t>
      </w:r>
    </w:p>
    <w:p>
      <w:pPr>
        <w:spacing w:after="0" w:line="165" w:lineRule="exact"/>
        <w:rPr>
          <w:sz w:val="20"/>
          <w:szCs w:val="20"/>
          <w:color w:val="auto"/>
        </w:rPr>
      </w:pPr>
    </w:p>
    <w:p>
      <w:pPr>
        <w:ind w:left="440" w:right="3239" w:hanging="430"/>
        <w:spacing w:after="0" w:line="235"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5"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$11,846,000, $21,485,000 and $30,186,000 for the years ended June 30, 1999, 2000 and 2001, respectively.</w:t>
      </w:r>
    </w:p>
    <w:p>
      <w:pPr>
        <w:spacing w:after="0" w:line="175"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Fees - The Company recognizes revenue on software transactions in accordance with SOP 97-2,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5"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Fees - Upon receipt of payment, maintenance fee revenue is recognized ratably over the term of the related contractual support period, generally 12 months.</w:t>
      </w:r>
    </w:p>
    <w:p>
      <w:pPr>
        <w:spacing w:after="0" w:line="173" w:lineRule="exact"/>
        <w:rPr>
          <w:rFonts w:ascii="Courier New" w:cs="Courier New" w:eastAsia="Courier New" w:hAnsi="Courier New"/>
          <w:sz w:val="15"/>
          <w:szCs w:val="15"/>
          <w:color w:val="auto"/>
        </w:rPr>
      </w:pPr>
    </w:p>
    <w:p>
      <w:pPr>
        <w:ind w:left="440" w:right="3679" w:hanging="430"/>
        <w:spacing w:after="0" w:line="235" w:lineRule="auto"/>
        <w:tabs>
          <w:tab w:leader="none" w:pos="4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 Other revenue consists primarily of consulting and training services. Consulting revenue is recognized principally on a percentage-of-completion basis and training revenue is recognized upon delivery of the related service.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1"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our allowance for doubtful accounts.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CLASSIFICATION</w:t>
      </w:r>
    </w:p>
    <w:p>
      <w:pPr>
        <w:spacing w:after="0" w:line="173" w:lineRule="exact"/>
        <w:rPr>
          <w:sz w:val="20"/>
          <w:szCs w:val="20"/>
          <w:color w:val="auto"/>
        </w:rPr>
      </w:pPr>
    </w:p>
    <w:p>
      <w:pPr>
        <w:ind w:left="440" w:right="323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Processing, Servicing and Support - Processing, servicing and support costs consist primarily of data processing costs, customer care and technical support, and third party transaction fees, which consist primarily of ACH transaction fees.</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 Research and development expenses consist primarily of salaries and consulting fees paid to software engineers and business development personnel, and are reported net of applicable capitalized development costs.</w:t>
      </w:r>
    </w:p>
    <w:p>
      <w:pPr>
        <w:spacing w:after="0" w:line="175"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and Marketing - Sales and marketing expenses consist primarily of salaries and commissions of sales employees, public relations and advertising costs, customer acquisition fees and royalties paid to distribution partners.</w:t>
      </w:r>
    </w:p>
    <w:p>
      <w:pPr>
        <w:spacing w:after="0" w:line="17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and Administrative - General and administrative expenses consist primarily of salaries for administrative, executive, finance, and human resource employees.</w:t>
      </w:r>
    </w:p>
    <w:p>
      <w:pPr>
        <w:spacing w:after="0" w:line="173" w:lineRule="exact"/>
        <w:rPr>
          <w:rFonts w:ascii="Courier New" w:cs="Courier New" w:eastAsia="Courier New" w:hAnsi="Courier New"/>
          <w:sz w:val="15"/>
          <w:szCs w:val="15"/>
          <w:color w:val="auto"/>
        </w:rPr>
      </w:pPr>
    </w:p>
    <w:p>
      <w:pPr>
        <w:jc w:val="both"/>
        <w:ind w:left="440" w:right="4199" w:hanging="430"/>
        <w:spacing w:after="0" w:line="235" w:lineRule="auto"/>
        <w:tabs>
          <w:tab w:leader="none" w:pos="4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 Depreciation and amortization on capitalized assets is recorded on a straight-line basis over the appropriate useful lives.</w:t>
      </w:r>
    </w:p>
    <w:p>
      <w:pPr>
        <w:spacing w:after="0" w:line="173" w:lineRule="exact"/>
        <w:rPr>
          <w:rFonts w:ascii="Courier New" w:cs="Courier New" w:eastAsia="Courier New" w:hAnsi="Courier New"/>
          <w:sz w:val="15"/>
          <w:szCs w:val="15"/>
          <w:color w:val="auto"/>
        </w:rPr>
      </w:pPr>
    </w:p>
    <w:p>
      <w:pPr>
        <w:ind w:left="440" w:right="3239" w:hanging="430"/>
        <w:spacing w:after="0" w:line="255" w:lineRule="auto"/>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ACQUISITIONS AND DISPOSITIONS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September 1, 2000, the Company acquired MSFDC, L.L.C. (TransPoint) for a total of $1.4 billion, consisting of 17,000,000 shares of common stock valued at $1.4 billion and $2 million of acquisition costs. The acquisition was treated as a purchase for accounting purposes, and, accordingly, the assets and liabilities were recorded based on their fair values at the date of the acquisition. The values ascribed to acquired intanbiles assets and their respective future lives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INTANGIBLE</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USEFUL</w:t>
            </w:r>
          </w:p>
        </w:tc>
      </w:tr>
      <w:tr>
        <w:trPr>
          <w:trHeight w:val="168"/>
        </w:trPr>
        <w:tc>
          <w:tcPr>
            <w:tcW w:w="4300" w:type="dxa"/>
            <w:vAlign w:val="bottom"/>
          </w:tcPr>
          <w:p>
            <w:pPr>
              <w:spacing w:after="0"/>
              <w:rPr>
                <w:sz w:val="14"/>
                <w:szCs w:val="14"/>
                <w:color w:val="auto"/>
              </w:rPr>
            </w:pPr>
          </w:p>
        </w:tc>
        <w:tc>
          <w:tcPr>
            <w:tcW w:w="13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ASSET</w:t>
            </w:r>
          </w:p>
        </w:tc>
        <w:tc>
          <w:tcPr>
            <w:tcW w:w="9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LIFE</w:t>
            </w:r>
          </w:p>
        </w:tc>
      </w:tr>
      <w:tr>
        <w:trPr>
          <w:trHeight w:val="168"/>
        </w:trPr>
        <w:tc>
          <w:tcPr>
            <w:tcW w:w="43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300" w:type="dxa"/>
            <w:vAlign w:val="bottom"/>
          </w:tcPr>
          <w:p>
            <w:pPr>
              <w:spacing w:after="0"/>
              <w:rPr>
                <w:sz w:val="14"/>
                <w:szCs w:val="14"/>
                <w:color w:val="auto"/>
              </w:rPr>
            </w:pPr>
          </w:p>
        </w:tc>
        <w:tc>
          <w:tcPr>
            <w:tcW w:w="196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3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$780,545</w:t>
            </w:r>
          </w:p>
        </w:tc>
        <w:tc>
          <w:tcPr>
            <w:tcW w:w="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Strategic agreements ..........................</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495,000</w:t>
            </w:r>
          </w:p>
        </w:tc>
        <w:tc>
          <w:tcPr>
            <w:tcW w:w="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Existing product technology ...................</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209,300</w:t>
            </w:r>
          </w:p>
        </w:tc>
        <w:tc>
          <w:tcPr>
            <w:tcW w:w="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list .................................</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29,000</w:t>
            </w:r>
          </w:p>
        </w:tc>
        <w:tc>
          <w:tcPr>
            <w:tcW w:w="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yrs</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Tradename .....................................</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28,300</w:t>
            </w:r>
          </w:p>
        </w:tc>
        <w:tc>
          <w:tcPr>
            <w:tcW w:w="600" w:type="dxa"/>
            <w:vAlign w:val="bottom"/>
          </w:tcPr>
          <w:p>
            <w:pPr>
              <w:ind w:left="300"/>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yr</w:t>
            </w:r>
          </w:p>
        </w:tc>
      </w:tr>
    </w:tbl>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Amortization of intangible assets is on a straight-line basis over the assets' respective useful life. TransPoint's operations are included in the consolidated statements of operations from the date of acquisition.</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27</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the acquisition date, TransPoint had four technologies under development that had not demonstrated technological feasibility. These technologies include Biller Integration System and Communications, Service Center, Delivery Applications and Payment Systems Interface. The in-process technologies have no alternative use in the event that the proposed technologies do not prove to be feasible. These development efforts fall within the definition of In-Process Research and Development ("IPR&amp;D") contained in SFAS No. 2.</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BIS / COMMUNICATIONS TECHNOLOGY - The Biller Integration System ("BIS") is provided to the biller to run on-site and supplies the web-hosting for the biller. The BIS helps implement the templates and develop the look and feel for marketing components. The BIS also includes automation interfaces, EI interfaces, and the console. The following features of the BIS / Communications technology were under development:</w:t>
      </w:r>
    </w:p>
    <w:p>
      <w:pPr>
        <w:spacing w:after="0" w:line="175" w:lineRule="exact"/>
        <w:rPr>
          <w:sz w:val="20"/>
          <w:szCs w:val="20"/>
          <w:color w:val="auto"/>
        </w:rPr>
      </w:pPr>
    </w:p>
    <w:p>
      <w:pPr>
        <w:ind w:left="880" w:right="3499" w:hanging="433"/>
        <w:spacing w:after="0" w:line="258" w:lineRule="auto"/>
        <w:tabs>
          <w:tab w:leader="none" w:pos="8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Remote access or the Remote BIS Console, which will allow Biller operators and administrators to perform selected gateway operations from remote machines using a Web-based interface to the BIS;</w:t>
      </w:r>
    </w:p>
    <w:p>
      <w:pPr>
        <w:spacing w:after="0" w:line="161" w:lineRule="exact"/>
        <w:rPr>
          <w:rFonts w:ascii="Courier New" w:cs="Courier New" w:eastAsia="Courier New" w:hAnsi="Courier New"/>
          <w:sz w:val="14"/>
          <w:szCs w:val="14"/>
          <w:color w:val="auto"/>
        </w:rPr>
      </w:pPr>
    </w:p>
    <w:p>
      <w:pPr>
        <w:ind w:left="880" w:right="3759" w:hanging="433"/>
        <w:spacing w:after="0" w:line="235" w:lineRule="auto"/>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enhancements, which are fixes to the BIS system to correct incompatibilities with international currency and date settings; and</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Platform updates that will support installation of the BIS gateway on the Windows 2000 Server platform.</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SERVICE CENTER TECHNOLOGY - The Service Center connects the TransPoint servers to the BIS on the biller site, the automated clearinghouse, other third-party servers, and the individual consumer. The Service Center includes the database and operational functions as well. The following features of the Service Center were under development:</w:t>
      </w:r>
    </w:p>
    <w:p>
      <w:pPr>
        <w:spacing w:after="0" w:line="174" w:lineRule="exact"/>
        <w:rPr>
          <w:sz w:val="20"/>
          <w:szCs w:val="20"/>
          <w:color w:val="auto"/>
        </w:rPr>
      </w:pPr>
    </w:p>
    <w:p>
      <w:pPr>
        <w:ind w:left="880" w:right="3239" w:hanging="433"/>
        <w:spacing w:after="0" w:line="256" w:lineRule="auto"/>
        <w:tabs>
          <w:tab w:leader="none" w:pos="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E-mail notification currently uses an internal Microsoft server. The system is being modified to incorporate the industry standard allowing the use of any server environment to send data over the Internet. In addition, service-generated e-mail messages will be in HTML format (rather than plain text) for a richer customer experience.</w:t>
      </w:r>
    </w:p>
    <w:p>
      <w:pPr>
        <w:spacing w:after="0" w:line="163" w:lineRule="exact"/>
        <w:rPr>
          <w:rFonts w:ascii="Courier New" w:cs="Courier New" w:eastAsia="Courier New" w:hAnsi="Courier New"/>
          <w:sz w:val="14"/>
          <w:szCs w:val="14"/>
          <w:color w:val="auto"/>
        </w:rPr>
      </w:pPr>
    </w:p>
    <w:p>
      <w:pPr>
        <w:ind w:left="880" w:right="3239" w:hanging="433"/>
        <w:spacing w:after="0" w:line="261" w:lineRule="auto"/>
        <w:tabs>
          <w:tab w:leader="none" w:pos="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SysAdmiral upgrade, in which the installation scripts for the service center are being upgraded to support the latest version of SysAdmiral.</w:t>
      </w:r>
    </w:p>
    <w:p>
      <w:pPr>
        <w:spacing w:after="0" w:line="160"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DELIVERY APPLICATIONS - The Delivery Applications generate the actual web pages through its user interface. This technology creates not only the TransPoint consumer site, but also the operations, corporate, and support sites. The following features of the Delivery Applications were under development:</w:t>
      </w:r>
    </w:p>
    <w:p>
      <w:pPr>
        <w:spacing w:after="0" w:line="164" w:lineRule="exact"/>
        <w:rPr>
          <w:sz w:val="20"/>
          <w:szCs w:val="20"/>
          <w:color w:val="auto"/>
        </w:rPr>
      </w:pPr>
    </w:p>
    <w:p>
      <w:pPr>
        <w:ind w:left="880" w:right="3319" w:hanging="433"/>
        <w:spacing w:after="0" w:line="236"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Passport Integration / Authorization, in which the security and authentication systems of the TransPoint service will be modified to use Microsoft Passport for user authentication. In addition, the user interface will be modified to allow migration of existing user accounts to Microsoft Passport.</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User Registration Improvement, in which consumer registration is being modified significantly, with the goal of retaining new consumers. Changes include sending consumers to the Microsoft Passport Web site to obtain a Passport account, and condensing the number of screens in registration. In addition, new consumers are permitted greater access to the system and features as they await identity and payment account verification.</w:t>
      </w:r>
    </w:p>
    <w:p>
      <w:pPr>
        <w:spacing w:after="0" w:line="175" w:lineRule="exact"/>
        <w:rPr>
          <w:rFonts w:ascii="Courier New" w:cs="Courier New" w:eastAsia="Courier New" w:hAnsi="Courier New"/>
          <w:sz w:val="15"/>
          <w:szCs w:val="15"/>
          <w:color w:val="auto"/>
        </w:rPr>
      </w:pPr>
    </w:p>
    <w:p>
      <w:pPr>
        <w:ind w:left="880" w:right="3759" w:hanging="433"/>
        <w:spacing w:after="0" w:line="258"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Payments, whereby consumers will now be able to set up automatic "pay anyone" payments recurring at set intervals, and automatic rules-based handling of electronic bills by payee.</w:t>
      </w:r>
    </w:p>
    <w:p>
      <w:pPr>
        <w:spacing w:after="0" w:line="161" w:lineRule="exact"/>
        <w:rPr>
          <w:rFonts w:ascii="Courier New" w:cs="Courier New" w:eastAsia="Courier New" w:hAnsi="Courier New"/>
          <w:sz w:val="14"/>
          <w:szCs w:val="14"/>
          <w:color w:val="auto"/>
        </w:rPr>
      </w:pPr>
    </w:p>
    <w:p>
      <w:pPr>
        <w:ind w:left="880" w:right="3399" w:hanging="433"/>
        <w:spacing w:after="0" w:line="256" w:lineRule="auto"/>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Batch Enabling, whereby biller operators and administrators will now be able to enable statement batches directly from the TransPoint Operations site. A new "Enable Batch" button will be added to the Preview Statements screen on the TransPoint Operations site.</w:t>
      </w:r>
    </w:p>
    <w:p>
      <w:pPr>
        <w:spacing w:after="0" w:line="164" w:lineRule="exact"/>
        <w:rPr>
          <w:rFonts w:ascii="Courier New" w:cs="Courier New" w:eastAsia="Courier New" w:hAnsi="Courier New"/>
          <w:sz w:val="14"/>
          <w:szCs w:val="14"/>
          <w:color w:val="auto"/>
        </w:rPr>
      </w:pPr>
    </w:p>
    <w:p>
      <w:pPr>
        <w:ind w:left="880" w:right="3319" w:hanging="433"/>
        <w:spacing w:after="0" w:line="235"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Upgrades, in which a variety of user-interface upgrades are underway to improve performance of the reporting subsystem, improve the reporting content available to billers, and increase the overall reliability of the TransPoint system.</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281" w:right="1440" w:bottom="1440" w:gutter="0" w:footer="0" w:header="0"/>
          <w:type w:val="continuous"/>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0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left="880" w:right="3399" w:hanging="433"/>
        <w:spacing w:after="0" w:line="235" w:lineRule="auto"/>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Center User Interface Improvements, which includes a variety of user interface improvements to fix minor UI issues, enhance accessibility options, and improve overall site usability.</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PAYMENT/INTERFACE - The Payment Interface technology connects the Service Center to the ACH, Original Depository Financial Institutions, and other third-party servers as well as processing all payment and settlement information. The following features of the Payment / Interface technology were under development:</w:t>
      </w:r>
    </w:p>
    <w:p>
      <w:pPr>
        <w:spacing w:after="0" w:line="164" w:lineRule="exact"/>
        <w:rPr>
          <w:sz w:val="20"/>
          <w:szCs w:val="20"/>
          <w:color w:val="auto"/>
        </w:rPr>
      </w:pPr>
    </w:p>
    <w:p>
      <w:pPr>
        <w:ind w:left="880" w:right="3239" w:hanging="433"/>
        <w:spacing w:after="0" w:line="235"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Money Download, in which this feature is being rearchitected and reimplemented in its entirety to correct incompatibilities between the existing Microsoft Money download feature and the newest version of Microsoft Money.</w:t>
      </w:r>
    </w:p>
    <w:p>
      <w:pPr>
        <w:spacing w:after="0" w:line="175"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Card Payments, which provides code that allows the TransPoint system to support the use of credit cards for payment settlement.</w:t>
      </w:r>
    </w:p>
    <w:p>
      <w:pPr>
        <w:spacing w:after="0" w:line="160"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73" w:lineRule="exact"/>
        <w:rPr>
          <w:sz w:val="20"/>
          <w:szCs w:val="20"/>
          <w:color w:val="auto"/>
        </w:rPr>
      </w:pPr>
    </w:p>
    <w:p>
      <w:pPr>
        <w:ind w:left="880" w:right="3239" w:hanging="433"/>
        <w:spacing w:after="0" w:line="237"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Technologically Feasible. - The acquired IPR&amp;D had not demonstrated technological or commercial feasibility as of the transaction date for TransPoint. Significant risks exist because TransPoint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IPR&amp;D project would require a significant amount of time and cost in order to modify for the Company's use in the marketplace. Should the proposed technology fail to become viable, it is unlikely that the Company would realize any value from the sale of the technology to another party.</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Alternative Future Use. - The acquired IPR&amp;D consists of TransPoint's work to date on its products. The products are very specific to the tasks and markets for which it is intended. As is typically the case with software, there are no alternative uses for the in-process work in the event that the product does not become feasible for the Company. The development effort for the acquired IPR&amp;D does not possess an alternative future use for the Company under the terms of SFAS No. 2.</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If the TransPoint project underway fails, there will be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the Company.</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acquired (as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ESTIMATED</w:t>
            </w:r>
          </w:p>
        </w:tc>
        <w:tc>
          <w:tcPr>
            <w:tcW w:w="1840" w:type="dxa"/>
            <w:vAlign w:val="bottom"/>
          </w:tcPr>
          <w:p>
            <w:pPr>
              <w:spacing w:after="0"/>
              <w:rPr>
                <w:sz w:val="14"/>
                <w:szCs w:val="14"/>
                <w:color w:val="auto"/>
              </w:rPr>
            </w:pPr>
          </w:p>
        </w:tc>
        <w:tc>
          <w:tcPr>
            <w:tcW w:w="12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EXPECTED</w:t>
            </w: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7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STAGE OF</w:t>
            </w:r>
          </w:p>
        </w:tc>
        <w:tc>
          <w:tcPr>
            <w:tcW w:w="1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ESTIMATED</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COST TO</w:t>
            </w:r>
          </w:p>
        </w:tc>
        <w:tc>
          <w:tcPr>
            <w:tcW w:w="10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76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COMPLETION</w:t>
            </w: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COMPLETION DATE</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COMPLETE</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VALUATION</w:t>
            </w:r>
          </w:p>
        </w:tc>
      </w:tr>
      <w:tr>
        <w:trPr>
          <w:trHeight w:val="168"/>
        </w:trPr>
        <w:tc>
          <w:tcPr>
            <w:tcW w:w="2800" w:type="dxa"/>
            <w:vAlign w:val="bottom"/>
          </w:tcPr>
          <w:p>
            <w:pPr>
              <w:spacing w:after="0"/>
              <w:rPr>
                <w:sz w:val="14"/>
                <w:szCs w:val="14"/>
                <w:color w:val="auto"/>
              </w:rPr>
            </w:pP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w w:val="96"/>
              </w:rPr>
              <w:t>(IN THOUSANDS)</w:t>
            </w:r>
          </w:p>
        </w:tc>
      </w:tr>
      <w:tr>
        <w:trPr>
          <w:trHeight w:val="336"/>
        </w:trPr>
        <w:tc>
          <w:tcPr>
            <w:tcW w:w="2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BIS / Communications .........</w:t>
            </w:r>
          </w:p>
        </w:tc>
        <w:tc>
          <w:tcPr>
            <w:tcW w:w="1760" w:type="dxa"/>
            <w:vAlign w:val="bottom"/>
          </w:tcPr>
          <w:p>
            <w:pPr>
              <w:jc w:val="center"/>
              <w:ind w:right="7"/>
              <w:spacing w:after="0"/>
              <w:rPr>
                <w:sz w:val="20"/>
                <w:szCs w:val="20"/>
                <w:color w:val="auto"/>
              </w:rPr>
            </w:pPr>
            <w:r>
              <w:rPr>
                <w:rFonts w:ascii="Courier New" w:cs="Courier New" w:eastAsia="Courier New" w:hAnsi="Courier New"/>
                <w:sz w:val="15"/>
                <w:szCs w:val="15"/>
                <w:color w:val="auto"/>
              </w:rPr>
              <w:t>80%</w:t>
            </w:r>
          </w:p>
        </w:tc>
        <w:tc>
          <w:tcPr>
            <w:tcW w:w="1840" w:type="dxa"/>
            <w:vAlign w:val="bottom"/>
          </w:tcPr>
          <w:p>
            <w:pPr>
              <w:ind w:left="260"/>
              <w:spacing w:after="0"/>
              <w:rPr>
                <w:sz w:val="20"/>
                <w:szCs w:val="20"/>
                <w:color w:val="auto"/>
              </w:rPr>
            </w:pPr>
            <w:r>
              <w:rPr>
                <w:rFonts w:ascii="Courier New" w:cs="Courier New" w:eastAsia="Courier New" w:hAnsi="Courier New"/>
                <w:sz w:val="15"/>
                <w:szCs w:val="15"/>
                <w:color w:val="auto"/>
              </w:rPr>
              <w:t>October 2000</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100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$ 1,200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Service Center ...............</w:t>
            </w:r>
          </w:p>
        </w:tc>
        <w:tc>
          <w:tcPr>
            <w:tcW w:w="17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80%</w:t>
            </w:r>
          </w:p>
        </w:tc>
        <w:tc>
          <w:tcPr>
            <w:tcW w:w="1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October 2000</w:t>
            </w:r>
          </w:p>
        </w:tc>
        <w:tc>
          <w:tcPr>
            <w:tcW w:w="6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121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5,900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Delivery Applications ........</w:t>
            </w:r>
          </w:p>
        </w:tc>
        <w:tc>
          <w:tcPr>
            <w:tcW w:w="17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80%</w:t>
            </w:r>
          </w:p>
        </w:tc>
        <w:tc>
          <w:tcPr>
            <w:tcW w:w="1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October 2000</w:t>
            </w:r>
          </w:p>
        </w:tc>
        <w:tc>
          <w:tcPr>
            <w:tcW w:w="6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396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Payment / Interface ..........</w:t>
            </w:r>
          </w:p>
        </w:tc>
        <w:tc>
          <w:tcPr>
            <w:tcW w:w="17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rPr>
              <w:t>80%</w:t>
            </w:r>
          </w:p>
        </w:tc>
        <w:tc>
          <w:tcPr>
            <w:tcW w:w="1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October 2000</w:t>
            </w:r>
          </w:p>
        </w:tc>
        <w:tc>
          <w:tcPr>
            <w:tcW w:w="60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100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w:t>
            </w: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717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2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1"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29</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68" w:lineRule="exact"/>
        <w:rPr>
          <w:sz w:val="20"/>
          <w:szCs w:val="20"/>
          <w:color w:val="auto"/>
        </w:rPr>
      </w:pPr>
    </w:p>
    <w:p>
      <w:pPr>
        <w:ind w:left="880" w:hanging="433"/>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2"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 going IPR&amp;D projects;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TransPoint's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April 28, 2000, the Company acquired BlueGill Technologies, Inc. ("BlueGill") for a total of $239.9 million, consisting of 4,713,736 shares of common stock valued at $221.5 million, the issuance of 637,746 employee stock options valued at $18.5 million and $0.6 million of acquisition costs less $0.7 million of cash received for the release of shares placed in escrow per the merger agreement. The acquisition was treated as a purchase for accounting purposes, and, accordingly, the assets and liabilities were recorded based on their fair market values at the date of the acquisition. The values ascribed to acquired intangible assets and their respective useful lives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INTANGIBLE</w:t>
            </w:r>
          </w:p>
        </w:tc>
        <w:tc>
          <w:tcPr>
            <w:tcW w:w="9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USEFUL</w:t>
            </w:r>
          </w:p>
        </w:tc>
      </w:tr>
      <w:tr>
        <w:trPr>
          <w:trHeight w:val="168"/>
        </w:trPr>
        <w:tc>
          <w:tcPr>
            <w:tcW w:w="360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ASSET</w:t>
            </w:r>
          </w:p>
        </w:tc>
        <w:tc>
          <w:tcPr>
            <w:tcW w:w="9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LIFE</w:t>
            </w:r>
          </w:p>
        </w:tc>
      </w:tr>
      <w:tr>
        <w:trPr>
          <w:trHeight w:val="168"/>
        </w:trPr>
        <w:tc>
          <w:tcPr>
            <w:tcW w:w="360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Goodwill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$191,072</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yrs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Tradename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15,100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yrs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Existing product technology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13,700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3.7</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yrs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Customer list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10,600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yrs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Workforce in place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2,600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3.0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yrs</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Covenants not to compete ...............</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yr</w:t>
            </w:r>
          </w:p>
        </w:tc>
      </w:tr>
    </w:tbl>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Amortization of intangible assets is on a straight-line basis over the assets' respective useful life. BlueGill's operations are included in the consolidated statements of operations from the date of acquisition.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acquisition of BlueGill Technologies, the Company recorded a charge of $6.9 million for purchased IPR&amp;D. This charge related to five technologies which had not demonstrated technological or commercial feasibility as of the transaction date. They were print and extraction technology, data management engine technology, API technology, web application technologies and payment/OFX technology. As of the acquisition date, the Company estimated that these projects ranged from 10% to 50% complete, that an aggregate of $2.1 million would be required to complete these five projects, and that, depending upon the project, product revenues would begin in mid-to-late 2000. An after-tax discount rate of 25% was used in this analysis. As of June 30, 2001, these projects were substantially complete.</w:t>
      </w:r>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MOBIUS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 and, accordingly, the assets and liabilities were recorded based on their fair values at the date of the acquisition. The values ascribed to acquired intangible assets and their respective useful lives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INTANGIBLE</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USEFUL</w:t>
            </w:r>
          </w:p>
        </w:tc>
      </w:tr>
      <w:tr>
        <w:trPr>
          <w:trHeight w:val="168"/>
        </w:trPr>
        <w:tc>
          <w:tcPr>
            <w:tcW w:w="3720" w:type="dxa"/>
            <w:vAlign w:val="bottom"/>
          </w:tcPr>
          <w:p>
            <w:pPr>
              <w:spacing w:after="0"/>
              <w:rPr>
                <w:sz w:val="14"/>
                <w:szCs w:val="14"/>
                <w:color w:val="auto"/>
              </w:rPr>
            </w:pPr>
          </w:p>
        </w:tc>
        <w:tc>
          <w:tcPr>
            <w:tcW w:w="15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ASSET</w:t>
            </w:r>
          </w:p>
        </w:tc>
        <w:tc>
          <w:tcPr>
            <w:tcW w:w="9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LIFE</w:t>
            </w:r>
          </w:p>
        </w:tc>
      </w:tr>
      <w:tr>
        <w:trPr>
          <w:trHeight w:val="168"/>
        </w:trPr>
        <w:tc>
          <w:tcPr>
            <w:tcW w:w="3720" w:type="dxa"/>
            <w:vAlign w:val="bottom"/>
          </w:tcPr>
          <w:p>
            <w:pPr>
              <w:spacing w:after="0"/>
              <w:rPr>
                <w:sz w:val="14"/>
                <w:szCs w:val="14"/>
                <w:color w:val="auto"/>
              </w:rPr>
            </w:pP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720" w:type="dxa"/>
            <w:vAlign w:val="bottom"/>
          </w:tcPr>
          <w:p>
            <w:pPr>
              <w:spacing w:after="0"/>
              <w:rPr>
                <w:sz w:val="14"/>
                <w:szCs w:val="14"/>
                <w:color w:val="auto"/>
              </w:rPr>
            </w:pPr>
          </w:p>
        </w:tc>
        <w:tc>
          <w:tcPr>
            <w:tcW w:w="1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$10,552</w:t>
            </w:r>
          </w:p>
        </w:tc>
        <w:tc>
          <w:tcPr>
            <w:tcW w:w="9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10.0 yrs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base ..........................</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4,429</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Tradenames .............................</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3,709</w:t>
            </w:r>
          </w:p>
        </w:tc>
        <w:tc>
          <w:tcPr>
            <w:tcW w:w="9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10.0 yrs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Existing product technology ............</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1,864</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yrs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Workforce ..............................</w:t>
            </w:r>
          </w:p>
        </w:tc>
        <w:tc>
          <w:tcPr>
            <w:tcW w:w="15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940</w:t>
            </w:r>
          </w:p>
        </w:tc>
        <w:tc>
          <w:tcPr>
            <w:tcW w:w="5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yrs</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Amortization of intangible assets is on a straight-line basis over the assets' respective useful life. Mobius Group's operations are included in the consolidated statements of operations from the date of acquisition.</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the acquisition date, Mobius Group had four products under development that had not demonstrated technological or commercial feasibility. These products included M-Plan Retirement &amp; Estate Planning Modules, M-Plan Cash Flow, Tax and Education Planning Modules, and new version of M-Search and a new version of M-Vest. As of the acquisition date, the Company estimated that these projects ranged from 20% to 92% complete, that an aggregate of $0.7 million would be necessary to complete these four projects, and product revenues would begin on dates ranging from May 1999 to December 1999. An after-tax discount rate of 20% was used in this analysis. As of June 30, 2001, these projects were substantially complete.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INFORMATION</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unaudited pro forma results of operations of the Company for the year ended June 30, 2000 and 2001, assuming the acquisitions occurred at the beginning of each period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4"/>
              </w:rPr>
              <w:t>YEAR ENDED JUNE</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68"/>
        </w:trPr>
        <w:tc>
          <w:tcPr>
            <w:tcW w:w="4120" w:type="dxa"/>
            <w:vAlign w:val="bottom"/>
          </w:tcPr>
          <w:p>
            <w:pPr>
              <w:spacing w:after="0"/>
              <w:rPr>
                <w:sz w:val="14"/>
                <w:szCs w:val="14"/>
                <w:color w:val="auto"/>
              </w:rPr>
            </w:pPr>
          </w:p>
        </w:tc>
        <w:tc>
          <w:tcPr>
            <w:tcW w:w="254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12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1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Total revenues .............................</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316,830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433,329</w:t>
            </w:r>
          </w:p>
        </w:tc>
      </w:tr>
      <w:tr>
        <w:trPr>
          <w:trHeight w:val="168"/>
        </w:trPr>
        <w:tc>
          <w:tcPr>
            <w:tcW w:w="4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(406,582)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(402,193)</w:t>
            </w:r>
          </w:p>
        </w:tc>
      </w:tr>
      <w:tr>
        <w:trPr>
          <w:trHeight w:val="168"/>
        </w:trPr>
        <w:tc>
          <w:tcPr>
            <w:tcW w:w="41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Basic and Diluted earnings per share:</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income (loss) per common share ....</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412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3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75,078</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83,797</w:t>
            </w:r>
          </w:p>
        </w:tc>
      </w:tr>
      <w:tr>
        <w:trPr>
          <w:trHeight w:val="168"/>
        </w:trPr>
        <w:tc>
          <w:tcPr>
            <w:tcW w:w="4120" w:type="dxa"/>
            <w:vAlign w:val="bottom"/>
          </w:tcPr>
          <w:p>
            <w:pPr>
              <w:spacing w:after="0"/>
              <w:rPr>
                <w:sz w:val="14"/>
                <w:szCs w:val="14"/>
                <w:color w:val="auto"/>
              </w:rPr>
            </w:pPr>
          </w:p>
        </w:tc>
        <w:tc>
          <w:tcPr>
            <w:tcW w:w="14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This information is presented to facilitate meaningful comparisons to on going operations and to other companies. The unaudited pro forma amounts above do not include a charge for in-process research and development of $18.6 million arising from the TransPoint acquisition in 2001 and $6.9 million arising from the BlueGill acquisition in 2000.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Loss on the sale amounted to $2.9 million.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281" w:right="1440" w:bottom="1440" w:gutter="0" w:footer="0" w:header="0"/>
          <w:type w:val="continuous"/>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September 11, 1998 the Company sold certain software and other assets related to its mortgage line of business for $19.1 million, net of a working capital adjustment. As part of the sales agreement, the Company retained responsibility for certain customer obligations and agreed to subcontract with the acquiring company to perform consulting services at retail hourly rates for these retained obligations. The Company received cash of $15 million, net of $4.0 million of prepaid subcontract services due the acquiring company. Net gain on the sale amounted to $6.4 million.</w:t>
      </w:r>
    </w:p>
    <w:p>
      <w:pPr>
        <w:spacing w:after="0" w:line="177"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gain or loss on sale of assets described above is included in Net Gain on Dispositions of Assets in the Company's Consolidated Statements of Operations.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STRATEGIC AGREEMENT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Effective October 1, 2000, the Company completed a previously announced 10-year strategic agreement with Bank of America, whereby the Company acquired the electronic billing and payment assets of Bank of America and will provide electronic billing and payment services to Bank of America's customer base in exchange for 10 million shares of the Company's common stock valued at approximately $253 million and $35 million of cash. Of the cash portion of the purchase price, $25 million was provided to help support an agreed upon two year $45 million marketing campaign by Bank of America. Because the Company cannot directly impact the specific nature, timing or extent of the use of the marketing funds, the entire $25 million was expensed upon completion of the agreement. This amount is included in sales and marketing expense in the accompanying consolidated statement of operations for the year ended June 30, 2001.</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values ascribed to intangible assets acquired as a result of the agreement and their respective useful lives are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agreement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product technology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Workforce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INTANGIBLE</w:t>
      </w:r>
    </w:p>
    <w:p>
      <w:pPr>
        <w:ind w:left="440"/>
        <w:spacing w:after="0" w:line="237" w:lineRule="auto"/>
        <w:rPr>
          <w:sz w:val="20"/>
          <w:szCs w:val="20"/>
          <w:color w:val="auto"/>
        </w:rPr>
      </w:pPr>
      <w:r>
        <w:rPr>
          <w:rFonts w:ascii="Courier New" w:cs="Courier New" w:eastAsia="Courier New" w:hAnsi="Courier New"/>
          <w:sz w:val="15"/>
          <w:szCs w:val="15"/>
          <w:color w:val="auto"/>
        </w:rPr>
        <w:t>ASSET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 THOUSANDS)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$249,424</w:t>
      </w:r>
    </w:p>
    <w:p>
      <w:pPr>
        <w:ind w:left="360"/>
        <w:spacing w:after="0" w:line="237" w:lineRule="auto"/>
        <w:rPr>
          <w:sz w:val="20"/>
          <w:szCs w:val="20"/>
          <w:color w:val="auto"/>
        </w:rPr>
      </w:pPr>
      <w:r>
        <w:rPr>
          <w:rFonts w:ascii="Courier New" w:cs="Courier New" w:eastAsia="Courier New" w:hAnsi="Courier New"/>
          <w:sz w:val="15"/>
          <w:szCs w:val="15"/>
          <w:color w:val="auto"/>
        </w:rPr>
        <w:t>7,659</w:t>
      </w:r>
    </w:p>
    <w:p>
      <w:pPr>
        <w:ind w:left="360"/>
        <w:spacing w:after="0" w:line="238" w:lineRule="auto"/>
        <w:rPr>
          <w:sz w:val="20"/>
          <w:szCs w:val="20"/>
          <w:color w:val="auto"/>
        </w:rPr>
      </w:pPr>
      <w:r>
        <w:rPr>
          <w:rFonts w:ascii="Courier New" w:cs="Courier New" w:eastAsia="Courier New" w:hAnsi="Courier New"/>
          <w:sz w:val="15"/>
          <w:szCs w:val="15"/>
          <w:color w:val="auto"/>
        </w:rPr>
        <w:t>3,173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USEFUL</w:t>
      </w:r>
    </w:p>
    <w:p>
      <w:pPr>
        <w:ind w:left="260"/>
        <w:spacing w:after="0" w:line="237" w:lineRule="auto"/>
        <w:rPr>
          <w:sz w:val="20"/>
          <w:szCs w:val="20"/>
          <w:color w:val="auto"/>
        </w:rPr>
      </w:pPr>
      <w:r>
        <w:rPr>
          <w:rFonts w:ascii="Courier New" w:cs="Courier New" w:eastAsia="Courier New" w:hAnsi="Courier New"/>
          <w:sz w:val="15"/>
          <w:szCs w:val="15"/>
          <w:color w:val="auto"/>
        </w:rPr>
        <w:t>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 yrs</w:t>
      </w:r>
    </w:p>
    <w:p>
      <w:pPr>
        <w:ind w:left="80"/>
        <w:spacing w:after="0" w:line="237" w:lineRule="auto"/>
        <w:rPr>
          <w:sz w:val="20"/>
          <w:szCs w:val="20"/>
          <w:color w:val="auto"/>
        </w:rPr>
      </w:pPr>
      <w:r>
        <w:rPr>
          <w:rFonts w:ascii="Courier New" w:cs="Courier New" w:eastAsia="Courier New" w:hAnsi="Courier New"/>
          <w:sz w:val="15"/>
          <w:szCs w:val="15"/>
          <w:color w:val="auto"/>
        </w:rPr>
        <w:t>1.5yrs</w:t>
      </w:r>
    </w:p>
    <w:p>
      <w:pPr>
        <w:ind w:left="80"/>
        <w:spacing w:after="0" w:line="238" w:lineRule="auto"/>
        <w:rPr>
          <w:sz w:val="20"/>
          <w:szCs w:val="20"/>
          <w:color w:val="auto"/>
        </w:rPr>
      </w:pPr>
      <w:r>
        <w:rPr>
          <w:rFonts w:ascii="Courier New" w:cs="Courier New" w:eastAsia="Courier New" w:hAnsi="Courier New"/>
          <w:sz w:val="15"/>
          <w:szCs w:val="15"/>
          <w:color w:val="auto"/>
        </w:rPr>
        <w:t>3.0yrs</w:t>
      </w:r>
    </w:p>
    <w:p>
      <w:pPr>
        <w:spacing w:after="0" w:line="173" w:lineRule="exact"/>
        <w:rPr>
          <w:sz w:val="20"/>
          <w:szCs w:val="20"/>
          <w:color w:val="auto"/>
        </w:rPr>
      </w:pPr>
    </w:p>
    <w:p>
      <w:pPr>
        <w:sectPr>
          <w:pgSz w:w="11900" w:h="16838" w:orient="portrait"/>
          <w:cols w:equalWidth="0" w:num="3">
            <w:col w:w="3340" w:space="340"/>
            <w:col w:w="1320" w:space="440"/>
            <w:col w:w="4799"/>
          </w:cols>
          <w:pgMar w:left="220" w:top="281" w:right="1440" w:bottom="1440" w:gutter="0" w:footer="0" w:header="0"/>
          <w:type w:val="continuous"/>
        </w:sectPr>
      </w:pPr>
    </w:p>
    <w:p>
      <w:pPr>
        <w:ind w:right="3239"/>
        <w:spacing w:after="0" w:line="235" w:lineRule="auto"/>
        <w:rPr>
          <w:sz w:val="20"/>
          <w:szCs w:val="20"/>
          <w:color w:val="auto"/>
        </w:rPr>
      </w:pPr>
      <w:r>
        <w:rPr>
          <w:rFonts w:ascii="Courier New" w:cs="Courier New" w:eastAsia="Courier New" w:hAnsi="Courier New"/>
          <w:sz w:val="15"/>
          <w:szCs w:val="15"/>
          <w:color w:val="auto"/>
        </w:rPr>
        <w:t>The agreement provides for a revenue guarantee of $500 million to the Company over the next 10 years. Bank of America also has the ability to earn warrants on up to 10 million additional shares upon achievement of certain milestones more fully described in Note 16.</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a result of the agreement, as of June 30, 2001, Bank of America owns 11.5% of the Company. The following amounts related to Bank of America are included in the Company's consolidated financial statements for the periods indicated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1"/>
              </w:rPr>
              <w:t>JUNE 30,</w:t>
            </w:r>
          </w:p>
        </w:tc>
      </w:tr>
      <w:tr>
        <w:trPr>
          <w:trHeight w:val="168"/>
        </w:trPr>
        <w:tc>
          <w:tcPr>
            <w:tcW w:w="44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$9,655</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$9,655</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$5,983</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2,111</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revenues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241</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$8,571</w:t>
            </w:r>
          </w:p>
        </w:tc>
      </w:tr>
      <w:tr>
        <w:trPr>
          <w:trHeight w:val="168"/>
        </w:trPr>
        <w:tc>
          <w:tcPr>
            <w:tcW w:w="4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F-15</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type w:val="continuous"/>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jc w:val="right"/>
              <w:ind w:right="3907"/>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CHECKFREE CORPORATION AND SUBSIDIARIES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22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NOTES TO CONSOLIDATED FINANCIAL STATEMENTS - (CONTINUED)</w:t>
            </w:r>
          </w:p>
        </w:tc>
        <w:tc>
          <w:tcPr>
            <w:tcW w:w="700" w:type="dxa"/>
            <w:vAlign w:val="bottom"/>
          </w:tcPr>
          <w:p>
            <w:pPr>
              <w:spacing w:after="0"/>
              <w:rPr>
                <w:sz w:val="14"/>
                <w:szCs w:val="14"/>
                <w:color w:val="auto"/>
              </w:rPr>
            </w:pPr>
          </w:p>
        </w:tc>
      </w:tr>
      <w:tr>
        <w:trPr>
          <w:trHeight w:val="505"/>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3547"/>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Processing and servicing ....................</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$10,369</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$14,796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$42,503</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License fees ................................</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1,187</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Maintenance fees ............................</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w:t>
            </w:r>
          </w:p>
        </w:tc>
        <w:tc>
          <w:tcPr>
            <w:tcW w:w="2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w:t>
            </w:r>
          </w:p>
        </w:tc>
      </w:tr>
      <w:tr>
        <w:trPr>
          <w:trHeight w:val="168"/>
        </w:trPr>
        <w:tc>
          <w:tcPr>
            <w:tcW w:w="4420" w:type="dxa"/>
            <w:vAlign w:val="bottom"/>
          </w:tcPr>
          <w:p>
            <w:pPr>
              <w:spacing w:after="0"/>
              <w:rPr>
                <w:sz w:val="14"/>
                <w:szCs w:val="14"/>
                <w:color w:val="auto"/>
              </w:rPr>
            </w:pP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revenues ....................</w:t>
            </w: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$10,712</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$15,149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$44,487</w:t>
            </w:r>
          </w:p>
        </w:tc>
      </w:tr>
      <w:tr>
        <w:trPr>
          <w:trHeight w:val="168"/>
        </w:trPr>
        <w:tc>
          <w:tcPr>
            <w:tcW w:w="4420" w:type="dxa"/>
            <w:vAlign w:val="bottom"/>
          </w:tcPr>
          <w:p>
            <w:pPr>
              <w:spacing w:after="0"/>
              <w:rPr>
                <w:sz w:val="14"/>
                <w:szCs w:val="14"/>
                <w:color w:val="auto"/>
              </w:rPr>
            </w:pP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3547"/>
              <w:spacing w:after="0" w:line="168" w:lineRule="exact"/>
              <w:rPr>
                <w:sz w:val="20"/>
                <w:szCs w:val="20"/>
                <w:color w:val="auto"/>
              </w:rPr>
            </w:pPr>
            <w:r>
              <w:rPr>
                <w:rFonts w:ascii="Courier New" w:cs="Courier New" w:eastAsia="Courier New" w:hAnsi="Courier New"/>
                <w:sz w:val="15"/>
                <w:szCs w:val="15"/>
                <w:color w:val="auto"/>
                <w:w w:val="96"/>
              </w:rPr>
              <w:t>Expenses: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Cost of processing, servicing and support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$23,154</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Sales and marketing ........................</w:t>
            </w:r>
          </w:p>
        </w:tc>
        <w:tc>
          <w:tcPr>
            <w:tcW w:w="22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4420" w:type="dxa"/>
            <w:vAlign w:val="bottom"/>
          </w:tcPr>
          <w:p>
            <w:pPr>
              <w:spacing w:after="0"/>
              <w:rPr>
                <w:sz w:val="14"/>
                <w:szCs w:val="14"/>
                <w:color w:val="auto"/>
              </w:rPr>
            </w:pP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expenses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$48,154</w:t>
            </w:r>
          </w:p>
        </w:tc>
      </w:tr>
      <w:tr>
        <w:trPr>
          <w:trHeight w:val="168"/>
        </w:trPr>
        <w:tc>
          <w:tcPr>
            <w:tcW w:w="4420" w:type="dxa"/>
            <w:vAlign w:val="bottom"/>
          </w:tcPr>
          <w:p>
            <w:pPr>
              <w:spacing w:after="0"/>
              <w:rPr>
                <w:sz w:val="14"/>
                <w:szCs w:val="14"/>
                <w:color w:val="auto"/>
              </w:rPr>
            </w:pPr>
          </w:p>
        </w:tc>
        <w:tc>
          <w:tcPr>
            <w:tcW w:w="9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Revenues and accounts receivable relate primarily to electronic billing and payment services provided to Bank of America. Accounts payable, accrued liabilities and cost of processing expenses relate to reimbursements to Bank of America in connection with a transition services agreement in place while the Company completes the conversion of Bank of America customers to its processing platform.</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520" w:type="dxa"/>
            <w:vAlign w:val="bottom"/>
          </w:tcPr>
          <w:p>
            <w:pPr>
              <w:spacing w:after="0"/>
              <w:rPr>
                <w:sz w:val="14"/>
                <w:szCs w:val="14"/>
                <w:color w:val="auto"/>
              </w:rPr>
            </w:pPr>
          </w:p>
        </w:tc>
        <w:tc>
          <w:tcPr>
            <w:tcW w:w="23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520" w:type="dxa"/>
            <w:vAlign w:val="bottom"/>
          </w:tcPr>
          <w:p>
            <w:pPr>
              <w:spacing w:after="0"/>
              <w:rPr>
                <w:sz w:val="14"/>
                <w:szCs w:val="14"/>
                <w:color w:val="auto"/>
              </w:rPr>
            </w:pP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Held-to-Maturity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162,989</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$ 239,507</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Trading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6,660</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investments ................................</w:t>
            </w:r>
          </w:p>
        </w:tc>
        <w:tc>
          <w:tcPr>
            <w:tcW w:w="22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11,171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3,296</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Less:  Amounts classified as cash equivalents ....</w:t>
            </w:r>
          </w:p>
        </w:tc>
        <w:tc>
          <w:tcPr>
            <w:tcW w:w="2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(101,269)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(110,831)</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investments ............</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79,551</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$ 131,972</w:t>
            </w:r>
          </w:p>
        </w:tc>
      </w:tr>
      <w:tr>
        <w:trPr>
          <w:trHeight w:val="168"/>
        </w:trPr>
        <w:tc>
          <w:tcPr>
            <w:tcW w:w="4520" w:type="dxa"/>
            <w:vAlign w:val="bottom"/>
          </w:tcPr>
          <w:p>
            <w:pPr>
              <w:spacing w:after="0"/>
              <w:rPr>
                <w:sz w:val="14"/>
                <w:szCs w:val="14"/>
                <w:color w:val="auto"/>
              </w:rPr>
            </w:pP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F-16</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940"/>
        <w:spacing w:after="0" w:line="234" w:lineRule="auto"/>
        <w:rPr>
          <w:sz w:val="20"/>
          <w:szCs w:val="20"/>
          <w:color w:val="auto"/>
        </w:rPr>
      </w:pPr>
      <w:r>
        <w:rPr>
          <w:rFonts w:ascii="Courier New" w:cs="Courier New" w:eastAsia="Courier New" w:hAnsi="Courier New"/>
          <w:sz w:val="15"/>
          <w:szCs w:val="15"/>
          <w:color w:val="auto"/>
        </w:rPr>
        <w:t>The following is a summary of Held-to-Maturity investment securities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GROSS UNREALIZED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AMORTIZED</w:t>
            </w:r>
          </w:p>
        </w:tc>
        <w:tc>
          <w:tcPr>
            <w:tcW w:w="1780" w:type="dxa"/>
            <w:vAlign w:val="bottom"/>
            <w:gridSpan w:val="2"/>
          </w:tcPr>
          <w:p>
            <w:pPr>
              <w:ind w:left="300"/>
              <w:spacing w:after="0"/>
              <w:rPr>
                <w:sz w:val="20"/>
                <w:szCs w:val="20"/>
                <w:color w:val="auto"/>
              </w:rPr>
            </w:pPr>
            <w:r>
              <w:rPr>
                <w:rFonts w:ascii="Courier New" w:cs="Courier New" w:eastAsia="Courier New" w:hAnsi="Courier New"/>
                <w:sz w:val="10"/>
                <w:szCs w:val="10"/>
                <w:color w:val="auto"/>
                <w:w w:val="76"/>
              </w:rPr>
              <w:t>--------------------------------</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COST</w:t>
            </w:r>
          </w:p>
        </w:tc>
        <w:tc>
          <w:tcPr>
            <w:tcW w:w="6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GAINS</w:t>
            </w:r>
          </w:p>
        </w:tc>
        <w:tc>
          <w:tcPr>
            <w:tcW w:w="400" w:type="dxa"/>
            <w:vAlign w:val="bottom"/>
          </w:tcPr>
          <w:p>
            <w:pPr>
              <w:spacing w:after="0"/>
              <w:rPr>
                <w:sz w:val="14"/>
                <w:szCs w:val="14"/>
                <w:color w:val="auto"/>
              </w:rPr>
            </w:pP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9"/>
              </w:rPr>
              <w:t>LOSSES</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040" w:type="dxa"/>
            <w:vAlign w:val="bottom"/>
          </w:tcPr>
          <w:p>
            <w:pPr>
              <w:spacing w:after="0"/>
              <w:rPr>
                <w:sz w:val="14"/>
                <w:szCs w:val="14"/>
                <w:color w:val="auto"/>
              </w:rPr>
            </w:pPr>
          </w:p>
        </w:tc>
        <w:tc>
          <w:tcPr>
            <w:tcW w:w="1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9"/>
              </w:rPr>
              <w:t>-------------</w:t>
            </w:r>
          </w:p>
        </w:tc>
        <w:tc>
          <w:tcPr>
            <w:tcW w:w="1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040" w:type="dxa"/>
            <w:vAlign w:val="bottom"/>
          </w:tcPr>
          <w:p>
            <w:pPr>
              <w:jc w:val="right"/>
              <w:ind w:right="2727"/>
              <w:spacing w:after="0"/>
              <w:rPr>
                <w:sz w:val="20"/>
                <w:szCs w:val="20"/>
                <w:color w:val="auto"/>
              </w:rPr>
            </w:pPr>
            <w:r>
              <w:rPr>
                <w:rFonts w:ascii="Courier New" w:cs="Courier New" w:eastAsia="Courier New" w:hAnsi="Courier New"/>
                <w:sz w:val="15"/>
                <w:szCs w:val="15"/>
                <w:color w:val="auto"/>
                <w:w w:val="96"/>
              </w:rPr>
              <w:t>JUNE 30, 2000:</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Corporate bonds ....................</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50,824</w:t>
            </w:r>
          </w:p>
        </w:tc>
        <w:tc>
          <w:tcPr>
            <w:tcW w:w="64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50,676</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Asset-backed securities ............</w:t>
            </w:r>
          </w:p>
        </w:tc>
        <w:tc>
          <w:tcPr>
            <w:tcW w:w="5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Commercial paper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68,886</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211</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69,097</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29,981</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29,895</w:t>
            </w:r>
          </w:p>
        </w:tc>
      </w:tr>
      <w:tr>
        <w:trPr>
          <w:trHeight w:val="168"/>
        </w:trPr>
        <w:tc>
          <w:tcPr>
            <w:tcW w:w="4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U.S. Government and federal agency</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obligations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2,824</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2,810</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Money market funds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10,474</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10,474</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Held-to-Maturity investments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162,989</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215</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162,952</w:t>
            </w:r>
          </w:p>
        </w:tc>
      </w:tr>
      <w:tr>
        <w:trPr>
          <w:trHeight w:val="168"/>
        </w:trPr>
        <w:tc>
          <w:tcPr>
            <w:tcW w:w="40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Less:  amounts classified as cash</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equivalents .....................</w:t>
            </w:r>
          </w:p>
        </w:tc>
        <w:tc>
          <w:tcPr>
            <w:tcW w:w="5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(101,269)</w:t>
            </w:r>
          </w:p>
        </w:tc>
        <w:tc>
          <w:tcPr>
            <w:tcW w:w="6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(215)</w:t>
            </w:r>
          </w:p>
        </w:tc>
        <w:tc>
          <w:tcPr>
            <w:tcW w:w="40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(101,465)</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Total Held-to-Maturity Investments ......</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61,720</w:t>
            </w:r>
          </w:p>
        </w:tc>
        <w:tc>
          <w:tcPr>
            <w:tcW w:w="64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61,487</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jc w:val="right"/>
              <w:ind w:right="2727"/>
              <w:spacing w:after="0"/>
              <w:rPr>
                <w:sz w:val="20"/>
                <w:szCs w:val="20"/>
                <w:color w:val="auto"/>
              </w:rPr>
            </w:pPr>
            <w:r>
              <w:rPr>
                <w:rFonts w:ascii="Courier New" w:cs="Courier New" w:eastAsia="Courier New" w:hAnsi="Courier New"/>
                <w:sz w:val="15"/>
                <w:szCs w:val="15"/>
                <w:color w:val="auto"/>
                <w:w w:val="96"/>
              </w:rPr>
              <w:t>JUNE 30, 2001:</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Corporate bonds ....................</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75,627</w:t>
            </w:r>
          </w:p>
        </w:tc>
        <w:tc>
          <w:tcPr>
            <w:tcW w:w="64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75,449</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Asset-backed securities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29,259</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29,333</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Commercial paper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51,186</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43</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51,220</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Certificates of deposit ............</w:t>
            </w:r>
          </w:p>
        </w:tc>
        <w:tc>
          <w:tcPr>
            <w:tcW w:w="5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U.S. Government and federal agency</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obligations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22,466</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254</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22,720</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Money market funds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60,969</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60,969</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Held-to-Maturity investments ........</w:t>
            </w:r>
          </w:p>
        </w:tc>
        <w:tc>
          <w:tcPr>
            <w:tcW w:w="52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239,507</w:t>
            </w:r>
          </w:p>
        </w:tc>
        <w:tc>
          <w:tcPr>
            <w:tcW w:w="640" w:type="dxa"/>
            <w:vAlign w:val="bottom"/>
          </w:tcPr>
          <w:p>
            <w:pPr>
              <w:spacing w:after="0"/>
              <w:rPr>
                <w:sz w:val="14"/>
                <w:szCs w:val="14"/>
                <w:color w:val="auto"/>
              </w:rPr>
            </w:pP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597</w:t>
            </w:r>
          </w:p>
        </w:tc>
        <w:tc>
          <w:tcPr>
            <w:tcW w:w="4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239,691</w:t>
            </w:r>
          </w:p>
        </w:tc>
      </w:tr>
      <w:tr>
        <w:trPr>
          <w:trHeight w:val="168"/>
        </w:trPr>
        <w:tc>
          <w:tcPr>
            <w:tcW w:w="40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Less:  amounts classified as cash</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equivalents .....................</w:t>
            </w:r>
          </w:p>
        </w:tc>
        <w:tc>
          <w:tcPr>
            <w:tcW w:w="5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(110,831)</w:t>
            </w:r>
          </w:p>
        </w:tc>
        <w:tc>
          <w:tcPr>
            <w:tcW w:w="64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(110,831)</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7"/>
              </w:rPr>
              <w:t>Total Held-to-Maturity Investments ......</w:t>
            </w: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$ 128,676</w:t>
            </w:r>
          </w:p>
        </w:tc>
        <w:tc>
          <w:tcPr>
            <w:tcW w:w="64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$ 128,860</w:t>
            </w:r>
          </w:p>
        </w:tc>
      </w:tr>
      <w:tr>
        <w:trPr>
          <w:trHeight w:val="168"/>
        </w:trPr>
        <w:tc>
          <w:tcPr>
            <w:tcW w:w="4040" w:type="dxa"/>
            <w:vAlign w:val="bottom"/>
          </w:tcPr>
          <w:p>
            <w:pPr>
              <w:spacing w:after="0"/>
              <w:rPr>
                <w:sz w:val="14"/>
                <w:szCs w:val="14"/>
                <w:color w:val="auto"/>
              </w:rPr>
            </w:pPr>
          </w:p>
        </w:tc>
        <w:tc>
          <w:tcPr>
            <w:tcW w:w="16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fair value of Held-to-Maturity securities is based on quoted market values.</w:t>
      </w:r>
    </w:p>
    <w:p>
      <w:pPr>
        <w:spacing w:after="0" w:line="173" w:lineRule="exact"/>
        <w:rPr>
          <w:sz w:val="20"/>
          <w:szCs w:val="20"/>
          <w:color w:val="auto"/>
        </w:rPr>
      </w:pPr>
    </w:p>
    <w:p>
      <w:pPr>
        <w:ind w:right="3400"/>
        <w:spacing w:after="0" w:line="235" w:lineRule="auto"/>
        <w:rPr>
          <w:sz w:val="20"/>
          <w:szCs w:val="20"/>
          <w:color w:val="auto"/>
        </w:rPr>
      </w:pPr>
      <w:r>
        <w:rPr>
          <w:rFonts w:ascii="Courier New" w:cs="Courier New" w:eastAsia="Courier New" w:hAnsi="Courier New"/>
          <w:sz w:val="15"/>
          <w:szCs w:val="15"/>
          <w:color w:val="auto"/>
        </w:rPr>
        <w:t>The amortized cost and fair value of held-to-maturity investment securities at June 30, 2001 by contractual maturity or repricing date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AMORTIZED</w:t>
            </w:r>
          </w:p>
        </w:tc>
        <w:tc>
          <w:tcPr>
            <w:tcW w:w="1000" w:type="dxa"/>
            <w:vAlign w:val="bottom"/>
          </w:tcPr>
          <w:p>
            <w:pPr>
              <w:ind w:left="400"/>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4200" w:type="dxa"/>
            <w:vAlign w:val="bottom"/>
          </w:tcPr>
          <w:p>
            <w:pPr>
              <w:spacing w:after="0"/>
              <w:rPr>
                <w:sz w:val="14"/>
                <w:szCs w:val="14"/>
                <w:color w:val="auto"/>
              </w:rPr>
            </w:pP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COST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42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Due in one year or less .....................</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$ 35,930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$ 36,097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after one year through five years .......</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92,746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92,763</w:t>
            </w:r>
          </w:p>
        </w:tc>
      </w:tr>
      <w:tr>
        <w:trPr>
          <w:trHeight w:val="168"/>
        </w:trPr>
        <w:tc>
          <w:tcPr>
            <w:tcW w:w="42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$128,676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$128,860</w:t>
            </w:r>
          </w:p>
        </w:tc>
      </w:tr>
      <w:tr>
        <w:trPr>
          <w:trHeight w:val="168"/>
        </w:trPr>
        <w:tc>
          <w:tcPr>
            <w:tcW w:w="420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20"/>
        <w:spacing w:after="0" w:line="235"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74" w:lineRule="exact"/>
        <w:rPr>
          <w:sz w:val="20"/>
          <w:szCs w:val="20"/>
          <w:color w:val="auto"/>
        </w:rPr>
      </w:pPr>
    </w:p>
    <w:p>
      <w:pPr>
        <w:ind w:right="3840"/>
        <w:spacing w:after="0" w:line="234" w:lineRule="auto"/>
        <w:rPr>
          <w:sz w:val="20"/>
          <w:szCs w:val="20"/>
          <w:color w:val="auto"/>
        </w:rPr>
      </w:pPr>
      <w:r>
        <w:rPr>
          <w:rFonts w:ascii="Courier New" w:cs="Courier New" w:eastAsia="Courier New" w:hAnsi="Courier New"/>
          <w:sz w:val="15"/>
          <w:szCs w:val="15"/>
          <w:color w:val="auto"/>
        </w:rPr>
        <w:t>Other investments are accounted for under the cost method and include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JUNE 30,</w:t>
            </w:r>
          </w:p>
        </w:tc>
        <w:tc>
          <w:tcPr>
            <w:tcW w:w="48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spacing w:after="0"/>
              <w:rPr>
                <w:sz w:val="14"/>
                <w:szCs w:val="14"/>
                <w:color w:val="auto"/>
              </w:rPr>
            </w:pP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4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6"/>
              </w:rPr>
              <w:t>Common stock and warrants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$11,171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2,198</w:t>
            </w:r>
          </w:p>
        </w:tc>
      </w:tr>
      <w:tr>
        <w:trPr>
          <w:trHeight w:val="168"/>
        </w:trPr>
        <w:tc>
          <w:tcPr>
            <w:tcW w:w="45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Convertible debenture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5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Preferred stock ................................</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Total other investments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3,296</w:t>
            </w:r>
          </w:p>
        </w:tc>
      </w:tr>
      <w:tr>
        <w:trPr>
          <w:trHeight w:val="168"/>
        </w:trPr>
        <w:tc>
          <w:tcPr>
            <w:tcW w:w="45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F-17</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40"/>
          </w:cols>
          <w:pgMar w:left="220" w:top="281" w:right="1439" w:bottom="18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34</w:t>
      </w:r>
    </w:p>
    <w:p>
      <w:pPr>
        <w:ind w:left="1840"/>
        <w:spacing w:after="0" w:line="237" w:lineRule="auto"/>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8"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Common stock and warrants consist primarily of the Company's strategic investment in BillServ.com common stock, which is subject to certain trading restrictions. The remainder of common stock and warrants, convertible debenture, and preferred stock investments are in non-publicly traded e-billing related companies. The convertible debenture bears interest at 6.5% per annum and is payable in full on September 12, 2003. Interest is paid on December 31 and June 30 each year. The debenture agreement allows the Company, at its option, to convert the note into common shares of the issuer, the number of which is dependent upon the valuation of the issuer at that time. Conversion into common stock is automatic if the issuer completes an initial public offering.</w:t>
      </w:r>
    </w:p>
    <w:p>
      <w:pPr>
        <w:spacing w:after="0" w:line="16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ended June 30, 2001, the Company recorded a loss on certain of its investments accounted for under the cost method. The loss was the result of the Company's evaluation of any other-than-temporary decline in the value of these investments. In performing this evaluation the Company considered various factors including any decline in market price, where available, the investee's financial condition, results of operations, operating trends and other financial ratios. Based on these factors, the Company recorded a loss of $16,077,000.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ACCOUNTS RECEIVABLE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1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490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900" w:type="dxa"/>
            <w:vAlign w:val="bottom"/>
          </w:tcPr>
          <w:p>
            <w:pPr>
              <w:spacing w:after="0"/>
              <w:rPr>
                <w:sz w:val="14"/>
                <w:szCs w:val="14"/>
                <w:color w:val="auto"/>
              </w:rPr>
            </w:pP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Trade accounts receivable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$46,609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$76,973</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Unbilled trade accounts receivable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10,302</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8,875</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receivables.....................................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5,933</w:t>
            </w:r>
          </w:p>
        </w:tc>
      </w:tr>
      <w:tr>
        <w:trPr>
          <w:trHeight w:val="168"/>
        </w:trPr>
        <w:tc>
          <w:tcPr>
            <w:tcW w:w="490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62,311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91,781</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Less allowance for doubtful accounts..................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490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$58,308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$88,818</w:t>
            </w:r>
          </w:p>
        </w:tc>
      </w:tr>
      <w:tr>
        <w:trPr>
          <w:trHeight w:val="168"/>
        </w:trPr>
        <w:tc>
          <w:tcPr>
            <w:tcW w:w="490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Trade accounts receivable represents amounts billed to customers. Revenue is recognized and customers are billed under service agreements as the services are performed. Unbilled trade accounts receivable result primarily from extended payment terms on software license agreements. For software contracts, revenue is recognized under the provisions of SOP 97-2 as described in Note 1, and unbilled amounts under those software contracts are billed on specific dates according to contractual terms. Other receivables are comprised primarily of interest receivable and amounts due from employees for travel and other advances. The allowance for doubtful accounts represents management's estimate of uncollectible accounts receivable.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INCOME 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0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w w:val="95"/>
              </w:rPr>
              <w:t>YEAR ENDED JUNE 30,</w:t>
            </w:r>
          </w:p>
        </w:tc>
      </w:tr>
      <w:tr>
        <w:trPr>
          <w:trHeight w:val="168"/>
        </w:trPr>
        <w:tc>
          <w:tcPr>
            <w:tcW w:w="3720" w:type="dxa"/>
            <w:vAlign w:val="bottom"/>
          </w:tcPr>
          <w:p>
            <w:pPr>
              <w:spacing w:after="0"/>
              <w:rPr>
                <w:sz w:val="14"/>
                <w:szCs w:val="14"/>
                <w:color w:val="auto"/>
              </w:rPr>
            </w:pPr>
          </w:p>
        </w:tc>
        <w:tc>
          <w:tcPr>
            <w:tcW w:w="32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2507"/>
              <w:spacing w:after="0" w:line="168" w:lineRule="exact"/>
              <w:rPr>
                <w:sz w:val="20"/>
                <w:szCs w:val="20"/>
                <w:color w:val="auto"/>
              </w:rPr>
            </w:pPr>
            <w:r>
              <w:rPr>
                <w:rFonts w:ascii="Courier New" w:cs="Courier New" w:eastAsia="Courier New" w:hAnsi="Courier New"/>
                <w:sz w:val="15"/>
                <w:szCs w:val="15"/>
                <w:color w:val="auto"/>
              </w:rPr>
              <w:t>Current: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Federal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(10,555)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 and local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(2,308)</w:t>
            </w:r>
          </w:p>
        </w:tc>
        <w:tc>
          <w:tcPr>
            <w:tcW w:w="3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current ............</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(12,863)</w:t>
            </w:r>
          </w:p>
        </w:tc>
        <w:tc>
          <w:tcPr>
            <w:tcW w:w="3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Deferred federal and state ..............</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854</w:t>
            </w:r>
          </w:p>
        </w:tc>
        <w:tc>
          <w:tcPr>
            <w:tcW w:w="3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(11,437)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(115,362)</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Total income tax benefit..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(12,009)</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(11,437)</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$(115,362)</w:t>
            </w:r>
          </w:p>
        </w:tc>
      </w:tr>
      <w:tr>
        <w:trPr>
          <w:trHeight w:val="168"/>
        </w:trPr>
        <w:tc>
          <w:tcPr>
            <w:tcW w:w="37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540" w:right="3319"/>
        <w:spacing w:after="0" w:line="235"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to income before income taxes as a result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w w:val="95"/>
              </w:rPr>
              <w:t>YEAR ENDED JUNE 30,</w:t>
            </w:r>
          </w:p>
        </w:tc>
      </w:tr>
      <w:tr>
        <w:trPr>
          <w:trHeight w:val="168"/>
        </w:trPr>
        <w:tc>
          <w:tcPr>
            <w:tcW w:w="4260" w:type="dxa"/>
            <w:vAlign w:val="bottom"/>
          </w:tcPr>
          <w:p>
            <w:pPr>
              <w:spacing w:after="0"/>
              <w:rPr>
                <w:sz w:val="14"/>
                <w:szCs w:val="14"/>
                <w:color w:val="auto"/>
              </w:rPr>
            </w:pPr>
          </w:p>
        </w:tc>
        <w:tc>
          <w:tcPr>
            <w:tcW w:w="3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260" w:type="dxa"/>
            <w:vAlign w:val="bottom"/>
          </w:tcPr>
          <w:p>
            <w:pPr>
              <w:spacing w:after="0"/>
              <w:rPr>
                <w:sz w:val="14"/>
                <w:szCs w:val="14"/>
                <w:color w:val="auto"/>
              </w:rPr>
            </w:pPr>
          </w:p>
        </w:tc>
        <w:tc>
          <w:tcPr>
            <w:tcW w:w="34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336"/>
        </w:trPr>
        <w:tc>
          <w:tcPr>
            <w:tcW w:w="4260" w:type="dxa"/>
            <w:vAlign w:val="bottom"/>
          </w:tcPr>
          <w:p>
            <w:pPr>
              <w:jc w:val="right"/>
              <w:spacing w:after="0"/>
              <w:rPr>
                <w:sz w:val="20"/>
                <w:szCs w:val="20"/>
                <w:color w:val="auto"/>
              </w:rPr>
            </w:pPr>
            <w:r>
              <w:rPr>
                <w:rFonts w:ascii="Courier New" w:cs="Courier New" w:eastAsia="Courier New" w:hAnsi="Courier New"/>
                <w:sz w:val="15"/>
                <w:szCs w:val="15"/>
                <w:color w:val="auto"/>
                <w:w w:val="96"/>
              </w:rPr>
              <w:t>Computed "expected" tax benefit ................</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(15,315)</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$(167,243)</w:t>
            </w:r>
          </w:p>
        </w:tc>
      </w:tr>
      <w:tr>
        <w:trPr>
          <w:trHeight w:val="168"/>
        </w:trPr>
        <w:tc>
          <w:tcPr>
            <w:tcW w:w="42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9"/>
              </w:rPr>
              <w:t>Nondeductible in-process research and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development of acquired businesses ..........</w:t>
            </w:r>
          </w:p>
        </w:tc>
        <w:tc>
          <w:tcPr>
            <w:tcW w:w="3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2,415</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6,510</w:t>
            </w: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Nondeductible intangible amortization ..........</w:t>
            </w:r>
          </w:p>
        </w:tc>
        <w:tc>
          <w:tcPr>
            <w:tcW w:w="3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60,346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1,137</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3,572</w:t>
            </w:r>
          </w:p>
        </w:tc>
      </w:tr>
      <w:tr>
        <w:trPr>
          <w:trHeight w:val="168"/>
        </w:trPr>
        <w:tc>
          <w:tcPr>
            <w:tcW w:w="426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w w:val="96"/>
              </w:rPr>
              <w:t>State and local taxes, net of federal</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income tax benefits .........................</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(1,741)</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(14,917)</w:t>
            </w: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Loss from medical benefits subsidiary ..........</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(10,665)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net .....................................</w:t>
            </w:r>
          </w:p>
        </w:tc>
        <w:tc>
          <w:tcPr>
            <w:tcW w:w="3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26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income tax benefit ........</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(12,009)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(11,437)</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$(115,362)</w:t>
            </w:r>
          </w:p>
        </w:tc>
      </w:tr>
      <w:tr>
        <w:trPr>
          <w:trHeight w:val="168"/>
        </w:trPr>
        <w:tc>
          <w:tcPr>
            <w:tcW w:w="4260" w:type="dxa"/>
            <w:vAlign w:val="bottom"/>
          </w:tcPr>
          <w:p>
            <w:pPr>
              <w:spacing w:after="0"/>
              <w:rPr>
                <w:sz w:val="14"/>
                <w:szCs w:val="14"/>
                <w:color w:val="auto"/>
              </w:rPr>
            </w:pP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2000 and 2001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080" w:type="dxa"/>
            <w:vAlign w:val="bottom"/>
          </w:tcPr>
          <w:p>
            <w:pPr>
              <w:spacing w:after="0"/>
              <w:rPr>
                <w:sz w:val="14"/>
                <w:szCs w:val="14"/>
                <w:color w:val="auto"/>
              </w:rPr>
            </w:pP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80" w:type="dxa"/>
            <w:vAlign w:val="bottom"/>
          </w:tcPr>
          <w:p>
            <w:pPr>
              <w:spacing w:after="0"/>
              <w:rPr>
                <w:sz w:val="14"/>
                <w:szCs w:val="14"/>
                <w:color w:val="auto"/>
              </w:rPr>
            </w:pPr>
          </w:p>
        </w:tc>
        <w:tc>
          <w:tcPr>
            <w:tcW w:w="21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 -----------</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and state net operating loss carryforwards..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32,219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72,972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and state tax credit carryforwards..........</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3,867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Allowance for bad debts and returns.................</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1,278</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compensation and related items..............</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5,429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warrants .....................................</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19,331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21,484</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investments...................................</w:t>
            </w:r>
          </w:p>
        </w:tc>
        <w:tc>
          <w:tcPr>
            <w:tcW w:w="3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3,335</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2,749</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Reserve accruals....................................</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8,172</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assets ...........</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66,178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116,312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Capitalized software ...............................</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(12,792)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(69,864)</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(1,850)</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(11,526)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(174,482)</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deferred tax liabilities ......</w:t>
            </w:r>
          </w:p>
        </w:tc>
        <w:tc>
          <w:tcPr>
            <w:tcW w:w="3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(27,197)</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(244,440)</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deferred tax asset (liabilities)</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38,981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$(128,128)</w:t>
            </w:r>
          </w:p>
        </w:tc>
      </w:tr>
      <w:tr>
        <w:trPr>
          <w:trHeight w:val="168"/>
        </w:trPr>
        <w:tc>
          <w:tcPr>
            <w:tcW w:w="508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69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281" w:right="1440" w:bottom="69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36</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June 30, 2001, the Company has approximately $187,693,000 of state and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$181,672,000 of federal net operating loss carryforwards available, expiring in 2009 to 2015 and 2009 to 2021, respectively. Additionally, at June 30, 2001, the Company has approximately $812,000 of state and $3,723,000 of federal tax credit carryforwards available, expiring in 2008 to 2011 and 2009 to 2021, respectively.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realization of the Company's deferred tax assets, which relate primarily to net operating loss carryforwards and temporary differences is dependent on generating sufficient taxable income in future periods. Although realization is not assured, management believes it is more likely than not that the net deferred tax assets will be realized.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JUNE 30,</w:t>
            </w:r>
          </w:p>
        </w:tc>
      </w:tr>
      <w:tr>
        <w:trPr>
          <w:trHeight w:val="168"/>
        </w:trPr>
        <w:tc>
          <w:tcPr>
            <w:tcW w:w="478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Land and land improvements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4,944</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Building and building improvements ...................</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39,992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50,732</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Computer equipment and software licenses .............</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101,662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132,850</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Furniture and equipment ..............................</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14,071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16,894</w:t>
            </w:r>
          </w:p>
        </w:tc>
      </w:tr>
      <w:tr>
        <w:trPr>
          <w:trHeight w:val="168"/>
        </w:trPr>
        <w:tc>
          <w:tcPr>
            <w:tcW w:w="4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160,669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205,420</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Less accumulated depreciation and amortization .......</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67,455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96,194</w:t>
            </w:r>
          </w:p>
        </w:tc>
      </w:tr>
      <w:tr>
        <w:trPr>
          <w:trHeight w:val="168"/>
        </w:trPr>
        <w:tc>
          <w:tcPr>
            <w:tcW w:w="4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93,214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$109,226</w:t>
            </w:r>
          </w:p>
        </w:tc>
      </w:tr>
      <w:tr>
        <w:trPr>
          <w:trHeight w:val="168"/>
        </w:trPr>
        <w:tc>
          <w:tcPr>
            <w:tcW w:w="4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Depreciation expense totaled $17,801,000, $22,915,000 and $30,442,000 for the years ended June 30, 1999, 2000 and 2001,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INTANGIBLE ASSETS</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components of the Company's various intangible assets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2000</w:t>
            </w:r>
          </w:p>
        </w:tc>
        <w:tc>
          <w:tcPr>
            <w:tcW w:w="40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Capitalized Software:</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0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Product technology from acquisitions and strategic agreement</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35,427</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252,378</w:t>
            </w:r>
          </w:p>
        </w:tc>
      </w:tr>
      <w:tr>
        <w:trPr>
          <w:trHeight w:val="168"/>
        </w:trPr>
        <w:tc>
          <w:tcPr>
            <w:tcW w:w="60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Internal development costs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16,799</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21,771</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52,226</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274,149</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w:t>
            </w: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15,037</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87,128</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Capitalized software, net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37,189</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187,021</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0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Goodwill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230,550</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$1,009,834</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w:t>
            </w: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189,665</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17,245</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Goodwill, net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213,305</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820,169</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Strategic agreements: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0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9"/>
              </w:rPr>
              <w:t>Strategic agreements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744,424</w:t>
            </w:r>
          </w:p>
        </w:tc>
      </w:tr>
      <w:tr>
        <w:trPr>
          <w:trHeight w:val="168"/>
        </w:trPr>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w:t>
            </w: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accumulated amortization ............................</w:t>
            </w:r>
          </w:p>
        </w:tc>
        <w:tc>
          <w:tcPr>
            <w:tcW w:w="40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101,212</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40" w:type="dxa"/>
            <w:vAlign w:val="bottom"/>
          </w:tcPr>
          <w:p>
            <w:pPr>
              <w:spacing w:after="0"/>
              <w:rPr>
                <w:sz w:val="14"/>
                <w:szCs w:val="14"/>
                <w:color w:val="auto"/>
              </w:rPr>
            </w:pPr>
          </w:p>
        </w:tc>
        <w:tc>
          <w:tcPr>
            <w:tcW w:w="48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Strategic agreements, net .......................</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643,212</w:t>
            </w:r>
          </w:p>
        </w:tc>
      </w:tr>
      <w:tr>
        <w:trPr>
          <w:trHeight w:val="168"/>
        </w:trPr>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281"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37</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jc w:val="right"/>
              <w:ind w:right="2467"/>
              <w:spacing w:after="0"/>
              <w:rPr>
                <w:sz w:val="20"/>
                <w:szCs w:val="20"/>
                <w:color w:val="auto"/>
              </w:rPr>
            </w:pPr>
            <w:r>
              <w:rPr>
                <w:rFonts w:ascii="Courier New" w:cs="Courier New" w:eastAsia="Courier New" w:hAnsi="Courier New"/>
                <w:sz w:val="15"/>
                <w:szCs w:val="15"/>
                <w:color w:val="auto"/>
                <w:w w:val="96"/>
              </w:rPr>
              <w:t>Other intangible assets: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Workforce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8,771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$ 11,944</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Tradenames ...................................</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19,668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47,968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Customer base ................................</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16,358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45,358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Covenants not to compete .....................</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464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45,997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106,470</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Less accumulated amortization ................</w:t>
            </w:r>
          </w:p>
        </w:tc>
        <w:tc>
          <w:tcPr>
            <w:tcW w:w="3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8,022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59,352</w:t>
            </w:r>
          </w:p>
        </w:tc>
      </w:tr>
      <w:tr>
        <w:trPr>
          <w:trHeight w:val="168"/>
        </w:trPr>
        <w:tc>
          <w:tcPr>
            <w:tcW w:w="464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 intangible assets, net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37,975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$ 47,118</w:t>
            </w:r>
          </w:p>
        </w:tc>
      </w:tr>
      <w:tr>
        <w:trPr>
          <w:trHeight w:val="168"/>
        </w:trPr>
        <w:tc>
          <w:tcPr>
            <w:tcW w:w="464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Significant additions to intangible assets resulted from the acquisitions and strategic agreement described in Notes 2 and 3,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of intangible assets totaled $6,829,000, $19,915,000 and</w:t>
      </w:r>
    </w:p>
    <w:p>
      <w:pPr>
        <w:spacing w:after="0" w:line="237" w:lineRule="auto"/>
        <w:rPr>
          <w:sz w:val="20"/>
          <w:szCs w:val="20"/>
          <w:color w:val="auto"/>
        </w:rPr>
      </w:pPr>
      <w:r>
        <w:rPr>
          <w:rFonts w:ascii="Courier New" w:cs="Courier New" w:eastAsia="Courier New" w:hAnsi="Courier New"/>
          <w:sz w:val="15"/>
          <w:szCs w:val="15"/>
          <w:color w:val="auto"/>
        </w:rPr>
        <w:t>$397,053,000 for the years ended June 30, 1999, 2000 and 2001,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ACCRUED LIABILITIES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jc w:val="right"/>
              <w:ind w:right="707"/>
              <w:spacing w:after="0"/>
              <w:rPr>
                <w:sz w:val="20"/>
                <w:szCs w:val="20"/>
                <w:color w:val="auto"/>
              </w:rPr>
            </w:pPr>
            <w:r>
              <w:rPr>
                <w:rFonts w:ascii="Courier New" w:cs="Courier New" w:eastAsia="Courier New" w:hAnsi="Courier New"/>
                <w:sz w:val="15"/>
                <w:szCs w:val="15"/>
                <w:color w:val="auto"/>
                <w:w w:val="94"/>
              </w:rPr>
              <w:t>JUNE 30,</w:t>
            </w:r>
          </w:p>
        </w:tc>
      </w:tr>
      <w:tr>
        <w:trPr>
          <w:trHeight w:val="168"/>
        </w:trPr>
        <w:tc>
          <w:tcPr>
            <w:tcW w:w="4380" w:type="dxa"/>
            <w:vAlign w:val="bottom"/>
          </w:tcPr>
          <w:p>
            <w:pPr>
              <w:spacing w:after="0"/>
              <w:rPr>
                <w:sz w:val="14"/>
                <w:szCs w:val="14"/>
                <w:color w:val="auto"/>
              </w:rPr>
            </w:pPr>
          </w:p>
        </w:tc>
        <w:tc>
          <w:tcPr>
            <w:tcW w:w="2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3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Compensation and benefits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$25,288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$33,141</w:t>
            </w:r>
          </w:p>
        </w:tc>
      </w:tr>
      <w:tr>
        <w:trPr>
          <w:trHeight w:val="168"/>
        </w:trPr>
        <w:tc>
          <w:tcPr>
            <w:tcW w:w="4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7"/>
              </w:rPr>
              <w:t>Other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18,670</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26,949</w:t>
            </w:r>
          </w:p>
        </w:tc>
      </w:tr>
      <w:tr>
        <w:trPr>
          <w:trHeight w:val="168"/>
        </w:trPr>
        <w:tc>
          <w:tcPr>
            <w:tcW w:w="43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$43,958</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$60,090</w:t>
            </w:r>
          </w:p>
        </w:tc>
      </w:tr>
      <w:tr>
        <w:trPr>
          <w:trHeight w:val="168"/>
        </w:trPr>
        <w:tc>
          <w:tcPr>
            <w:tcW w:w="43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LINE OF CREDIT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w:t>
      </w:r>
    </w:p>
    <w:p>
      <w:pPr>
        <w:spacing w:after="0" w:line="17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January 2000, the Company completed a new line-of credit agreement, which matures on December 30, 2002. The agreement, which carries an interest rate of LIBOR plus 200 basis points or Prime, enables the Company to borrow up to $30 million and contains certain financial and operating covenants.</w:t>
      </w:r>
    </w:p>
    <w:p>
      <w:pPr>
        <w:spacing w:after="0" w:line="16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On February 20, 2001, the Company executed an amendment to the working capital line-of-credit agreement dated January 2000 to extend the term of the line through December 30, 2003. In addition, certain financial covenants contained in the agreement were changed to reflect acquisitions made during the fiscal year.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amounts were outstanding under the line at June 30, 2000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CONVERTIBLE SUBORDINATED NOTES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November 29, 1999, the Company issued $172.5 million of 6.5% convertible subordinated notes that are due on December 1, 2006. Interest on the notes is payable on June 1 and December 1 of each year, commencing June 1, 2000. The notes may be converted, at the holder's option, into 13.6612 shares of common stock per $1,000 of note value and the Company may redeem the notes at any time on or after December 1, 2002. At June 30, 2001, none of the notes had been converted to common stock. Interest expense on the notes for the years ended June 30, 2000 and 2001 was $7,307,000 and $12,119,000, respectively.</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38</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OBLIGATIONS UNDER CAPITAL LEASES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During 1993, the Company entered into a 20-year lease with the Department of Development of the State of Ohio for land and an office building located in Columbus, Ohio. The Company had the option to purchase the land and building for $1 at the termination of the lease and thus, the Company recorded the transaction as a capital lease. In June 1999, the Company completed a tax-free exchange of property involving the land and building under this capital lease. In order to exercise its purchase option and complete the transaction, the Company paid $2.5 million of principal obligations under the lease, and placed an additional $3.6 million in escrow. The Company and the State of Ohio entered into an escrow agreement whereby the funds deposited were used to make scheduled principal and interest payments through September 1, 2000, and retire the remaining principal obligation at that date. The net gain resulting from the sale of the property amounted to $1.1 million and is included in the Net Gain on Dispositions of Assets in the Company's 1999 Consolidated Statement of Operations. Amounts deposited with the escrow trustee are included in current and noncurrent assets and liabilities, based on the respective principal repayment dates, in the Company's June 30, 2000 Consolidated Balance Sheet.</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also leases certain equipment and software licenses under capital leases. The Company is required to pay certain taxes, insurance and other expenses related to the leased property.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consolidated balance sheets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5300" w:type="dxa"/>
            <w:vAlign w:val="bottom"/>
          </w:tcPr>
          <w:p>
            <w:pPr>
              <w:spacing w:after="0"/>
              <w:rPr>
                <w:sz w:val="14"/>
                <w:szCs w:val="14"/>
                <w:color w:val="auto"/>
              </w:rPr>
            </w:pP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Equipment and software licenses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$3,654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$8,122</w:t>
            </w:r>
          </w:p>
        </w:tc>
      </w:tr>
      <w:tr>
        <w:trPr>
          <w:trHeight w:val="168"/>
        </w:trPr>
        <w:tc>
          <w:tcPr>
            <w:tcW w:w="5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Less accumulated depreciation and amortization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3,190</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Property under capital leases, net .......</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$4,932</w:t>
            </w:r>
          </w:p>
        </w:tc>
      </w:tr>
      <w:tr>
        <w:trPr>
          <w:trHeight w:val="168"/>
        </w:trPr>
        <w:tc>
          <w:tcPr>
            <w:tcW w:w="5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Future minimum lease payments required by the capital leases and the net future minimum lease payments are as follows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jc w:val="right"/>
              <w:ind w:right="3687"/>
              <w:spacing w:after="0"/>
              <w:rPr>
                <w:sz w:val="20"/>
                <w:szCs w:val="20"/>
                <w:color w:val="auto"/>
              </w:rPr>
            </w:pPr>
            <w:r>
              <w:rPr>
                <w:rFonts w:ascii="Courier New" w:cs="Courier New" w:eastAsia="Courier New" w:hAnsi="Courier New"/>
                <w:sz w:val="15"/>
                <w:szCs w:val="15"/>
                <w:color w:val="auto"/>
                <w:w w:val="97"/>
              </w:rPr>
              <w:t>FISCAL YEAR ENDING JUNE 30,</w:t>
            </w:r>
          </w:p>
        </w:tc>
        <w:tc>
          <w:tcPr>
            <w:tcW w:w="860" w:type="dxa"/>
            <w:vAlign w:val="bottom"/>
          </w:tcPr>
          <w:p>
            <w:pPr>
              <w:spacing w:after="0"/>
              <w:rPr>
                <w:sz w:val="14"/>
                <w:szCs w:val="14"/>
                <w:color w:val="auto"/>
              </w:rPr>
            </w:pP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2002 .............................................................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2003 .............................................................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2004 .............................................................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2005 .............................................................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2006 .............................................................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Thereafter .......................................................</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future minimum lease payments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6,371</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Less amount representing interest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w:t>
            </w:r>
          </w:p>
        </w:tc>
      </w:tr>
      <w:tr>
        <w:trPr>
          <w:trHeight w:val="168"/>
        </w:trPr>
        <w:tc>
          <w:tcPr>
            <w:tcW w:w="6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future minimum lease payments .................</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w:t>
            </w:r>
          </w:p>
        </w:tc>
      </w:tr>
      <w:tr>
        <w:trPr>
          <w:trHeight w:val="168"/>
        </w:trPr>
        <w:tc>
          <w:tcPr>
            <w:tcW w:w="6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540"/>
        <w:spacing w:after="0"/>
        <w:tabs>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OPERATING LEASES</w:t>
      </w:r>
    </w:p>
    <w:p>
      <w:pPr>
        <w:spacing w:after="0" w:line="173"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years ended June 30, 1999, 2000 and 2001, was $13,413,000, $19,095,000 and $26,519,000, respectively.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39</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future rental payments under these leases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jc w:val="right"/>
              <w:ind w:right="3507"/>
              <w:spacing w:after="0"/>
              <w:rPr>
                <w:sz w:val="20"/>
                <w:szCs w:val="20"/>
                <w:color w:val="auto"/>
              </w:rPr>
            </w:pPr>
            <w:r>
              <w:rPr>
                <w:rFonts w:ascii="Courier New" w:cs="Courier New" w:eastAsia="Courier New" w:hAnsi="Courier New"/>
                <w:sz w:val="15"/>
                <w:szCs w:val="15"/>
                <w:color w:val="auto"/>
                <w:w w:val="97"/>
              </w:rPr>
              <w:t>FISCAL YEAR ENDING JUNE 30,</w:t>
            </w:r>
          </w:p>
        </w:tc>
        <w:tc>
          <w:tcPr>
            <w:tcW w:w="1040" w:type="dxa"/>
            <w:vAlign w:val="bottom"/>
          </w:tcPr>
          <w:p>
            <w:pPr>
              <w:spacing w:after="0"/>
              <w:rPr>
                <w:sz w:val="14"/>
                <w:szCs w:val="14"/>
                <w:color w:val="auto"/>
              </w:rPr>
            </w:pP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2002 ...........................................................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$ 23,625</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2003 ...........................................................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20,159</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2004 ...........................................................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14,465</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2005 ...........................................................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8,866</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2006 ...........................................................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8,077</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Thereafter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44,703</w:t>
            </w:r>
          </w:p>
        </w:tc>
      </w:tr>
      <w:tr>
        <w:trPr>
          <w:trHeight w:val="168"/>
        </w:trPr>
        <w:tc>
          <w:tcPr>
            <w:tcW w:w="59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future minimum lease payments ...............</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$119,895</w:t>
            </w:r>
          </w:p>
        </w:tc>
      </w:tr>
      <w:tr>
        <w:trPr>
          <w:trHeight w:val="168"/>
        </w:trPr>
        <w:tc>
          <w:tcPr>
            <w:tcW w:w="59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EMPLOYEE BENEFIT PLANS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RETIREMENT PLAN - The Company has a defined contribution 401(k) retirement plan covering substantially all of its employees. Under the plan eligible employees may contribute a portion of their salary until retirement and the Company, at its discretion, may match a portion of the employee's contribution. Total expense under the plan amounted to $1,218,000, $2,886,000 and $3,528,000, for the years ended June 30, 1999, 2000 and 2001, respectively.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DEFERRED COMPENSATION PLAN - In January 1999, the Company established a deferred compensation plan (the "DCP") covering highly compensated employees as defined by the DCP. Under the plan, eligible employees may contribute a portion of their salary on a pre-tax basis. The DCP is a non-qualified plan, therefore the associated liabilities are included in the Company's June 30, 2000 and 2001 Consolidated Balance Sheets. In addition, the Company has established a rabbi trust to finance obligations under the DCP with corporate-owned life insurance policies on participants. The cash surrender value of such policies is also included in the Company's June 30, 2000 and 2001 Consolidated Balance Sheets. Total expense under the DCP for the periods ended June 30, 2000 and 2001 amounted to $162,000 and $77,000, respectively.</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GROUP MEDICAL PLANS - Effective January 1, 2000, the Company converted all of its employees to a group medical self-insurance plan. The Company has employed an administrator to manage this plan. Under terms of this plan, both the Company and eligible employees are required to make contributions. The administrator reviews all claims filed and authorizes the payment of benefits. The Company has stop-loss insurance coverage on all individual claims exceeding $150,000. Prior to January 1, 2000, the Company had a group medical self-insurance plan covering certain of its employees, and medical insurance coverage under managed care health plans covering the remaining employees. Total expense for medical insurance coverage amounted to $4,430,000, $7,359,000, and $11,116,000 for the years ended June 30, 1999, 2000 and 2001, respectively. Under the self-insurance plans, the Company expenses amounts as claims are incurred and recognizes a liability for incurred but not reported claims. At June 30, 2000 and 2001, the Company accrued $2,513,000 and $4,061,000, respectively, as a liability for costs incurred but not paid under these plans.</w:t>
      </w:r>
    </w:p>
    <w:p>
      <w:pPr>
        <w:spacing w:after="0" w:line="33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CAPITAL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1, 2000, the Company's stockholders approved an increase in the number of authorized shares of the Company from 165,000,000 to 550,000,000, consisting of 500,000,000 shares of common stock, $.01 par value, 48,500,000 shares of preferred stock, $.01 par value, and 1,500,000 shares of Series A Junior Participating Cumulative Preferred Stock, $.01 par value. The preferred stock may be issued in one or more series and may be established with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40</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TRANSACTIONS INVOLVING EQUITY INSTRUMENTS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PLANS</w:t>
      </w:r>
    </w:p>
    <w:p>
      <w:pPr>
        <w:spacing w:after="0" w:line="173" w:lineRule="exact"/>
        <w:rPr>
          <w:sz w:val="20"/>
          <w:szCs w:val="20"/>
          <w:color w:val="auto"/>
        </w:rPr>
      </w:pPr>
    </w:p>
    <w:p>
      <w:pPr>
        <w:ind w:right="3420"/>
        <w:spacing w:after="0" w:line="237" w:lineRule="auto"/>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dated of grant. The 1995 Plan originally provided that the Company may grant options for not more than 5,000,000 shares of common stock to certain key employees, officers and directors. In November of 1998 and again in November of 2000, the 1995 Plan was amended by a vote of the Company's shareholders to extend the maximum option grants to not more than 8,000,000 shares and not more than 12,000,000 shares, respectively. Options granted under the 1995 and 1993 Plans are exercisable according to the terms of each option, however, in the event of a change in control or merger as defined, the options shall become immediately exercisable. At June 30, 2001, 4,100,085 additional shares are available for grant in the aggregate for all Plans.</w:t>
      </w:r>
    </w:p>
    <w:p>
      <w:pPr>
        <w:spacing w:after="0" w:line="175" w:lineRule="exact"/>
        <w:rPr>
          <w:sz w:val="20"/>
          <w:szCs w:val="20"/>
          <w:color w:val="auto"/>
        </w:rPr>
      </w:pPr>
    </w:p>
    <w:p>
      <w:pPr>
        <w:ind w:right="3420"/>
        <w:spacing w:after="0" w:line="255" w:lineRule="auto"/>
        <w:rPr>
          <w:sz w:val="20"/>
          <w:szCs w:val="20"/>
          <w:color w:val="auto"/>
        </w:rPr>
      </w:pPr>
      <w:r>
        <w:rPr>
          <w:rFonts w:ascii="Courier New" w:cs="Courier New" w:eastAsia="Courier New" w:hAnsi="Courier New"/>
          <w:sz w:val="14"/>
          <w:szCs w:val="14"/>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66"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6" w:lineRule="exact"/>
        <w:rPr>
          <w:sz w:val="20"/>
          <w:szCs w:val="20"/>
          <w:color w:val="auto"/>
        </w:rPr>
      </w:pPr>
    </w:p>
    <w:p>
      <w:pPr>
        <w:ind w:right="3580"/>
        <w:spacing w:after="0" w:line="234" w:lineRule="auto"/>
        <w:rPr>
          <w:sz w:val="20"/>
          <w:szCs w:val="20"/>
          <w:color w:val="auto"/>
        </w:rPr>
      </w:pPr>
      <w:r>
        <w:rPr>
          <w:rFonts w:ascii="Courier New" w:cs="Courier New" w:eastAsia="Courier New" w:hAnsi="Courier New"/>
          <w:sz w:val="15"/>
          <w:szCs w:val="15"/>
          <w:color w:val="auto"/>
        </w:rPr>
        <w:t>The following table summarizes stock option activity from July 1, 1998 to June 30,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69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60" w:type="dxa"/>
            <w:vAlign w:val="bottom"/>
          </w:tcPr>
          <w:p>
            <w:pPr>
              <w:spacing w:after="0"/>
              <w:rPr>
                <w:sz w:val="14"/>
                <w:szCs w:val="14"/>
                <w:color w:val="auto"/>
              </w:rPr>
            </w:pPr>
          </w:p>
        </w:tc>
        <w:tc>
          <w:tcPr>
            <w:tcW w:w="232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 1999</w:t>
            </w:r>
          </w:p>
        </w:tc>
        <w:tc>
          <w:tcPr>
            <w:tcW w:w="240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JUNE 30, 2000</w:t>
            </w:r>
          </w:p>
        </w:tc>
        <w:tc>
          <w:tcPr>
            <w:tcW w:w="22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 2001</w:t>
            </w:r>
          </w:p>
        </w:tc>
      </w:tr>
      <w:tr>
        <w:trPr>
          <w:trHeight w:val="168"/>
        </w:trPr>
        <w:tc>
          <w:tcPr>
            <w:tcW w:w="3460" w:type="dxa"/>
            <w:vAlign w:val="bottom"/>
          </w:tcPr>
          <w:p>
            <w:pPr>
              <w:spacing w:after="0"/>
              <w:rPr>
                <w:sz w:val="14"/>
                <w:szCs w:val="14"/>
                <w:color w:val="auto"/>
              </w:rPr>
            </w:pPr>
          </w:p>
        </w:tc>
        <w:tc>
          <w:tcPr>
            <w:tcW w:w="69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AVERAGE</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4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NUMBER OF</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200" w:type="dxa"/>
            <w:vAlign w:val="bottom"/>
          </w:tcPr>
          <w:p>
            <w:pPr>
              <w:spacing w:after="0"/>
              <w:rPr>
                <w:sz w:val="14"/>
                <w:szCs w:val="14"/>
                <w:color w:val="auto"/>
              </w:rPr>
            </w:pP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3460" w:type="dxa"/>
            <w:vAlign w:val="bottom"/>
          </w:tcPr>
          <w:p>
            <w:pPr>
              <w:spacing w:after="0"/>
              <w:rPr>
                <w:sz w:val="14"/>
                <w:szCs w:val="14"/>
                <w:color w:val="auto"/>
              </w:rPr>
            </w:pP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OF SHARES</w:t>
            </w:r>
          </w:p>
        </w:tc>
        <w:tc>
          <w:tcPr>
            <w:tcW w:w="20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460" w:type="dxa"/>
            <w:vAlign w:val="bottom"/>
          </w:tcPr>
          <w:p>
            <w:pPr>
              <w:spacing w:after="0"/>
              <w:rPr>
                <w:sz w:val="14"/>
                <w:szCs w:val="14"/>
                <w:color w:val="auto"/>
              </w:rPr>
            </w:pPr>
          </w:p>
        </w:tc>
        <w:tc>
          <w:tcPr>
            <w:tcW w:w="69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Outstanding - Beginning of period ....</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4,365,562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15.23</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5,196,600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18.69</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6,161,785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1,575,057</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1,476,957</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74.45</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2,049,049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Assumed with BlueGill acquisition ....</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637,746</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 ............................</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(354,758)</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(794,778)</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12.32</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(635,205)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Cancelled ............................</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(389,261)</w:t>
            </w:r>
          </w:p>
        </w:tc>
        <w:tc>
          <w:tcPr>
            <w:tcW w:w="2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(354,740)</w:t>
            </w:r>
          </w:p>
        </w:tc>
        <w:tc>
          <w:tcPr>
            <w:tcW w:w="2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27.16</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(447,488)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34.24</w:t>
            </w:r>
          </w:p>
        </w:tc>
      </w:tr>
      <w:tr>
        <w:trPr>
          <w:trHeight w:val="168"/>
        </w:trPr>
        <w:tc>
          <w:tcPr>
            <w:tcW w:w="34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 End of period ..........</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5,196,600</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18.69</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6,161,785</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7,128,141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36.96</w:t>
            </w:r>
          </w:p>
        </w:tc>
      </w:tr>
      <w:tr>
        <w:trPr>
          <w:trHeight w:val="168"/>
        </w:trPr>
        <w:tc>
          <w:tcPr>
            <w:tcW w:w="34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  at end of period</w:t>
            </w: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1,394,269</w:t>
            </w: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1,850,887</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13.58</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2,588,418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26.40</w:t>
            </w:r>
          </w:p>
        </w:tc>
      </w:tr>
      <w:tr>
        <w:trPr>
          <w:trHeight w:val="168"/>
        </w:trPr>
        <w:tc>
          <w:tcPr>
            <w:tcW w:w="34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per share value of</w:t>
            </w: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 during the year ......</w:t>
            </w:r>
          </w:p>
        </w:tc>
        <w:tc>
          <w:tcPr>
            <w:tcW w:w="1220" w:type="dxa"/>
            <w:vAlign w:val="bottom"/>
          </w:tcPr>
          <w:p>
            <w:pPr>
              <w:spacing w:after="0"/>
              <w:rPr>
                <w:sz w:val="14"/>
                <w:szCs w:val="14"/>
                <w:color w:val="auto"/>
              </w:rPr>
            </w:pPr>
          </w:p>
        </w:tc>
        <w:tc>
          <w:tcPr>
            <w:tcW w:w="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17.65</w:t>
            </w:r>
          </w:p>
        </w:tc>
        <w:tc>
          <w:tcPr>
            <w:tcW w:w="1280" w:type="dxa"/>
            <w:vAlign w:val="bottom"/>
          </w:tcPr>
          <w:p>
            <w:pPr>
              <w:spacing w:after="0"/>
              <w:rPr>
                <w:sz w:val="14"/>
                <w:szCs w:val="14"/>
                <w:color w:val="auto"/>
              </w:rPr>
            </w:pP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48.16</w:t>
            </w:r>
          </w:p>
        </w:tc>
        <w:tc>
          <w:tcPr>
            <w:tcW w:w="124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32.06</w:t>
            </w:r>
          </w:p>
        </w:tc>
      </w:tr>
      <w:tr>
        <w:trPr>
          <w:trHeight w:val="168"/>
        </w:trPr>
        <w:tc>
          <w:tcPr>
            <w:tcW w:w="3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420"/>
          </w:cols>
          <w:pgMar w:left="220" w:top="281" w:right="1259" w:bottom="1026"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420"/>
          </w:cols>
          <w:pgMar w:left="220" w:top="281" w:right="1259" w:bottom="1026"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41</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237" w:lineRule="auto"/>
        <w:rPr>
          <w:sz w:val="20"/>
          <w:szCs w:val="20"/>
          <w:color w:val="auto"/>
        </w:rPr>
      </w:pPr>
      <w:r>
        <w:rPr>
          <w:rFonts w:ascii="Courier New" w:cs="Courier New" w:eastAsia="Courier New" w:hAnsi="Courier New"/>
          <w:sz w:val="15"/>
          <w:szCs w:val="15"/>
          <w:color w:val="auto"/>
        </w:rPr>
        <w:t>June 30,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OPTIONS OUTSTANDING</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6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76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96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540" w:type="dxa"/>
            <w:vAlign w:val="bottom"/>
          </w:tcPr>
          <w:p>
            <w:pPr>
              <w:spacing w:after="0"/>
              <w:rPr>
                <w:sz w:val="14"/>
                <w:szCs w:val="14"/>
                <w:color w:val="auto"/>
              </w:rPr>
            </w:pPr>
          </w:p>
        </w:tc>
        <w:tc>
          <w:tcPr>
            <w:tcW w:w="30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5"/>
              </w:rPr>
              <w:t>RANGE OF EXERCISE PRICE</w:t>
            </w:r>
          </w:p>
        </w:tc>
        <w:tc>
          <w:tcPr>
            <w:tcW w:w="960" w:type="dxa"/>
            <w:vAlign w:val="bottom"/>
          </w:tcPr>
          <w:p>
            <w:pPr>
              <w:spacing w:after="0"/>
              <w:rPr>
                <w:sz w:val="14"/>
                <w:szCs w:val="14"/>
                <w:color w:val="auto"/>
              </w:rPr>
            </w:pPr>
          </w:p>
        </w:tc>
        <w:tc>
          <w:tcPr>
            <w:tcW w:w="1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EXERCISE</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LIFE</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NUMBER</w:t>
            </w:r>
          </w:p>
        </w:tc>
        <w:tc>
          <w:tcPr>
            <w:tcW w:w="2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2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3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$ 0.01 - $ 15...........................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2,401,968</w:t>
            </w:r>
          </w:p>
        </w:tc>
        <w:tc>
          <w:tcPr>
            <w:tcW w:w="17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1,353,596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$15.01</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$ 30.00........................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461,833</w:t>
            </w:r>
          </w:p>
        </w:tc>
        <w:tc>
          <w:tcPr>
            <w:tcW w:w="1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6.7</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22.24</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308,218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22.49</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$30.01</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$ 60.00........................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3,467,498</w:t>
            </w:r>
          </w:p>
        </w:tc>
        <w:tc>
          <w:tcPr>
            <w:tcW w:w="1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8.8</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45.24</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702,933</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43.95</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$60.01</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$ 90.00........................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275,050</w:t>
            </w:r>
          </w:p>
        </w:tc>
        <w:tc>
          <w:tcPr>
            <w:tcW w:w="1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8.6</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48,070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79.54</w:t>
            </w: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$90.01</w:t>
            </w:r>
          </w:p>
        </w:tc>
        <w:tc>
          <w:tcPr>
            <w:tcW w:w="3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$120.00........................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521,792</w:t>
            </w:r>
          </w:p>
        </w:tc>
        <w:tc>
          <w:tcPr>
            <w:tcW w:w="170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8.5</w:t>
            </w:r>
          </w:p>
        </w:tc>
        <w:tc>
          <w:tcPr>
            <w:tcW w:w="1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104.50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175,601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104.50</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7,128,141</w:t>
            </w:r>
          </w:p>
        </w:tc>
        <w:tc>
          <w:tcPr>
            <w:tcW w:w="17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2,588,418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26.40</w:t>
            </w:r>
          </w:p>
        </w:tc>
      </w:tr>
      <w:tr>
        <w:trPr>
          <w:trHeight w:val="168"/>
        </w:trPr>
        <w:tc>
          <w:tcPr>
            <w:tcW w:w="5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years ended June 30, 1999, 2000 and 2001, respectively: dividend yield of 0% in all periods; expected volatility of 49%, 83% and 98%; risk-free interest rates of 5.87%, 6.30%, and 5.62%; and expected lives of two to seven years.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agreed to assume responsibility for the 1997 and 1998 Employee Incentive Stock Option Plans of BlueGill Technologies, Inc. in conjunction with the acquisition of BlueGill in April 2000. All outstanding options were converted to equivalent CheckFree options as specifically prescribed in the Asset Purchase Agreement. The fair value of the options assumed of $18.5 million was estimated on the acquisition date using the Black-Scholes option pricing model with the following weighted-average assumptions used: dividend yield of 0%, expected volatility of 83%; risk-free interest rate of 6.60% and expected lives of one half to seven years. The estimated fair value of the assumed option plans was added to the fair value of Company stock issued in determining the purchase price of BlueGill.</w:t>
      </w:r>
    </w:p>
    <w:p>
      <w:pPr>
        <w:spacing w:after="0" w:line="34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September 1998, the Company offered an option repricing program to its employees. Under the terms of the offer, employees had one week to return any outstanding option grant in its entirety and replace it on a share-for-share basis for an option grant with an exercise price equal to the fair market value of the Company's Common Stock at the new grant date. Only those exchanges received within one day of the designated grant date were accepted and any vested options in such returned grants were forfeited. The lives of returned historical grants typically ranged from three to five years with straight line vesting beginning one year from the original grant date. All newly issued option grants had a life of five years with vesting to occur at 40% beginning two years from the new grant date and 20% for each year thereafter. A total of 1,418,403 options were returned and had the offer taken place at June 30, 1998, the options exercisable would have decreased by 95,614.</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Participation in the plan by eligible employees has ranged from 30% to 50% in any given six-month period. Under the Plan, 48,748 shares were issued in January of 1999, 46,819 in July of 1999, 52,191 in January of 2000 and 34,941 in July of 2000, 56,901 in January of 2001 and 79,058 in July of 2001 from employees' salary withholdings from the respective previous six-month period. As of June 30, 2001 there were 601,973 shares available for future issuance to the Associate Stock Purchase Plan. Following is a summary of the weighted average fair market value of this look-back option estimated on the grant date using the Black-Scholes option pricing model, and the related assumptions used: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281" w:right="1440"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42</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tbl>
      <w:tblPr>
        <w:tblLayout w:type="fixed"/>
        <w:tblInd w:w="0" w:type="dxa"/>
        <w:tblCellMar>
          <w:top w:w="0" w:type="dxa"/>
          <w:left w:w="0" w:type="dxa"/>
          <w:bottom w:w="0" w:type="dxa"/>
          <w:right w:w="0" w:type="dxa"/>
        </w:tblCellMar>
      </w:tblPr>
      <w:tr>
        <w:trPr>
          <w:trHeight w:val="168"/>
        </w:trPr>
        <w:tc>
          <w:tcPr>
            <w:tcW w:w="6260" w:type="dxa"/>
            <w:vAlign w:val="bottom"/>
            <w:gridSpan w:val="7"/>
          </w:tcPr>
          <w:p>
            <w:pPr>
              <w:jc w:val="right"/>
              <w:ind w:right="147"/>
              <w:spacing w:after="0" w:line="168" w:lineRule="exact"/>
              <w:rPr>
                <w:sz w:val="20"/>
                <w:szCs w:val="20"/>
                <w:color w:val="auto"/>
              </w:rPr>
            </w:pPr>
            <w:r>
              <w:rPr>
                <w:rFonts w:ascii="Courier New" w:cs="Courier New" w:eastAsia="Courier New" w:hAnsi="Courier New"/>
                <w:sz w:val="15"/>
                <w:szCs w:val="15"/>
                <w:color w:val="auto"/>
              </w:rPr>
              <w:t>NOTES TO CONSOLIDATED FINANCIAL STATEMENTS - (CONTINUED)</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41"/>
        </w:trPr>
        <w:tc>
          <w:tcPr>
            <w:tcW w:w="250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June 30,</w:t>
            </w:r>
          </w:p>
        </w:tc>
        <w:tc>
          <w:tcPr>
            <w:tcW w:w="13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June</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68"/>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2000</w:t>
            </w:r>
          </w:p>
        </w:tc>
        <w:tc>
          <w:tcPr>
            <w:tcW w:w="9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500" w:type="dxa"/>
            <w:vAlign w:val="bottom"/>
          </w:tcPr>
          <w:p>
            <w:pPr>
              <w:spacing w:after="0"/>
              <w:rPr>
                <w:sz w:val="14"/>
                <w:szCs w:val="14"/>
                <w:color w:val="auto"/>
              </w:rPr>
            </w:pPr>
          </w:p>
        </w:tc>
        <w:tc>
          <w:tcPr>
            <w:tcW w:w="714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Fair value of options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29.15</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11.63</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r>
        <w:trPr>
          <w:trHeight w:val="168"/>
        </w:trPr>
        <w:tc>
          <w:tcPr>
            <w:tcW w:w="250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w w:val="96"/>
              </w:rPr>
              <w:t>Assumptions: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Expected life .........</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 months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3 months</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 months</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 months</w:t>
            </w:r>
          </w:p>
        </w:tc>
        <w:tc>
          <w:tcPr>
            <w:tcW w:w="13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3 months</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 months</w:t>
            </w:r>
          </w:p>
        </w:tc>
      </w:tr>
      <w:tr>
        <w:trPr>
          <w:trHeight w:val="168"/>
        </w:trPr>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Volatility ............</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49.0%</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98.2%</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98.2%</w:t>
            </w:r>
          </w:p>
        </w:tc>
      </w:tr>
      <w:tr>
        <w:trPr>
          <w:trHeight w:val="168"/>
        </w:trPr>
        <w:tc>
          <w:tcPr>
            <w:tcW w:w="2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Dividend yield ........</w:t>
            </w:r>
          </w:p>
        </w:tc>
        <w:tc>
          <w:tcPr>
            <w:tcW w:w="3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w:t>
            </w:r>
          </w:p>
        </w:tc>
        <w:tc>
          <w:tcPr>
            <w:tcW w:w="3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c>
          <w:tcPr>
            <w:tcW w:w="5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income (loss) and net income (loss) per share would have been as follows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YEAR ENDED JUNE</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30,</w:t>
            </w:r>
          </w:p>
        </w:tc>
        <w:tc>
          <w:tcPr>
            <w:tcW w:w="78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35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1999</w:t>
            </w:r>
          </w:p>
        </w:tc>
        <w:tc>
          <w:tcPr>
            <w:tcW w:w="3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42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 forma net income (loss) ..........</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(54,030)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(402,340)</w:t>
            </w:r>
          </w:p>
        </w:tc>
      </w:tr>
      <w:tr>
        <w:trPr>
          <w:trHeight w:val="168"/>
        </w:trPr>
        <w:tc>
          <w:tcPr>
            <w:tcW w:w="342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 forma net income (loss) per share;</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 and Diluted ..............</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3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342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year ended June 30, 2000 the Company issued 13,000 shares of restricted stock to certain of its key employees. Under the terms of the grants the shares vest annually over a five-year period and full vesting is dependent upon the continued employment of the employee for the duration of the vesting period. Shares issued were recorded at fair market value on the date of the grant with a corresponding charge to stockholders' equity. The unearned portion is being amortized as compensation expense on a straight-line basis over the related vesting period.</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74,981 shares in August 1998, 36,226 shares in August of 1999 and 51,834 shares in August 2000 to fund its 401(k) match that had accrued during the years ended June 30, 1998, 1999 and 2000, respectively. As of June 30, 2001 there were 758,702 shares available for future contributions to the 401(k)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RELATED TRANSACTIONS WITH THIRD PARTIES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October 2000, the Company completed an agreement to acquire various electronic billing and payment assets from Bank of America in exchange for 10 million shares of the Company's common stock. Bank of America has the ability to earn warrants on up to 10 million additional shares, eight million of which vest upon achievement of specific levels of subscriber adoption of electronic billing and payment services and separately, two million upon achievement of specific levels of electronic bills presented to those subscribers. Upon the vesting of these warrants becoming probable, the Company will record a charge for the fair value of the warrants, based on a Black-Scholes valuation which will take into consideration the market value of our stock, the $32.50 strike price of the warrants, the volatility of our stock and the applicable risk-free interest rate at that time.</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281" w:right="1440" w:bottom="1440" w:gutter="0" w:footer="0" w:header="0"/>
          <w:type w:val="continuous"/>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43</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In October 1999, the Company entered into an agreement with one of its customers. Under the terms of the agreement, the customer purchased 250,000 shares of the Company's stock, has been issued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the vesting becoming probable, the Company will record a charge for the fair value of the warrants, based on a Black-Scholes valuation which will take into consideration the market value of our stock, the $39.25 strike price, the volatility of our stock and the applicable risk-free interest rate at that time.</w:t>
      </w:r>
    </w:p>
    <w:p>
      <w:pPr>
        <w:spacing w:after="0" w:line="333" w:lineRule="exact"/>
        <w:rPr>
          <w:sz w:val="20"/>
          <w:szCs w:val="20"/>
          <w:color w:val="auto"/>
        </w:rPr>
      </w:pPr>
    </w:p>
    <w:p>
      <w:pPr>
        <w:ind w:right="4700"/>
        <w:spacing w:after="0" w:line="254" w:lineRule="auto"/>
        <w:rPr>
          <w:sz w:val="20"/>
          <w:szCs w:val="20"/>
          <w:color w:val="auto"/>
        </w:rPr>
      </w:pPr>
      <w:r>
        <w:rPr>
          <w:rFonts w:ascii="Courier New" w:cs="Courier New" w:eastAsia="Courier New" w:hAnsi="Courier New"/>
          <w:sz w:val="14"/>
          <w:szCs w:val="14"/>
          <w:color w:val="auto"/>
        </w:rPr>
        <w:t>In January 1998 the Company entered into a 10-year processing agreement with a strategic partner. Under the terms of the agreement, the partner acquired</w:t>
      </w:r>
    </w:p>
    <w:p>
      <w:pPr>
        <w:spacing w:after="0" w:line="1" w:lineRule="exact"/>
        <w:rPr>
          <w:sz w:val="20"/>
          <w:szCs w:val="20"/>
          <w:color w:val="auto"/>
        </w:rPr>
      </w:pPr>
    </w:p>
    <w:p>
      <w:pPr>
        <w:ind w:right="4540"/>
        <w:spacing w:after="0" w:line="237" w:lineRule="auto"/>
        <w:rPr>
          <w:sz w:val="20"/>
          <w:szCs w:val="20"/>
          <w:color w:val="auto"/>
        </w:rPr>
      </w:pPr>
      <w:r>
        <w:rPr>
          <w:rFonts w:ascii="Courier New" w:cs="Courier New" w:eastAsia="Courier New" w:hAnsi="Courier New"/>
          <w:sz w:val="15"/>
          <w:szCs w:val="15"/>
          <w:color w:val="auto"/>
        </w:rPr>
        <w:t>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pricing model valuation of $10.80 per share using the following assumptions: risk-free rate of 5.7%, expected life of 10 years, and volatility rate of 56.4%. Any shares acquired by the strategic partner under the terms of this agreement are subject to certain transfer and other restrictions. During each of the fiscal years ended June 30, 2000 and 2001 the strategic partner exercised 750,000 of the vested options and 1,500,000 remain outstanding. During the year ended June 30, 2001, the strategic partner's business was dissolved and therefore does not have the ability to earn any of the remaining seven million warrants.</w:t>
      </w:r>
    </w:p>
    <w:p>
      <w:pPr>
        <w:spacing w:after="0" w:line="173" w:lineRule="exact"/>
        <w:rPr>
          <w:sz w:val="20"/>
          <w:szCs w:val="20"/>
          <w:color w:val="auto"/>
        </w:rPr>
      </w:pPr>
    </w:p>
    <w:p>
      <w:pPr>
        <w:ind w:right="4540"/>
        <w:spacing w:after="0" w:line="237" w:lineRule="auto"/>
        <w:rPr>
          <w:sz w:val="20"/>
          <w:szCs w:val="20"/>
          <w:color w:val="auto"/>
        </w:rPr>
      </w:pPr>
      <w:r>
        <w:rPr>
          <w:rFonts w:ascii="Courier New" w:cs="Courier New" w:eastAsia="Courier New" w:hAnsi="Courier New"/>
          <w:sz w:val="15"/>
          <w:szCs w:val="15"/>
          <w:color w:val="auto"/>
        </w:rPr>
        <w:t>In March 1997 the Company entered into a consulting agreement with a third party. Under the terms of the agreement the consultant acquired 5-year options exercisable at $13.00 for up to 50,000 shares of the Company's Common Stock. In June of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key customers set forth in the agreement. Any shares acquired by the consultant under the terms of the agreement are subject to certain transfer restrictions.</w:t>
      </w:r>
    </w:p>
    <w:p>
      <w:pPr>
        <w:spacing w:after="0" w:line="173"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In accordance with the terms of a joint marketing agreement, a strategic partner has warrants to purchase up to 650,000 shares of the Company's Common Stock should the partner attain certain customer acquisition targets.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NOTES</w:t>
      </w:r>
    </w:p>
    <w:p>
      <w:pPr>
        <w:spacing w:after="0" w:line="173" w:lineRule="exact"/>
        <w:rPr>
          <w:sz w:val="20"/>
          <w:szCs w:val="20"/>
          <w:color w:val="auto"/>
        </w:rPr>
      </w:pPr>
    </w:p>
    <w:p>
      <w:pPr>
        <w:ind w:right="4540"/>
        <w:spacing w:after="0" w:line="256" w:lineRule="auto"/>
        <w:rPr>
          <w:sz w:val="20"/>
          <w:szCs w:val="20"/>
          <w:color w:val="auto"/>
        </w:rPr>
      </w:pPr>
      <w:r>
        <w:rPr>
          <w:rFonts w:ascii="Courier New" w:cs="Courier New" w:eastAsia="Courier New" w:hAnsi="Courier New"/>
          <w:sz w:val="14"/>
          <w:szCs w:val="14"/>
          <w:color w:val="auto"/>
        </w:rPr>
        <w:t>In November 1999 the Company issued $172.5 million of convertible subordinated notes. Each $1,000 note may be converted, at the holder's option, into 13.6612 shares of common stock at a conversion rate of $73.20 per share. The fair market value of the Company's stock on June 30, 2001 was $35.07 per share. Please refer to Note 11 for further information regarding the convertible subordinated notes.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EARNINGS PER SHARE</w:t>
      </w:r>
    </w:p>
    <w:p>
      <w:pPr>
        <w:spacing w:after="0" w:line="173" w:lineRule="exact"/>
        <w:rPr>
          <w:sz w:val="20"/>
          <w:szCs w:val="20"/>
          <w:color w:val="auto"/>
        </w:rPr>
      </w:pPr>
    </w:p>
    <w:p>
      <w:pPr>
        <w:jc w:val="both"/>
        <w:ind w:right="4620"/>
        <w:spacing w:after="0" w:line="235"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4"/>
          </w:tcPr>
          <w:p>
            <w:pPr>
              <w:jc w:val="center"/>
              <w:ind w:right="7"/>
              <w:spacing w:after="0"/>
              <w:rPr>
                <w:sz w:val="20"/>
                <w:szCs w:val="20"/>
                <w:color w:val="auto"/>
              </w:rPr>
            </w:pPr>
            <w:r>
              <w:rPr>
                <w:rFonts w:ascii="Courier New" w:cs="Courier New" w:eastAsia="Courier New" w:hAnsi="Courier New"/>
                <w:sz w:val="15"/>
                <w:szCs w:val="15"/>
                <w:color w:val="auto"/>
                <w:w w:val="97"/>
              </w:rPr>
              <w:t>Year Ended June 30, 1999</w:t>
            </w:r>
          </w:p>
        </w:tc>
        <w:tc>
          <w:tcPr>
            <w:tcW w:w="26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Year Ended</w:t>
            </w:r>
          </w:p>
        </w:tc>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June 30, 2000</w:t>
            </w:r>
          </w:p>
        </w:tc>
        <w:tc>
          <w:tcPr>
            <w:tcW w:w="278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Year Ended June 30, 2001</w:t>
            </w:r>
          </w:p>
        </w:tc>
      </w:tr>
      <w:tr>
        <w:trPr>
          <w:trHeight w:val="168"/>
        </w:trPr>
        <w:tc>
          <w:tcPr>
            <w:tcW w:w="28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27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Per-Share</w:t>
            </w:r>
          </w:p>
        </w:tc>
        <w:tc>
          <w:tcPr>
            <w:tcW w:w="2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Per-Share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Income</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Per-Share</w:t>
            </w:r>
          </w:p>
        </w:tc>
      </w:tr>
      <w:tr>
        <w:trPr>
          <w:trHeight w:val="168"/>
        </w:trPr>
        <w:tc>
          <w:tcPr>
            <w:tcW w:w="2800" w:type="dxa"/>
            <w:vAlign w:val="bottom"/>
          </w:tcPr>
          <w:p>
            <w:pPr>
              <w:spacing w:after="0"/>
              <w:rPr>
                <w:sz w:val="14"/>
                <w:szCs w:val="14"/>
                <w:color w:val="auto"/>
              </w:rPr>
            </w:pPr>
          </w:p>
        </w:tc>
        <w:tc>
          <w:tcPr>
            <w:tcW w:w="29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(Numerator) (Denominator) Amount</w:t>
            </w:r>
          </w:p>
        </w:tc>
        <w:tc>
          <w:tcPr>
            <w:tcW w:w="21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5"/>
              </w:rPr>
              <w:t>(Numerator) (Denominator)</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Amount</w:t>
            </w:r>
          </w:p>
        </w:tc>
        <w:tc>
          <w:tcPr>
            <w:tcW w:w="2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(Numerator) (Denominator)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280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c>
          <w:tcPr>
            <w:tcW w:w="19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84"/>
              </w:rPr>
              <w:t>---------- -------------</w:t>
            </w:r>
          </w:p>
        </w:tc>
        <w:tc>
          <w:tcPr>
            <w:tcW w:w="2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3"/>
              </w:rPr>
              <w:t>Basic EPS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10,457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52,444</w:t>
            </w:r>
          </w:p>
        </w:tc>
        <w:tc>
          <w:tcPr>
            <w:tcW w:w="3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0.20</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(32,320)</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53,367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(0.61)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(363,135)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80,863</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68"/>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308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w w:val="96"/>
              </w:rPr>
              <w:t>Effective of dilutive securities:</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08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rPr>
              <w:t>Options and warrants ........</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4,085</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080" w:type="dxa"/>
            <w:vAlign w:val="bottom"/>
            <w:gridSpan w:val="2"/>
          </w:tcPr>
          <w:p>
            <w:pPr>
              <w:jc w:val="right"/>
              <w:ind w:right="112"/>
              <w:spacing w:after="0" w:line="168" w:lineRule="exact"/>
              <w:rPr>
                <w:sz w:val="20"/>
                <w:szCs w:val="20"/>
                <w:color w:val="auto"/>
              </w:rPr>
            </w:pPr>
            <w:r>
              <w:rPr>
                <w:rFonts w:ascii="Courier New" w:cs="Courier New" w:eastAsia="Courier New" w:hAnsi="Courier New"/>
                <w:sz w:val="15"/>
                <w:szCs w:val="15"/>
                <w:color w:val="auto"/>
              </w:rPr>
              <w:t>Convertible notes ...........</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Diluted EPS .....................</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56,529</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0.18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(32,320)</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53,367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(0.61)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$(363,135)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2800" w:type="dxa"/>
            <w:vAlign w:val="bottom"/>
          </w:tcPr>
          <w:p>
            <w:pPr>
              <w:spacing w:after="0"/>
              <w:rPr>
                <w:sz w:val="14"/>
                <w:szCs w:val="14"/>
                <w:color w:val="auto"/>
              </w:rPr>
            </w:pP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40"/>
          </w:cols>
          <w:pgMar w:left="220" w:top="281" w:right="139"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1540"/>
          </w:cols>
          <w:pgMar w:left="220" w:top="281" w:right="139" w:bottom="1440" w:gutter="0" w:footer="0" w:header="0"/>
          <w:type w:val="continuous"/>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44</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CHECKFREE CORPORATION AND SUBSIDIARIES</w:t>
      </w:r>
    </w:p>
    <w:p>
      <w:pPr>
        <w:ind w:left="114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Anti-dilution provisions of SFAS 128 require consistency between diluted per-common-share amounts and basic per-common-share amounts in loss periods. The number of anti-dilutive equivalent shares excluded from the per-share calculations is 6,157,241 and 5,561,894 for the years ended June 30, 2000 and 2001, respectively. The after-tax effect of interest expense on the convertible subordinated notes of approximately $4,384,000 and $9,198,000 for the years ended June 30, 2000 and 2001, respectively, has not been added back to the numerator, as its effect would be anti-dilutive.</w:t>
      </w:r>
    </w:p>
    <w:p>
      <w:pPr>
        <w:spacing w:after="0" w:line="171" w:lineRule="exact"/>
        <w:rPr>
          <w:sz w:val="20"/>
          <w:szCs w:val="20"/>
          <w:color w:val="auto"/>
        </w:rPr>
      </w:pPr>
    </w:p>
    <w:p>
      <w:pPr>
        <w:ind w:left="540"/>
        <w:spacing w:after="0"/>
        <w:tabs>
          <w:tab w:leader="none" w:pos="13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SUPPLEMENTAL DISCLOSURE OF CASH FLOW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YEAR ENDED JUNE 30,</w:t>
            </w:r>
          </w:p>
        </w:tc>
        <w:tc>
          <w:tcPr>
            <w:tcW w:w="96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38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1999</w:t>
            </w:r>
          </w:p>
        </w:tc>
        <w:tc>
          <w:tcPr>
            <w:tcW w:w="44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Interest paid ....................................</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12,119</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taxes paid (received), net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1,688</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(1,442)</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Supplemental disclosure of non-cash investing and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lease additions and purchase of other</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long-term assets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5,716</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 funding of 401(k) match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2,487</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Purchase price of business acquisitions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19,100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239,900</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$ 1,351,649</w:t>
            </w:r>
          </w:p>
        </w:tc>
      </w:tr>
      <w:tr>
        <w:trPr>
          <w:trHeight w:val="168"/>
        </w:trPr>
        <w:tc>
          <w:tcPr>
            <w:tcW w:w="4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Issuance of common stock and stock</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options pursuant to acquisitions .....</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(18,000)</w:t>
            </w:r>
          </w:p>
        </w:tc>
        <w:tc>
          <w:tcPr>
            <w:tcW w:w="4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(240,000)</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(1,350,083)</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 assumed ....................</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(887)</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acquired in acquisitions ..........</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(9,052)</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(97,200)</w:t>
            </w:r>
          </w:p>
        </w:tc>
      </w:tr>
      <w:tr>
        <w:trPr>
          <w:trHeight w:val="168"/>
        </w:trPr>
        <w:tc>
          <w:tcPr>
            <w:tcW w:w="45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Acquisition costs paid in prior period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cash paid (received) ..........</w:t>
            </w: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(9,152)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(96,599)</w:t>
            </w:r>
          </w:p>
        </w:tc>
      </w:tr>
      <w:tr>
        <w:trPr>
          <w:trHeight w:val="168"/>
        </w:trPr>
        <w:tc>
          <w:tcPr>
            <w:tcW w:w="452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BUSINESS SEGMENTS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Company operates in three business segments - Electronic Commerce, Software, and Investment Services. These reportable segments are strategic business units that offer different products and services. A further description of each business segment along with the Corporate services area follows:</w:t>
      </w:r>
    </w:p>
    <w:p>
      <w:pPr>
        <w:spacing w:after="0" w:line="164" w:lineRule="exact"/>
        <w:rPr>
          <w:sz w:val="20"/>
          <w:szCs w:val="20"/>
          <w:color w:val="auto"/>
        </w:rPr>
      </w:pPr>
    </w:p>
    <w:p>
      <w:pPr>
        <w:ind w:left="800" w:right="3319" w:hanging="790"/>
        <w:spacing w:after="0" w:line="236"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 - Electronic commerce provides services that allow consumers to receive electronic bills through the Internet, pay bills received electronically or in paper form to anyone, and perform ordinary banking transactions including balance inquiries, transfers between accounts and on-line statement reconciliation. These services are primarily directed to financial institutions, Internet financial sites, personal financial management software providers and the customers of these businesses.</w:t>
      </w:r>
    </w:p>
    <w:p>
      <w:pPr>
        <w:spacing w:after="0" w:line="177"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 Software includes software products and related services for electronic billing, ACH processing and account reconciliation. These products and services are primarily directed to large corporations and financial institutions.</w:t>
      </w:r>
    </w:p>
    <w:p>
      <w:pPr>
        <w:spacing w:after="0" w:line="175"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 Investment services includes investment portfolio management services and investment trading and reporting services. These products and services are primarily directed to fee based money managers and financial planners who manage investments of institutions and high net worth individuals.</w:t>
      </w:r>
    </w:p>
    <w:p>
      <w:pPr>
        <w:spacing w:after="0" w:line="173" w:lineRule="exact"/>
        <w:rPr>
          <w:rFonts w:ascii="Courier New" w:cs="Courier New" w:eastAsia="Courier New" w:hAnsi="Courier New"/>
          <w:sz w:val="15"/>
          <w:szCs w:val="15"/>
          <w:color w:val="auto"/>
        </w:rPr>
      </w:pPr>
    </w:p>
    <w:p>
      <w:pPr>
        <w:ind w:left="800" w:right="3679" w:hanging="790"/>
        <w:spacing w:after="0" w:line="235"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 Corporate services include human resources, legal, accounting and various other of the Company's unallocated overhead charges.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281" w:right="1440" w:bottom="1440" w:gutter="0" w:footer="0" w:header="0"/>
          <w:type w:val="continuous"/>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45</w:t>
      </w:r>
    </w:p>
    <w:p>
      <w:pPr>
        <w:jc w:val="center"/>
        <w:ind w:right="3219"/>
        <w:spacing w:after="0" w:line="237" w:lineRule="auto"/>
        <w:rPr>
          <w:sz w:val="20"/>
          <w:szCs w:val="20"/>
          <w:color w:val="auto"/>
        </w:rPr>
      </w:pPr>
      <w:r>
        <w:rPr>
          <w:rFonts w:ascii="Courier New" w:cs="Courier New" w:eastAsia="Courier New" w:hAnsi="Courier New"/>
          <w:sz w:val="15"/>
          <w:szCs w:val="15"/>
          <w:color w:val="auto"/>
        </w:rPr>
        <w:t>CHECKFREE CORPORATION AND SUBSIDIARIES</w:t>
      </w:r>
    </w:p>
    <w:p>
      <w:pPr>
        <w:jc w:val="center"/>
        <w:ind w:right="3219"/>
        <w:spacing w:after="0" w:line="238"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Note 1 "Summary of Significant Accounting Policies". The Company evaluates performance based on revenues and operating income (loss) of the respective segments. Segment operating income (loss) excludes intangible asset amortization, in-process research and development costs and significant one-time charges related to various business and asset acquisitions. There are no intersegment sales.</w:t>
      </w:r>
    </w:p>
    <w:p>
      <w:pPr>
        <w:spacing w:after="0" w:line="17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1999, 2000 and 2001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5"/>
              </w:rPr>
              <w:t>YEAR ENDED JUNE 30,</w:t>
            </w:r>
          </w:p>
        </w:tc>
        <w:tc>
          <w:tcPr>
            <w:tcW w:w="10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464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169,443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213,391</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301,532</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Software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41,384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42,012</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62,175</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39,304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54,792</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69,613</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250,131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310,195</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433,320</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(18,248)</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(13,083)</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Software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15,931</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10,536</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837</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11,250</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15,830</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20,347</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w:t>
            </w:r>
          </w:p>
        </w:tc>
        <w:tc>
          <w:tcPr>
            <w:tcW w:w="10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(23,348)</w:t>
            </w:r>
          </w:p>
        </w:tc>
        <w:tc>
          <w:tcPr>
            <w:tcW w:w="4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(26,120)</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(35,746)</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Purchase accounting amortization ...</w:t>
            </w:r>
          </w:p>
        </w:tc>
        <w:tc>
          <w:tcPr>
            <w:tcW w:w="10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(6,815)</w:t>
            </w:r>
          </w:p>
        </w:tc>
        <w:tc>
          <w:tcPr>
            <w:tcW w:w="4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(18,517)</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(393,436)</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One time marketing charge ..........</w:t>
            </w:r>
          </w:p>
        </w:tc>
        <w:tc>
          <w:tcPr>
            <w:tcW w:w="10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10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(2,201)</w:t>
            </w:r>
          </w:p>
        </w:tc>
        <w:tc>
          <w:tcPr>
            <w:tcW w:w="40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(6,900)</w:t>
            </w:r>
          </w:p>
        </w:tc>
        <w:tc>
          <w:tcPr>
            <w:tcW w:w="40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(18,600)</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Net gain on disposition of assets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4,576</w:t>
            </w:r>
          </w:p>
        </w:tc>
        <w:tc>
          <w:tcPr>
            <w:tcW w:w="40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Operating Loss</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(43,419)</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(464,681)</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80,223</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102,220</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$ 1,603,069</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Software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34,194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273,120</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206,746</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49,098</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47,246</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50,113</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89,246</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290,528</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324,025</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252,761</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713,114</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$ 2,183,953</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9,258</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18,299</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28,355</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Software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1,189</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1,773</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2,938</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4,764</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2,868</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6,771</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25,233</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16,555</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9,317</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40,444</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39,495</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47,381</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Electronic Commerce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14,214</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19,282</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350,277</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Software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2,069</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12,317</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62,485</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Services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5,336</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7,634</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9,421</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 ...................</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3,011</w:t>
            </w:r>
          </w:p>
        </w:tc>
        <w:tc>
          <w:tcPr>
            <w:tcW w:w="4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3,597</w:t>
            </w:r>
          </w:p>
        </w:tc>
        <w:tc>
          <w:tcPr>
            <w:tcW w:w="40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5,312</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w:t>
            </w:r>
          </w:p>
        </w:tc>
        <w:tc>
          <w:tcPr>
            <w:tcW w:w="10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24,630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42,830</w:t>
            </w:r>
          </w:p>
        </w:tc>
        <w:tc>
          <w:tcPr>
            <w:tcW w:w="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427,495</w:t>
            </w:r>
          </w:p>
        </w:tc>
      </w:tr>
      <w:tr>
        <w:trPr>
          <w:trHeight w:val="168"/>
        </w:trPr>
        <w:tc>
          <w:tcPr>
            <w:tcW w:w="3240" w:type="dxa"/>
            <w:vAlign w:val="bottom"/>
          </w:tcPr>
          <w:p>
            <w:pPr>
              <w:spacing w:after="0"/>
              <w:rPr>
                <w:sz w:val="14"/>
                <w:szCs w:val="14"/>
                <w:color w:val="auto"/>
              </w:rPr>
            </w:pPr>
          </w:p>
        </w:tc>
        <w:tc>
          <w:tcPr>
            <w:tcW w:w="1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2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F-29</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03"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20"/>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42"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No single customer accounted for 10% or more of consolidated revenues for the years ended June 30, 1999 and 2000. For the year ended June 30, 2001, one customer accounted for $44.5 million of consolidated revenues. Revenues for that customer were generated through the Electronic Commerce and Software segments. Foreign sales for the years ended June 30, 1999 and 2000 were insignificant. Foreign sales, based on the location of the customer, for the year ended June 30, 2001 were $7,636,000.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 by geographic area are as follows (in thousands):</w:t>
      </w:r>
    </w:p>
    <w:p>
      <w:pPr>
        <w:spacing w:after="0" w:line="166"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1800" w:type="dxa"/>
            <w:vAlign w:val="bottom"/>
          </w:tcPr>
          <w:p>
            <w:pPr>
              <w:spacing w:after="0"/>
              <w:rPr>
                <w:sz w:val="14"/>
                <w:szCs w:val="14"/>
                <w:color w:val="auto"/>
              </w:rPr>
            </w:pPr>
          </w:p>
        </w:tc>
        <w:tc>
          <w:tcPr>
            <w:tcW w:w="22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18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United States .....</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380,695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$1,804,275</w:t>
            </w:r>
          </w:p>
        </w:tc>
      </w:tr>
      <w:tr>
        <w:trPr>
          <w:trHeight w:val="168"/>
        </w:trPr>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Other .............</w:t>
            </w:r>
          </w:p>
        </w:tc>
        <w:tc>
          <w:tcPr>
            <w:tcW w:w="3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2,471</w:t>
            </w:r>
          </w:p>
        </w:tc>
      </w:tr>
      <w:tr>
        <w:trPr>
          <w:trHeight w:val="168"/>
        </w:trPr>
        <w:tc>
          <w:tcPr>
            <w:tcW w:w="18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381,683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$1,806,746</w:t>
            </w:r>
          </w:p>
        </w:tc>
      </w:tr>
      <w:tr>
        <w:trPr>
          <w:trHeight w:val="168"/>
        </w:trPr>
        <w:tc>
          <w:tcPr>
            <w:tcW w:w="18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SELECTED QUARTERLY FINANCIAL DATA (UNAUDITED)</w:t>
      </w:r>
    </w:p>
    <w:p>
      <w:pPr>
        <w:spacing w:after="0" w:line="173" w:lineRule="exact"/>
        <w:rPr>
          <w:sz w:val="20"/>
          <w:szCs w:val="20"/>
          <w:color w:val="auto"/>
        </w:rPr>
      </w:pPr>
    </w:p>
    <w:p>
      <w:pPr>
        <w:jc w:val="both"/>
        <w:ind w:right="3240"/>
        <w:spacing w:after="0" w:line="235" w:lineRule="auto"/>
        <w:rPr>
          <w:sz w:val="20"/>
          <w:szCs w:val="20"/>
          <w:color w:val="auto"/>
        </w:rPr>
      </w:pPr>
      <w:r>
        <w:rPr>
          <w:rFonts w:ascii="Courier New" w:cs="Courier New" w:eastAsia="Courier New" w:hAnsi="Courier New"/>
          <w:sz w:val="15"/>
          <w:szCs w:val="15"/>
          <w:color w:val="auto"/>
        </w:rPr>
        <w:t>The following quarterly financial information for the years ended June 30, 2000 and 2001 includes all adjustments necessary for a fair presentation of quarterly results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6460" w:type="dxa"/>
            <w:vAlign w:val="bottom"/>
            <w:gridSpan w:val="8"/>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SEPTEMBER 30</w:t>
            </w:r>
          </w:p>
        </w:tc>
        <w:tc>
          <w:tcPr>
            <w:tcW w:w="17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MARCH 31</w:t>
            </w:r>
          </w:p>
        </w:tc>
        <w:tc>
          <w:tcPr>
            <w:tcW w:w="38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JUNE 30</w:t>
            </w:r>
          </w:p>
        </w:tc>
      </w:tr>
      <w:tr>
        <w:trPr>
          <w:trHeight w:val="168"/>
        </w:trPr>
        <w:tc>
          <w:tcPr>
            <w:tcW w:w="3780" w:type="dxa"/>
            <w:vAlign w:val="bottom"/>
          </w:tcPr>
          <w:p>
            <w:pPr>
              <w:spacing w:after="0"/>
              <w:rPr>
                <w:sz w:val="14"/>
                <w:szCs w:val="14"/>
                <w:color w:val="auto"/>
              </w:rPr>
            </w:pPr>
          </w:p>
        </w:tc>
        <w:tc>
          <w:tcPr>
            <w:tcW w:w="192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69,020</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72,969</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79,706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88,500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(6,365)</w:t>
            </w:r>
          </w:p>
        </w:tc>
        <w:tc>
          <w:tcPr>
            <w:tcW w:w="4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(6,275)</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(5,773)</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(3,936)</w:t>
            </w:r>
          </w:p>
        </w:tc>
        <w:tc>
          <w:tcPr>
            <w:tcW w:w="4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(3,969)</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(3,873)</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(20,542)</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(0.36)</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6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51,848</w:t>
            </w:r>
          </w:p>
        </w:tc>
        <w:tc>
          <w:tcPr>
            <w:tcW w:w="44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52,200</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52,716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56,721</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(0.08)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(0.07)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(0.36)</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6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51,848</w:t>
            </w:r>
          </w:p>
        </w:tc>
        <w:tc>
          <w:tcPr>
            <w:tcW w:w="44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52,200</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52,716</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56,721</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FISCAL 2001</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90,757</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$ 107,721</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$ 113,069</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$ 121,773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from operations ................</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(76,363)</w:t>
            </w:r>
          </w:p>
        </w:tc>
        <w:tc>
          <w:tcPr>
            <w:tcW w:w="4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(150,570)</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(123,255)</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(114,493)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w:t>
            </w:r>
          </w:p>
        </w:tc>
        <w:tc>
          <w:tcPr>
            <w:tcW w:w="6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(58,358)</w:t>
            </w:r>
          </w:p>
        </w:tc>
        <w:tc>
          <w:tcPr>
            <w:tcW w:w="4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(116,022)</w:t>
            </w:r>
          </w:p>
        </w:tc>
        <w:tc>
          <w:tcPr>
            <w:tcW w:w="3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(101,067)</w:t>
            </w:r>
          </w:p>
        </w:tc>
        <w:tc>
          <w:tcPr>
            <w:tcW w:w="3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(87,688)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(0.91)</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6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64,216</w:t>
            </w:r>
          </w:p>
        </w:tc>
        <w:tc>
          <w:tcPr>
            <w:tcW w:w="44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86,286</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86,682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86,774</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common share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(0.91)</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(1.34)</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Equivalent number of shares ....</w:t>
            </w:r>
          </w:p>
        </w:tc>
        <w:tc>
          <w:tcPr>
            <w:tcW w:w="60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64,216</w:t>
            </w:r>
          </w:p>
        </w:tc>
        <w:tc>
          <w:tcPr>
            <w:tcW w:w="440" w:type="dxa"/>
            <w:vAlign w:val="bottom"/>
          </w:tcPr>
          <w:p>
            <w:pPr>
              <w:spacing w:after="0"/>
              <w:rPr>
                <w:sz w:val="14"/>
                <w:szCs w:val="14"/>
                <w:color w:val="auto"/>
              </w:rPr>
            </w:pP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86,286</w:t>
            </w:r>
          </w:p>
        </w:tc>
        <w:tc>
          <w:tcPr>
            <w:tcW w:w="36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86,682</w:t>
            </w:r>
          </w:p>
        </w:tc>
        <w:tc>
          <w:tcPr>
            <w:tcW w:w="3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86,774</w:t>
            </w:r>
          </w:p>
        </w:tc>
      </w:tr>
      <w:tr>
        <w:trPr>
          <w:trHeight w:val="168"/>
        </w:trPr>
        <w:tc>
          <w:tcPr>
            <w:tcW w:w="3780" w:type="dxa"/>
            <w:vAlign w:val="bottom"/>
          </w:tcPr>
          <w:p>
            <w:pPr>
              <w:spacing w:after="0"/>
              <w:rPr>
                <w:sz w:val="14"/>
                <w:szCs w:val="14"/>
                <w:color w:val="auto"/>
              </w:rPr>
            </w:pPr>
          </w:p>
        </w:tc>
        <w:tc>
          <w:tcPr>
            <w:tcW w:w="19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right="3240"/>
        <w:spacing w:after="0" w:line="235" w:lineRule="auto"/>
        <w:rPr>
          <w:sz w:val="20"/>
          <w:szCs w:val="20"/>
          <w:color w:val="auto"/>
        </w:rPr>
      </w:pPr>
      <w:r>
        <w:rPr>
          <w:rFonts w:ascii="Courier New" w:cs="Courier New" w:eastAsia="Courier New" w:hAnsi="Courier New"/>
          <w:sz w:val="15"/>
          <w:szCs w:val="15"/>
          <w:color w:val="auto"/>
        </w:rPr>
        <w:t>The sum of the quarterly loss per share does not equal the year-to-date loss per share for the respective fiscal periods, due to changes in the number of shares outstanding at each quarter-end.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COMMITMENTS</w:t>
      </w:r>
    </w:p>
    <w:p>
      <w:pPr>
        <w:spacing w:after="0" w:line="173" w:lineRule="exact"/>
        <w:rPr>
          <w:sz w:val="20"/>
          <w:szCs w:val="20"/>
          <w:color w:val="auto"/>
        </w:rPr>
      </w:pPr>
    </w:p>
    <w:p>
      <w:pPr>
        <w:ind w:right="3320"/>
        <w:spacing w:after="0" w:line="236" w:lineRule="auto"/>
        <w:rPr>
          <w:sz w:val="20"/>
          <w:szCs w:val="20"/>
          <w:color w:val="auto"/>
        </w:rPr>
      </w:pPr>
      <w:r>
        <w:rPr>
          <w:rFonts w:ascii="Courier New" w:cs="Courier New" w:eastAsia="Courier New" w:hAnsi="Courier New"/>
          <w:sz w:val="15"/>
          <w:szCs w:val="15"/>
          <w:color w:val="auto"/>
        </w:rPr>
        <w:t>In March 2001 the Company amended an existing agreement for software to be used in conjunction with its electronic commerce business. The software is to be licensed in incremental units over the term of the agreement to coincide with the growth of the Company's business. Total commitments under the amended agreement amount to $11 million over the next five years.</w:t>
      </w:r>
    </w:p>
    <w:p>
      <w:pPr>
        <w:sectPr>
          <w:pgSz w:w="11900" w:h="16838" w:orient="portrait"/>
          <w:cols w:equalWidth="0" w:num="1">
            <w:col w:w="10240"/>
          </w:cols>
          <w:pgMar w:left="220" w:top="281" w:right="1439" w:bottom="690" w:gutter="0" w:footer="0" w:header="0"/>
        </w:sectPr>
      </w:pP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40"/>
          </w:cols>
          <w:pgMar w:left="220" w:top="281" w:right="1439" w:bottom="690" w:gutter="0" w:footer="0" w:header="0"/>
          <w:type w:val="continuous"/>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CHECKFREE CORPORATION AND SUBSIDIARIES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GUARANTOR FINANCIAL INFORMATION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CheckFree Management Corporation is a guarantor of the Company's $172,500,000 convertible subordinated notes that were issued November 29, 1999. CheckFree Management Corporation was formed as a medical claims management subsidiary in order to appropriately minimize, control, and manage the medical claims liabilities of the Company and its subsidiaries. As of June 30, 2000 and 2001, the Company and its subsidiaries own approximately 89% of CheckFree Management Corporation. In previous years, due to the relative value of the total assets of CheckFree Management Corporation to the total consolidated assets of the Company, we were required to provided separate financial statements for and disclose certain financial information about CheckFree Management Corporation. As of June 30, 2001, the assets of CheckFree Management Corporation represent less than 2% of the total consolidated assets of the Company, and therefore, separate financial statements and financial disclosures are not deemed significant.</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of CheckFree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rPr>
                <w:sz w:val="20"/>
                <w:szCs w:val="20"/>
                <w:color w:val="auto"/>
              </w:rPr>
            </w:pPr>
            <w:r>
              <w:rPr>
                <w:rFonts w:ascii="Courier New" w:cs="Courier New" w:eastAsia="Courier New" w:hAnsi="Courier New"/>
                <w:sz w:val="15"/>
                <w:szCs w:val="15"/>
                <w:color w:val="auto"/>
              </w:rPr>
              <w:t>Services Corporation, a Delaware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Investment Corporation, a Delaware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Management Corporation, a Wisconsin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i-Solutions, Inc., a Delaware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i-Solutions International, Inc., a Michigan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i-Solutions Corporation, an Ontario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i-Solutions Australia Pty. Ltd., a Victoria, Australia proprietary</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company</w:t>
            </w:r>
          </w:p>
        </w:tc>
        <w:tc>
          <w:tcPr>
            <w:tcW w:w="5820" w:type="dxa"/>
            <w:vAlign w:val="bottom"/>
          </w:tcPr>
          <w:p>
            <w:pPr>
              <w:spacing w:after="0"/>
              <w:rPr>
                <w:sz w:val="14"/>
                <w:szCs w:val="14"/>
                <w:color w:val="auto"/>
              </w:rPr>
            </w:pP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i-Solutions Limited, a United Kingdom private limited company</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International Partner Inc., a Delaware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Finance, Inc., a Washington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TransPoint Holdings Inc., a Delaware corporation</w:t>
            </w:r>
          </w:p>
        </w:tc>
      </w:tr>
      <w:tr>
        <w:trPr>
          <w:trHeight w:val="168"/>
        </w:trPr>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CheckFree</w:t>
            </w:r>
          </w:p>
        </w:tc>
        <w:tc>
          <w:tcPr>
            <w:tcW w:w="5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International, L.P., a Delaware limited partnership*</w:t>
            </w:r>
          </w:p>
        </w:tc>
      </w:tr>
    </w:tbl>
    <w:p>
      <w:pPr>
        <w:spacing w:after="0" w:line="237" w:lineRule="auto"/>
        <w:rPr>
          <w:sz w:val="20"/>
          <w:szCs w:val="20"/>
          <w:color w:val="auto"/>
        </w:rPr>
      </w:pPr>
      <w:r>
        <w:rPr>
          <w:rFonts w:ascii="Courier New" w:cs="Courier New" w:eastAsia="Courier New" w:hAnsi="Courier New"/>
          <w:sz w:val="15"/>
          <w:szCs w:val="15"/>
          <w:color w:val="auto"/>
        </w:rPr>
        <w:t>CheckFree, L.L.C., a Delaware limited liability company*</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TransPoint Technology &amp; Services, L.L.C., a Delaware limited liability company** TransPoint, L.L.C., a Delaware limited liability company**</w:t>
      </w:r>
    </w:p>
    <w:p>
      <w:pPr>
        <w:spacing w:after="0" w:line="237" w:lineRule="auto"/>
        <w:rPr>
          <w:sz w:val="20"/>
          <w:szCs w:val="20"/>
          <w:color w:val="auto"/>
        </w:rPr>
      </w:pPr>
      <w:r>
        <w:rPr>
          <w:rFonts w:ascii="Courier New" w:cs="Courier New" w:eastAsia="Courier New" w:hAnsi="Courier New"/>
          <w:sz w:val="15"/>
          <w:szCs w:val="15"/>
          <w:color w:val="auto"/>
        </w:rPr>
        <w:t>TransPoint Accounting, L.L.C., a Delaware limited liability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*indicates second tier subsidiary</w:t>
      </w:r>
    </w:p>
    <w:p>
      <w:pPr>
        <w:spacing w:after="0" w:line="237" w:lineRule="auto"/>
        <w:rPr>
          <w:sz w:val="20"/>
          <w:szCs w:val="20"/>
          <w:color w:val="auto"/>
        </w:rPr>
      </w:pPr>
      <w:r>
        <w:rPr>
          <w:rFonts w:ascii="Courier New" w:cs="Courier New" w:eastAsia="Courier New" w:hAnsi="Courier New"/>
          <w:sz w:val="15"/>
          <w:szCs w:val="15"/>
          <w:color w:val="auto"/>
        </w:rPr>
        <w:t>**indicates third tier subsidiary</w:t>
      </w:r>
    </w:p>
    <w:p>
      <w:pPr>
        <w:spacing w:after="0" w:line="238" w:lineRule="auto"/>
        <w:rPr>
          <w:sz w:val="20"/>
          <w:szCs w:val="20"/>
          <w:color w:val="auto"/>
        </w:rPr>
      </w:pPr>
      <w:r>
        <w:rPr>
          <w:rFonts w:ascii="Courier New" w:cs="Courier New" w:eastAsia="Courier New" w:hAnsi="Courier New"/>
          <w:sz w:val="15"/>
          <w:szCs w:val="15"/>
          <w:color w:val="auto"/>
        </w:rPr>
        <w:t>***indicates fourth tier subsidiary</w:t>
      </w:r>
    </w:p>
    <w:p>
      <w:pPr>
        <w:sectPr>
          <w:pgSz w:w="11900" w:h="16838" w:orient="portrait"/>
          <w:cols w:equalWidth="0" w:num="1">
            <w:col w:w="10239"/>
          </w:cols>
          <w:pgMar w:left="220" w:top="13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w:t>
      </w:r>
    </w:p>
    <w:p>
      <w:pPr>
        <w:spacing w:after="0" w:line="341"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DELOITTE</w:t>
      </w:r>
    </w:p>
    <w:p>
      <w:pPr>
        <w:spacing w:after="0" w:line="10"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&amp; TOUCHE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33-98440, 33-98444, 33-98442, 33-98446, 333-21799, 333-21795, 333-70599, 333-35812, 333-35814, and 333-50322) on Form S-8 and the Registration Statements (Nos. 333-94757 and 333-50494) on Form S-3 of CheckFree Corporation of our reports dated August 3, 2001, appearing in and incorporated by reference in the Annual Report on Form 10-K of CheckFree Corporation for the year ended June 30,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September 26, 2001</w:t>
      </w:r>
    </w:p>
    <w:p>
      <w:pPr>
        <w:sectPr>
          <w:pgSz w:w="11900" w:h="16838" w:orient="portrait"/>
          <w:cols w:equalWidth="0" w:num="1">
            <w:col w:w="10239"/>
          </w:cols>
          <w:pgMar w:left="220" w:top="13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Each director and/or officer of CheckFree Corporation (the "Corporation") whose signature appears below hereby appoints Peter J. Kight, Peter F. Sinisgalli, and Curtis A. Loveland as the undersigned's attorneys or any of them individually as the undersigned's attorney, to sign, in the undersigned's name and behalf and in any and all capacities stated below, and to cause to be filed with the Securities and Exchange Commission (the "Commission"), the Corporation's Annual Report on Form 10-K (the "Form 10-K") for the fiscal year ended June 30, 2001, and likewise to sign and file with the Commission any and all amendments to the Form 10-K, and the Corporation hereby also appoints such persons as its attorneys-in-fact and each of them as its attorney-in-fact with like authority to sign and file the Form 10-K and any amendments thereto granting to each such attorney-in-fact full power of substitution and revocation, and hereby ratifying all that any such attorney-in-fact or the undersigned's substitute may do by virtue hereof.</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IN WITNESS WHEREOF, we have hereunto set our hands this 9th day of August, 2001.</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4720" w:space="720"/>
            <w:col w:w="4799"/>
          </w:cols>
          <w:pgMar w:left="220" w:top="135" w:right="1440"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Peter J. Kight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Peter J. Kight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David E. Mangum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David E. Mangum</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and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w:t>
      </w:r>
    </w:p>
    <w:p>
      <w:pPr>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309" w:lineRule="exact"/>
        <w:rPr>
          <w:sz w:val="20"/>
          <w:szCs w:val="20"/>
          <w:color w:val="auto"/>
        </w:rPr>
      </w:pPr>
    </w:p>
    <w:p>
      <w:pPr>
        <w:ind w:right="160" w:firstLine="437"/>
        <w:spacing w:after="0" w:line="235" w:lineRule="auto"/>
        <w:rPr>
          <w:sz w:val="20"/>
          <w:szCs w:val="20"/>
          <w:color w:val="auto"/>
        </w:rPr>
      </w:pPr>
      <w:r>
        <w:rPr>
          <w:rFonts w:ascii="Courier New" w:cs="Courier New" w:eastAsia="Courier New" w:hAnsi="Courier New"/>
          <w:sz w:val="15"/>
          <w:szCs w:val="15"/>
          <w:color w:val="auto"/>
        </w:rPr>
        <w:t>/s/ Gary A. Luoma, Jr. ---------------------------------- Gary A. Luoma, Jr.</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 Finance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Chief Accounting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Assistant Secretary</w:t>
      </w:r>
    </w:p>
    <w:p>
      <w:pPr>
        <w:spacing w:after="0" w:line="237" w:lineRule="auto"/>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3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William P. Boardman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William P. Boardman</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James D. Dixon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James D. Dixon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Henry C. Duques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Henry C. Duques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Mark A.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 A. Johnson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Lewis C.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Lewis C. Levin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Eugene F. Quinn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Eugene F. Quinn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541" w:lineRule="exact"/>
        <w:rPr>
          <w:sz w:val="20"/>
          <w:szCs w:val="20"/>
          <w:color w:val="auto"/>
        </w:rPr>
      </w:pPr>
    </w:p>
    <w:p>
      <w:pPr>
        <w:sectPr>
          <w:pgSz w:w="11900" w:h="16838" w:orient="portrait"/>
          <w:cols w:equalWidth="0" w:num="2">
            <w:col w:w="3140" w:space="720"/>
            <w:col w:w="6379"/>
          </w:cols>
          <w:pgMar w:left="220" w:top="135" w:right="1440" w:bottom="1440" w:gutter="0" w:footer="0" w:header="0"/>
          <w:type w:val="continuous"/>
        </w:sectPr>
      </w:pPr>
    </w:p>
    <w:p>
      <w:pPr>
        <w:spacing w:after="0" w:line="1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Jeffrey M. Wilkins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Jeffrey M. Wilkins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2">
            <w:col w:w="3140" w:space="720"/>
            <w:col w:w="6379"/>
          </w:cols>
          <w:pgMar w:left="220" w:top="135" w:right="1440" w:bottom="1440" w:gutter="0" w:footer="0" w:header="0"/>
          <w:type w:val="continuous"/>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1</w:t>
      </w:r>
    </w:p>
    <w:p>
      <w:pPr>
        <w:ind w:left="5860"/>
        <w:spacing w:after="0" w:line="237" w:lineRule="auto"/>
        <w:rPr>
          <w:sz w:val="20"/>
          <w:szCs w:val="20"/>
          <w:color w:val="auto"/>
        </w:rPr>
      </w:pPr>
      <w:r>
        <w:rPr>
          <w:rFonts w:ascii="Courier New" w:cs="Courier New" w:eastAsia="Courier New" w:hAnsi="Courier New"/>
          <w:sz w:val="15"/>
          <w:szCs w:val="15"/>
          <w:color w:val="auto"/>
        </w:rPr>
        <w:t>Exhibit 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CheckFree Corporation and</w:t>
      </w:r>
    </w:p>
    <w:p>
      <w:pPr>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342"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We have audited the consolidated financial statements of CheckFree Corporation and subsidiaries as of June 30, 2000 and 2001, and for the years ended June 30, 1999, 2000 and 2001, and have issued our report thereon dated August 3, 2001; such financial statements and report are included in your 2001 annual report to stockholders and are incorporated herein by reference. Our audits also included the financial statement schedule of CheckFree Corporation and subsidiaries, listed in Item 14. This financial statement schedule is the responsibility of the Corporation's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237" w:lineRule="auto"/>
        <w:rPr>
          <w:sz w:val="20"/>
          <w:szCs w:val="20"/>
          <w:color w:val="auto"/>
        </w:rPr>
      </w:pPr>
      <w:r>
        <w:rPr>
          <w:rFonts w:ascii="Courier New" w:cs="Courier New" w:eastAsia="Courier New" w:hAnsi="Courier New"/>
          <w:sz w:val="15"/>
          <w:szCs w:val="15"/>
          <w:color w:val="auto"/>
        </w:rPr>
        <w:t>August 3, 2001</w:t>
      </w:r>
    </w:p>
    <w:p>
      <w:pPr>
        <w:sectPr>
          <w:pgSz w:w="11900" w:h="16838" w:orient="portrait"/>
          <w:cols w:equalWidth="0" w:num="1">
            <w:col w:w="10239"/>
          </w:cols>
          <w:pgMar w:left="220" w:top="135"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FOR THE YEARS ENDED JUNE 30, 1999, 2000 AND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BALANCE AS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CHARGES TO</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OF</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ASSUMED IN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COSTS AND</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CHARGES TO</w:t>
            </w: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BEGINNING</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BUSINESS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EXPENSES</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BALANCE AS OF END</w:t>
            </w:r>
          </w:p>
        </w:tc>
      </w:tr>
      <w:tr>
        <w:trPr>
          <w:trHeight w:val="168"/>
        </w:trPr>
        <w:tc>
          <w:tcPr>
            <w:tcW w:w="3280" w:type="dxa"/>
            <w:vAlign w:val="bottom"/>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 PERIOD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COMBINATION</w:t>
            </w:r>
          </w:p>
        </w:tc>
        <w:tc>
          <w:tcPr>
            <w:tcW w:w="1220" w:type="dxa"/>
            <w:vAlign w:val="bottom"/>
          </w:tcPr>
          <w:p>
            <w:pPr>
              <w:spacing w:after="0"/>
              <w:rPr>
                <w:sz w:val="14"/>
                <w:szCs w:val="14"/>
                <w:color w:val="auto"/>
              </w:rPr>
            </w:pP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DEDUCTIONS</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DEDUCTIONS</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OF PERIOD</w:t>
            </w:r>
          </w:p>
        </w:tc>
      </w:tr>
      <w:tr>
        <w:trPr>
          <w:trHeight w:val="168"/>
        </w:trPr>
        <w:tc>
          <w:tcPr>
            <w:tcW w:w="3280" w:type="dxa"/>
            <w:vAlign w:val="bottom"/>
          </w:tcPr>
          <w:p>
            <w:pPr>
              <w:spacing w:after="0"/>
              <w:rPr>
                <w:sz w:val="14"/>
                <w:szCs w:val="14"/>
                <w:color w:val="auto"/>
              </w:rPr>
            </w:pPr>
          </w:p>
        </w:tc>
        <w:tc>
          <w:tcPr>
            <w:tcW w:w="12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3,470</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309</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1,246</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595</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4,430</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4,430</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268</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2,615</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3,310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4,003</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4,003</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Reserve for Returns and Chargebacks</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1999 .................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1,944</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1,932</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2,212</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1,664</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2000 .................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1,664</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4,212</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3,471</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2,405</w:t>
            </w:r>
          </w:p>
        </w:tc>
      </w:tr>
      <w:tr>
        <w:trPr>
          <w:trHeight w:val="168"/>
        </w:trPr>
        <w:tc>
          <w:tcPr>
            <w:tcW w:w="32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2001 .................</w:t>
            </w: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2,405</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3,847</w:t>
            </w:r>
          </w:p>
        </w:tc>
        <w:tc>
          <w:tcPr>
            <w:tcW w:w="13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1,589</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4,663</w:t>
            </w:r>
          </w:p>
        </w:tc>
      </w:tr>
    </w:tbl>
    <w:p>
      <w:pPr>
        <w:spacing w:after="0" w:line="1" w:lineRule="exact"/>
        <w:rPr>
          <w:sz w:val="20"/>
          <w:szCs w:val="20"/>
          <w:color w:val="auto"/>
        </w:rPr>
      </w:pPr>
    </w:p>
    <w:sectPr>
      <w:pgSz w:w="11900" w:h="16838" w:orient="portrait"/>
      <w:cols w:equalWidth="0" w:num="1">
        <w:col w:w="11040"/>
      </w:cols>
      <w:pgMar w:left="220" w:top="28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678"/>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lowerLetter"/>
      <w:start w:val="1"/>
    </w:lvl>
    <w:lvl w:ilvl="1">
      <w:lvlJc w:val="left"/>
      <w:lvlText w:val="(%2)"/>
      <w:numFmt w:val="decimal"/>
      <w:start w:val="1"/>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1"/>
      <w:numFmt w:val="decimal"/>
      <w:start w:val="13"/>
    </w:lvl>
  </w:abstractNum>
  <w:abstractNum w:abstractNumId="56">
    <w:nsid w:val="6B94764"/>
    <w:multiLevelType w:val="hybridMultilevel"/>
    <w:lvl w:ilvl="0">
      <w:lvlJc w:val="left"/>
      <w:lvlText w:val="%1"/>
      <w:numFmt w:val="decimal"/>
      <w:start w:val="23"/>
    </w:lvl>
  </w:abstractNum>
  <w:abstractNum w:abstractNumId="57">
    <w:nsid w:val="42C296BD"/>
    <w:multiLevelType w:val="hybridMultilevel"/>
    <w:lvl w:ilvl="0">
      <w:lvlJc w:val="left"/>
      <w:lvlText w:val="%1"/>
      <w:numFmt w:val="decimal"/>
      <w:start w:val="99"/>
    </w:lvl>
  </w:abstractNum>
  <w:abstractNum w:abstractNumId="58">
    <w:nsid w:val="168E121F"/>
    <w:multiLevelType w:val="hybridMultilevel"/>
    <w:lvl w:ilvl="0">
      <w:lvlJc w:val="left"/>
      <w:lvlText w:val="**"/>
      <w:numFmt w:val="bullet"/>
      <w:start w:val="1"/>
    </w:lvl>
    <w:lvl w:ilvl="1">
      <w:lvlJc w:val="left"/>
      <w:lvlText w:val="(%2)"/>
      <w:numFmt w:val="lowerLetter"/>
      <w:start w:val="2"/>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lvl w:ilvl="1">
      <w:lvlJc w:val="left"/>
      <w:lvlText w:val="(%2)"/>
      <w:numFmt w:val="decimal"/>
      <w:start w:val="1"/>
    </w:lvl>
  </w:abstractNum>
  <w:abstractNum w:abstractNumId="74">
    <w:nsid w:val="4962813B"/>
    <w:multiLevelType w:val="hybridMultilevel"/>
    <w:lvl w:ilvl="0">
      <w:lvlJc w:val="left"/>
      <w:lvlText w:val="-"/>
      <w:numFmt w:val="bullet"/>
      <w:start w:val="1"/>
    </w:lvl>
    <w:lvl w:ilvl="1">
      <w:lvlJc w:val="left"/>
      <w:lvlText w:val="(%2)"/>
      <w:numFmt w:val="decimal"/>
      <w:start w:val="3"/>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abstractNum>
  <w:abstractNum w:abstractNumId="77">
    <w:nsid w:val="14330624"/>
    <w:multiLevelType w:val="hybridMultilevel"/>
    <w:lvl w:ilvl="0">
      <w:lvlJc w:val="left"/>
      <w:lvlText w:val="-"/>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2019-12-14T05:54:37Z</dcterms:created>
  <dcterms:modified xsi:type="dcterms:W3CDTF">2019-12-14T05:54:37Z</dcterms:modified>
</cp:coreProperties>
</file>