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663575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577850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201930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229870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217170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347980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300"/>
          </w:cols>
          <w:pgMar w:left="240" w:top="109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82" w:lineRule="exact"/>
        <w:rPr>
          <w:sz w:val="24"/>
          <w:szCs w:val="24"/>
          <w:color w:val="auto"/>
        </w:rPr>
      </w:pPr>
    </w:p>
    <w:p>
      <w:pPr>
        <w:sectPr>
          <w:pgSz w:w="11900" w:h="16838" w:orient="portrait"/>
          <w:cols w:equalWidth="0" w:num="3">
            <w:col w:w="4560" w:space="720"/>
            <w:col w:w="2980" w:space="720"/>
            <w:col w:w="2320"/>
          </w:cols>
          <w:pgMar w:left="240" w:top="1098" w:right="359" w:bottom="1440" w:gutter="0" w:footer="0" w:header="0"/>
          <w:type w:val="continuous"/>
        </w:sectPr>
      </w:pPr>
    </w:p>
    <w:p>
      <w:pPr>
        <w:jc w:val="center"/>
        <w:ind w:right="11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3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40" w:space="720"/>
            <w:col w:w="2980" w:space="720"/>
            <w:col w:w="2440"/>
          </w:cols>
          <w:pgMar w:left="240" w:top="1098" w:right="359" w:bottom="1440" w:gutter="0" w:footer="0" w:header="0"/>
          <w:type w:val="continuous"/>
        </w:sectPr>
      </w:pP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210820</wp:posOffset>
            </wp:positionV>
            <wp:extent cx="2358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ectPr>
          <w:pgSz w:w="11900" w:h="16838" w:orient="portrait"/>
          <w:cols w:equalWidth="0" w:num="1">
            <w:col w:w="11300"/>
          </w:cols>
          <w:pgMar w:left="240" w:top="1098" w:right="359" w:bottom="1440" w:gutter="0" w:footer="0" w:header="0"/>
          <w:type w:val="continuous"/>
        </w:sectPr>
      </w:pPr>
    </w:p>
    <w:p>
      <w:pPr>
        <w:spacing w:after="0" w:line="200" w:lineRule="exact"/>
        <w:rPr>
          <w:sz w:val="24"/>
          <w:szCs w:val="24"/>
          <w:color w:val="auto"/>
        </w:rPr>
      </w:pP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109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1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Common Stock, par value $0.01 per share</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FISV</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0.375% Senior Notes due 2023</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FISV23</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1.125% Senior Notes due 2027</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FISV27</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1.625% Senior Notes due 2030</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FISV30</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2.250% Senior Notes due 2025</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FISV25</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3.000% Senior Notes due 2031</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FISV31</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210820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125095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 w:name="page3"/>
    <w:bookmarkEnd w:id="2"/>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November 6, 2019, Fiserv, Inc. issued a press release announcing its financial results for the quarter ended September 30, 2019. A copy of the press release is attached as Exhibit 99.1 to this Current Report on Form 8-K and is incorporated by reference herein.</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260" w:type="dxa"/>
            <w:vAlign w:val="bottom"/>
            <w:gridSpan w:val="4"/>
          </w:tcPr>
          <w:p>
            <w:pPr>
              <w:ind w:left="18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40" w:type="dxa"/>
            <w:vAlign w:val="bottom"/>
          </w:tcPr>
          <w:p>
            <w:pPr>
              <w:ind w:left="2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24"/>
                <w:szCs w:val="24"/>
                <w:color w:val="auto"/>
              </w:rPr>
            </w:pPr>
          </w:p>
        </w:tc>
        <w:tc>
          <w:tcPr>
            <w:tcW w:w="8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Press Release of Fiserv, Inc., dated November 6, 2019 (furnished pursuant to Item 2.02 of this Current Report on Form 8-K)</w:t>
              </w:r>
            </w:hyperlink>
          </w:p>
        </w:tc>
        <w:tc>
          <w:tcPr>
            <w:tcW w:w="0" w:type="dxa"/>
            <w:vAlign w:val="bottom"/>
          </w:tcPr>
          <w:p>
            <w:pPr>
              <w:spacing w:after="0"/>
              <w:rPr>
                <w:sz w:val="1"/>
                <w:szCs w:val="1"/>
                <w:color w:val="auto"/>
              </w:rPr>
            </w:pPr>
          </w:p>
        </w:tc>
      </w:tr>
      <w:tr>
        <w:trPr>
          <w:trHeight w:val="291"/>
        </w:trPr>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160"/>
          </w:cols>
          <w:pgMar w:left="240" w:top="742" w:right="49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FISERV, INC.</w:t>
      </w:r>
    </w:p>
    <w:p>
      <w:pPr>
        <w:spacing w:after="0" w:line="387" w:lineRule="exact"/>
        <w:rPr>
          <w:sz w:val="20"/>
          <w:szCs w:val="20"/>
          <w:color w:val="auto"/>
        </w:rPr>
      </w:pPr>
    </w:p>
    <w:p>
      <w:pPr>
        <w:ind w:left="40"/>
        <w:spacing w:after="0"/>
        <w:tabs>
          <w:tab w:leader="none" w:pos="820" w:val="left"/>
          <w:tab w:leader="none" w:pos="584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240" w:top="580" w:right="439" w:bottom="1440" w:gutter="0" w:footer="0" w:header="0"/>
        </w:sectPr>
      </w:pPr>
    </w:p>
    <w:bookmarkStart w:id="4" w:name="page5"/>
    <w:bookmarkEnd w:id="4"/>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59055</wp:posOffset>
            </wp:positionV>
            <wp:extent cx="1320800" cy="831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80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960" w:type="dxa"/>
            <w:vAlign w:val="bottom"/>
          </w:tcPr>
          <w:p>
            <w:pPr>
              <w:spacing w:after="0"/>
              <w:rPr>
                <w:sz w:val="18"/>
                <w:szCs w:val="18"/>
                <w:color w:val="auto"/>
              </w:rPr>
            </w:pPr>
          </w:p>
        </w:tc>
      </w:tr>
      <w:tr>
        <w:trPr>
          <w:trHeight w:val="40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196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Britt Zarling</w:t>
            </w: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Peter Poillon</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Corporate Communications</w:t>
            </w: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Investor Relations</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Fiserv, Inc.</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414-378-4040</w:t>
            </w:r>
          </w:p>
        </w:tc>
        <w:tc>
          <w:tcPr>
            <w:tcW w:w="37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212-266-3565</w:t>
            </w:r>
          </w:p>
        </w:tc>
      </w:tr>
      <w:tr>
        <w:trPr>
          <w:trHeight w:val="176"/>
        </w:trPr>
        <w:tc>
          <w:tcPr>
            <w:tcW w:w="188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8"/>
              </w:rPr>
              <w:t>britt.zarling@fiserv.com</w:t>
            </w:r>
          </w:p>
        </w:tc>
        <w:tc>
          <w:tcPr>
            <w:tcW w:w="3720" w:type="dxa"/>
            <w:vAlign w:val="bottom"/>
          </w:tcPr>
          <w:p>
            <w:pPr>
              <w:spacing w:after="0"/>
              <w:rPr>
                <w:sz w:val="15"/>
                <w:szCs w:val="15"/>
                <w:color w:val="auto"/>
              </w:rPr>
            </w:pPr>
          </w:p>
        </w:tc>
        <w:tc>
          <w:tcPr>
            <w:tcW w:w="196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7"/>
              </w:rPr>
              <w:t>peter.poillon@fiserv.com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7109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Fiserv Reports Third Quarter 2019 Results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completed its acquisition of First Data in the quarter;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revenue growth of 122% in the quarter and 44%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EPS decrease of 40% in the quarter and 36%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Internal revenue growth of 6% in both the quarter and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Adjusted EPS increase of 17% in the quarter and 16%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now expects 2019 internal revenue growth of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adjusted EPS growth of 16% to 17% for the full year</w:t>
      </w:r>
    </w:p>
    <w:p>
      <w:pPr>
        <w:spacing w:after="0" w:line="259" w:lineRule="exact"/>
        <w:rPr>
          <w:sz w:val="20"/>
          <w:szCs w:val="20"/>
          <w:color w:val="auto"/>
        </w:rPr>
      </w:pPr>
    </w:p>
    <w:p>
      <w:pPr>
        <w:ind w:right="460"/>
        <w:spacing w:after="0" w:line="272" w:lineRule="auto"/>
        <w:rPr>
          <w:sz w:val="20"/>
          <w:szCs w:val="20"/>
          <w:color w:val="auto"/>
        </w:rPr>
      </w:pPr>
      <w:r>
        <w:rPr>
          <w:rFonts w:ascii="Arial" w:cs="Arial" w:eastAsia="Arial" w:hAnsi="Arial"/>
          <w:sz w:val="20"/>
          <w:szCs w:val="20"/>
          <w:b w:val="1"/>
          <w:bCs w:val="1"/>
          <w:color w:val="auto"/>
        </w:rPr>
        <w:t xml:space="preserve">BROOKFIELD, Wis., November 6, 2019 </w:t>
      </w:r>
      <w:r>
        <w:rPr>
          <w:rFonts w:ascii="Arial" w:cs="Arial" w:eastAsia="Arial" w:hAnsi="Arial"/>
          <w:sz w:val="20"/>
          <w:szCs w:val="20"/>
          <w:color w:val="auto"/>
        </w:rPr>
        <w:t>– Fiserv, Inc. (NASDAQ: FISV), a leading global provider of payments and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technology solutions, today reported financial results for the third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Completion of First Data Corporation Acquisition</w:t>
      </w:r>
    </w:p>
    <w:p>
      <w:pPr>
        <w:spacing w:after="0" w:line="3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On July 29, 2019, Fiserv, Inc. ("Fiserv") completed the acquisition of First Data Corporation ("First Data") in an all-stock transaction. The company filed a Form 8-K on October 3, 2019 with detailed financial information to provide historical results on a combined company basis with First Data.</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2019 GAAP Results</w:t>
      </w:r>
    </w:p>
    <w:p>
      <w:pPr>
        <w:spacing w:after="0" w:line="3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On a GAAP basis, the financial results of First Data are included in the consolidated results of Fiserv from the date of acquisition. GAAP revenue for the company increased 122% to $3.13 billion in the third quarter of 2019 compared to the prior year period, with $1.61 billion from the First Data segment, 10% growth in the Payments segment and 4% growth in the Financial segment. For the first nine months of 2019, GAAP revenue increased 44% to $6.14 billion compared to the prior year period, with $1.61 billion from the First Data segment, 9% growth in the Payments segment and 1% growth in the Financial segment.</w:t>
      </w:r>
    </w:p>
    <w:p>
      <w:pPr>
        <w:spacing w:after="0" w:line="155"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color w:val="auto"/>
        </w:rPr>
        <w:t>GAAP earnings per share was $0.33 in the third quarter and $1.39 in the first nine months of 2019, decreasing 40% and 36%, respectively, compared to the prior year periods. GAAP earnings per share in the third quarter and the first nine months of 2019 included transaction costs associated with the First Data acquisition and acquired intangible asset amortization from the application of purchase accounting. GAAP earnings per share in the first nine months of 2018</w:t>
      </w:r>
    </w:p>
    <w:p>
      <w:pPr>
        <w:sectPr>
          <w:pgSz w:w="11900" w:h="16838" w:orient="portrait"/>
          <w:cols w:equalWidth="0" w:num="1">
            <w:col w:w="11400"/>
          </w:cols>
          <w:pgMar w:left="240" w:top="283" w:right="2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283" w:right="259" w:bottom="1440"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included a gain on the sale of a 55% interest of the company's Lending Solutions business (the "Lending Transaction").</w:t>
      </w:r>
    </w:p>
    <w:p>
      <w:pPr>
        <w:spacing w:after="0" w:line="16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GAAP operating margin was 12.0% in the third quarter and 18.4% in the first nine months of 2019 compared to 25.2% in the third quarter and 31.0% in the first nine months of 2018. GAAP operating margin in the third quarter and the first nine months of 2019 included the operating margin impacts from transaction costs and acquired intangible asset amortization associated with the acquisition of First Data. GAAP operating margin in the first nine months of 2018 included a $227 million gain resulting from the Lending Transaction.</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Net cash provided by operating activities was $1.6 billion in the first nine months of 2019 compared to $981 million in the first nine months of 2018.</w:t>
      </w:r>
    </w:p>
    <w:p>
      <w:pPr>
        <w:spacing w:after="0" w:line="148" w:lineRule="exact"/>
        <w:rPr>
          <w:sz w:val="20"/>
          <w:szCs w:val="20"/>
          <w:color w:val="auto"/>
        </w:rPr>
      </w:pPr>
    </w:p>
    <w:p>
      <w:pPr>
        <w:ind w:right="480"/>
        <w:spacing w:after="0" w:line="242" w:lineRule="auto"/>
        <w:rPr>
          <w:sz w:val="20"/>
          <w:szCs w:val="20"/>
          <w:color w:val="auto"/>
        </w:rPr>
      </w:pPr>
      <w:r>
        <w:rPr>
          <w:rFonts w:ascii="Arial" w:cs="Arial" w:eastAsia="Arial" w:hAnsi="Arial"/>
          <w:sz w:val="20"/>
          <w:szCs w:val="20"/>
          <w:color w:val="auto"/>
        </w:rPr>
        <w:t>"We delivered strong financial and sales results in the third quarter while focusing on providing differentiated value for clients across the new Fiserv," said Jeffery Yabuki, Chairman and Chief Executive Officer of Fiserv. "Our primary market focus is to enhance the manner in which consumers and business engage in banking, commerce and financial services to produce meaningful value for all of our stakeholders."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2019 Non-GAAP Results and Additional Information</w:t>
      </w:r>
    </w:p>
    <w:p>
      <w:pPr>
        <w:spacing w:after="0" w:line="24"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On an adjusted non-GAAP basis, the company's financial performance measures in this news release, including adjusted revenue, internal revenue, adjusted operating margin, adjusted net income, adjusted earnings per share and free cash flow, have been recalculated to provide current and historical results on a combined company basis to enhance investors' ability to evaluate Fiserv's operating performance on a combined basis with First Data.</w:t>
      </w:r>
    </w:p>
    <w:p>
      <w:pPr>
        <w:spacing w:after="0" w:line="193" w:lineRule="exact"/>
        <w:rPr>
          <w:sz w:val="20"/>
          <w:szCs w:val="20"/>
          <w:color w:val="auto"/>
        </w:rPr>
      </w:pPr>
    </w:p>
    <w:p>
      <w:pPr>
        <w:ind w:left="340" w:right="320" w:hanging="332"/>
        <w:spacing w:after="0" w:line="267"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revenue increased 5% to $3.62 billion in the third quarter and 4% to $10.73 billion in the first nine months of 2019 compared to the prior year periods.</w:t>
      </w:r>
    </w:p>
    <w:p>
      <w:pPr>
        <w:spacing w:after="0" w:line="1" w:lineRule="exact"/>
        <w:rPr>
          <w:rFonts w:ascii="Arial" w:cs="Arial" w:eastAsia="Arial" w:hAnsi="Arial"/>
          <w:sz w:val="20"/>
          <w:szCs w:val="20"/>
          <w:color w:val="auto"/>
        </w:rPr>
      </w:pPr>
    </w:p>
    <w:p>
      <w:pPr>
        <w:ind w:left="340" w:right="100" w:hanging="332"/>
        <w:spacing w:after="0" w:line="267"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Internal revenue growth, on a constant currency basis, was 6% in the third quarter, with 7% growth in the First Data segment, 6% growth in the Payments segment and 4% growth in the Financial segment.</w:t>
      </w:r>
    </w:p>
    <w:p>
      <w:pPr>
        <w:spacing w:after="0" w:line="1" w:lineRule="exact"/>
        <w:rPr>
          <w:rFonts w:ascii="Arial" w:cs="Arial" w:eastAsia="Arial" w:hAnsi="Arial"/>
          <w:sz w:val="20"/>
          <w:szCs w:val="20"/>
          <w:color w:val="auto"/>
        </w:rPr>
      </w:pPr>
    </w:p>
    <w:p>
      <w:pPr>
        <w:ind w:left="340" w:right="320" w:hanging="332"/>
        <w:spacing w:after="0" w:line="267"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Internal revenue growth, on a constant currency basis, was 6% in the first nine months of 2019, with 7% growth in the First Data segment, 5% growth in the Payments segment and 4% growth in the Financial segment.</w:t>
      </w:r>
    </w:p>
    <w:p>
      <w:pPr>
        <w:spacing w:after="0" w:line="1" w:lineRule="exact"/>
        <w:rPr>
          <w:rFonts w:ascii="Arial" w:cs="Arial" w:eastAsia="Arial" w:hAnsi="Arial"/>
          <w:sz w:val="20"/>
          <w:szCs w:val="20"/>
          <w:color w:val="auto"/>
        </w:rPr>
      </w:pPr>
    </w:p>
    <w:p>
      <w:pPr>
        <w:ind w:left="340" w:right="380" w:hanging="332"/>
        <w:spacing w:after="0" w:line="267"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earnings per share increased 17% to $1.02 in the third quarter and 16% to $2.87 in the first nine months of 2019 compared to the prior year periods.</w:t>
      </w:r>
    </w:p>
    <w:p>
      <w:pPr>
        <w:spacing w:after="0" w:line="1" w:lineRule="exact"/>
        <w:rPr>
          <w:rFonts w:ascii="Arial" w:cs="Arial" w:eastAsia="Arial" w:hAnsi="Arial"/>
          <w:sz w:val="20"/>
          <w:szCs w:val="20"/>
          <w:color w:val="auto"/>
        </w:rPr>
      </w:pPr>
    </w:p>
    <w:p>
      <w:pPr>
        <w:ind w:left="340" w:hanging="332"/>
        <w:spacing w:after="0" w:line="267"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margin increased 130 basis points to 29.8% in the third quarter and increased 100 basis points to 29.1% in the first nine months of 2019 compared to the prior year periods.</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Free cash flow increased 13% to $2.3 billion in the first nine months of 2019 compared to $2 billion in the prior year period.</w:t>
      </w:r>
    </w:p>
    <w:p>
      <w:pPr>
        <w:spacing w:after="0" w:line="26"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19"/>
          <w:szCs w:val="19"/>
          <w:color w:val="auto"/>
        </w:rPr>
      </w:pPr>
      <w:r>
        <w:rPr>
          <w:rFonts w:ascii="Arial" w:cs="Arial" w:eastAsia="Arial" w:hAnsi="Arial"/>
          <w:sz w:val="19"/>
          <w:szCs w:val="19"/>
          <w:color w:val="auto"/>
        </w:rPr>
        <w:t>Actual sales results were up 15% in the quarter and up 8% in the first nine months of 2019 compared to the prior year periods.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60"/>
          </w:cols>
          <w:pgMar w:left="240" w:top="1266" w:right="299" w:bottom="1440" w:gutter="0" w:footer="0" w:header="0"/>
        </w:sectPr>
      </w:pPr>
    </w:p>
    <w:bookmarkStart w:id="6" w:name="page7"/>
    <w:bookmarkEnd w:id="6"/>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315" w:lineRule="exact"/>
        <w:rPr>
          <w:sz w:val="20"/>
          <w:szCs w:val="20"/>
          <w:color w:val="auto"/>
        </w:rPr>
      </w:pPr>
    </w:p>
    <w:p>
      <w:pPr>
        <w:ind w:left="340" w:right="300" w:hanging="332"/>
        <w:spacing w:after="0" w:line="275"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reinstated its share repurchase program late in the third quarter and repurchased 341 thousand shares in the quarter, and 2 million shares in the first nine months of 2019, for $35 million and $156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2019</w:t>
      </w:r>
    </w:p>
    <w:p>
      <w:pPr>
        <w:spacing w:after="0" w:line="51"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color w:val="auto"/>
        </w:rPr>
        <w:t>Fiserv now expects internal revenue growth of 6% for the full year and expects adjusted earnings per share in a range of $3.98 to $4.02, or growth of 16% to 17% for the period.</w:t>
      </w:r>
    </w:p>
    <w:p>
      <w:pPr>
        <w:spacing w:after="0" w:line="148" w:lineRule="exact"/>
        <w:rPr>
          <w:sz w:val="20"/>
          <w:szCs w:val="20"/>
          <w:color w:val="auto"/>
        </w:rPr>
      </w:pPr>
    </w:p>
    <w:p>
      <w:pPr>
        <w:ind w:right="620"/>
        <w:spacing w:after="0" w:line="275" w:lineRule="auto"/>
        <w:rPr>
          <w:sz w:val="20"/>
          <w:szCs w:val="20"/>
          <w:color w:val="auto"/>
        </w:rPr>
      </w:pPr>
      <w:r>
        <w:rPr>
          <w:rFonts w:ascii="Arial" w:cs="Arial" w:eastAsia="Arial" w:hAnsi="Arial"/>
          <w:sz w:val="20"/>
          <w:szCs w:val="20"/>
          <w:color w:val="auto"/>
        </w:rPr>
        <w:t>"We believe our financial performance along with early synergy benefits should translate to strong full year results and set a foundation for an even better 2020," said Yabuki.</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51"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 xml:space="preserve">The company will discuss its third quarter 2019 results on a conference call and webcast at 4 p.m. CT on Wednesday, November 6, 2019. To register for the event, go to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click on the Q3 Earnings webcast link. Supplemental materials will be available in the "Investor Relations" section of the website.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51"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cloud-based point-of-sale solution.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the FORTUNE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500, and is among the FORTUNE Magazine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Visit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follow on social media for more information and the latest company news.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Due to the financial impact of the First Data acquisition, the company's non-GAAP financial performance measures have been recalculated in this news release on a combined company basis for both the third quarter and first nine months of 2019 and 2018. The combined financial information has been prepared by making certain adjustments to the sum of historical First Data financial information determined in accordance with generally accepted accounting principles ("GAAP") and historical Fiserv financial information determined in accordance with GAAP. The historical combined financial information includes various estimates and is not necessarily indicative of the operating results of the combined companies had the transaction been completed at the assumed dates or of the combined companies in the future. The historical combined financial information does not reflect any cost savings or other synergies anticipated as a result of the acquisition. In addition, the historical combined financial information does not reflect the impact of any purchase accounting adjustments that may arise from the acquisition as those impacts would be excluded in the preparation of the combined financial information. The combined financial information is not pro forma information prepared in accordance with Article 11 of Regulation S-X of the Securities and Exchange Commission, and the preparation of information in accordance with Article 11 would result in a significantly different presentation.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266"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315" w:lineRule="exact"/>
        <w:rPr>
          <w:sz w:val="20"/>
          <w:szCs w:val="20"/>
          <w:color w:val="auto"/>
        </w:rPr>
      </w:pPr>
    </w:p>
    <w:p>
      <w:pPr>
        <w:jc w:val="both"/>
        <w:ind w:right="160"/>
        <w:spacing w:after="0" w:line="281" w:lineRule="auto"/>
        <w:rPr>
          <w:sz w:val="20"/>
          <w:szCs w:val="20"/>
          <w:color w:val="auto"/>
        </w:rPr>
      </w:pPr>
      <w:r>
        <w:rPr>
          <w:rFonts w:ascii="Arial" w:cs="Arial" w:eastAsia="Arial" w:hAnsi="Arial"/>
          <w:sz w:val="19"/>
          <w:szCs w:val="19"/>
          <w:color w:val="auto"/>
        </w:rPr>
        <w:t>The company supplements its and First Data's historical reporting of information determined in accordance with GAAP, such as revenue, operating income, operating margin, net income, earnings per share and net cash provided by operating activities, with "combined revenue," "adjusted revenue," "internal revenue," "internal revenue growth," "combined operating income," "adjusted operating income," "adjusted operating margin," "combined net income attributable to Fiserv," "adjusted net income," "combined earnings per share," "adjusted earnings per share," "combined net cash provided by operating activities," and "free cash flow."</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Management believes that providing combined historical financial information, making adjustments for certain non-cash or other items and excluding certain pass-through revenue and expenses with respect to such combined information should enhance shareholders' ability to evaluate the combined company's performance, including providing a reasonable basis of comparison with its results for post-acquisition periods and providing additional insights into the factors and trends affecting the combined company's business. Therefore, the company excludes these items from its and First Data's historical combined revenue, combined operating income, combined net income attributable to Fiserv, combined earnings per share and combined net cash provided by operating activities to calculate these non-GAAP measures. The corresponding reconciliations of these adjusted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18 for additional information regarding the company's forward-looking non-GAAP financial measures.</w:t>
      </w:r>
    </w:p>
    <w:p>
      <w:pPr>
        <w:spacing w:after="0" w:line="160" w:lineRule="exact"/>
        <w:rPr>
          <w:sz w:val="20"/>
          <w:szCs w:val="20"/>
          <w:color w:val="auto"/>
        </w:rPr>
      </w:pPr>
    </w:p>
    <w:p>
      <w:pPr>
        <w:ind w:right="400"/>
        <w:spacing w:after="0" w:line="269" w:lineRule="auto"/>
        <w:rPr>
          <w:sz w:val="20"/>
          <w:szCs w:val="20"/>
          <w:color w:val="auto"/>
        </w:rPr>
      </w:pPr>
      <w:r>
        <w:rPr>
          <w:rFonts w:ascii="Arial" w:cs="Arial" w:eastAsia="Arial" w:hAnsi="Arial"/>
          <w:sz w:val="20"/>
          <w:szCs w:val="20"/>
          <w:color w:val="auto"/>
        </w:rPr>
        <w:t>Examples of non-cash or other items may include, but are not limited to, non-cash deferred revenue adjustments arising from acquisitions; non-cash intangible asset amortization expense associated with acquisitions; non-cash impairment charges; severance and restructuring costs; net charges associated with debt financing activities including foreign currency transaction gains, early debt extinguishment and bridge financing costs; merger and integration costs; gains or losses from the sale of businesses;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54" w:lineRule="exact"/>
        <w:rPr>
          <w:sz w:val="20"/>
          <w:szCs w:val="20"/>
          <w:color w:val="auto"/>
        </w:rPr>
      </w:pPr>
    </w:p>
    <w:p>
      <w:pPr>
        <w:ind w:right="140"/>
        <w:spacing w:after="0" w:line="269"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60"/>
          </w:cols>
          <w:pgMar w:left="240" w:top="1266" w:right="299" w:bottom="1440" w:gutter="0" w:footer="0" w:header="0"/>
        </w:sectPr>
      </w:pPr>
    </w:p>
    <w:bookmarkStart w:id="8" w:name="page9"/>
    <w:bookmarkEnd w:id="8"/>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315" w:lineRule="exact"/>
        <w:rPr>
          <w:sz w:val="20"/>
          <w:szCs w:val="20"/>
          <w:color w:val="auto"/>
        </w:rPr>
      </w:pPr>
    </w:p>
    <w:p>
      <w:pPr>
        <w:ind w:right="20"/>
        <w:spacing w:after="0" w:line="269" w:lineRule="auto"/>
        <w:rPr>
          <w:sz w:val="20"/>
          <w:szCs w:val="20"/>
          <w:color w:val="auto"/>
        </w:rPr>
      </w:pPr>
      <w:r>
        <w:rPr>
          <w:rFonts w:ascii="Arial" w:cs="Arial" w:eastAsia="Arial" w:hAnsi="Arial"/>
          <w:sz w:val="20"/>
          <w:szCs w:val="20"/>
          <w:color w:val="auto"/>
        </w:rPr>
        <w:t>Management believes internal revenue growth is useful because it presents combined adjusted revenue growth including deferred revenue purchase accounting adjustments and excluding the impact of foreign currency fluctuations, acquisitions, dispositions and the company's Output Solutions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These non-GAAP measures may not be comparable to similarly titled measures reported by other companies and should be considered in addition to, and not as a substitute for, revenue, operating income, operating margin, net income, earnings per share and net cash provided by operating activities or any other amount determined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i w:val="1"/>
          <w:iCs w:val="1"/>
          <w:color w:val="auto"/>
        </w:rPr>
        <w:t>This news release contains forward-looking statements within the meaning of the Private Securities Litigation Reform Act of 1995, including statements regarding anticipated internal revenue growth, adjusted earnings per share and adjusted earnings per share growth.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3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possibility that the company may be unable to achieve expected synergies and operating efficiencies from the acquisition of First Data within the expected time frames or at all or to successfully integrate the operations of First Data into the company's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the company's liabilities or those of First Data may exist; the company's ability to meet expectations regarding the accounting and tax treatments of the transaction; the company's ability to compete effectively against new and existing competitors and to continue to introduce competitive new products and services on a timely, cost-effective basis; changes in customer demand for the company's products and services; rapid technological developments and changes, and the ability of the company's technology to keep pace with a rapidly evolving marketplace; the successful management of the company's merchant alliance program which involves several alliances not under its sole control; the impact of a security breach or operational failure on the company's business including disruptions at other participants in the global financial system; the failure of the company's third party vendors and merchants to satisfy their obligations; the successful management of credit and fraud risks in the company's business units and merchant alliances; changes in local, regional, national and international economic or political conditions and the impact they may have on the company and its customers; the effect of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266"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82" w:lineRule="exact"/>
        <w:rPr>
          <w:sz w:val="20"/>
          <w:szCs w:val="20"/>
          <w:color w:val="auto"/>
        </w:rPr>
      </w:pPr>
    </w:p>
    <w:p>
      <w:pPr>
        <w:spacing w:after="0" w:line="242" w:lineRule="auto"/>
        <w:rPr>
          <w:sz w:val="20"/>
          <w:szCs w:val="20"/>
          <w:color w:val="auto"/>
        </w:rPr>
      </w:pPr>
      <w:r>
        <w:rPr>
          <w:rFonts w:ascii="Arial" w:cs="Arial" w:eastAsia="Arial" w:hAnsi="Arial"/>
          <w:sz w:val="20"/>
          <w:szCs w:val="20"/>
          <w:i w:val="1"/>
          <w:iCs w:val="1"/>
          <w:color w:val="auto"/>
        </w:rPr>
        <w:t>proposed and enacted legislative and regulatory actions affecting the financial services industry as a whole and/or the company and its subsidiaries individually or collectively;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strategic initiatives; the company's ability to attract and retain key personnel; changes in the interest rate environment that increase interest on the company's borrowings or the interest rate at which the company can refinance its borrowings; adverse impacts from currency exchange rates or currency controls imposed by any government or otherwise; and other factors included in “Risk Factors” in the company's and First Data's Annual Reports on Form 10-K for the year ended December 31, 2018, and in other documents that the company files with the SEC,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1266" w:right="259" w:bottom="1440" w:gutter="0" w:footer="0" w:header="0"/>
        </w:sectPr>
      </w:pPr>
    </w:p>
    <w:bookmarkStart w:id="10" w:name="page11"/>
    <w:bookmarkEnd w:id="10"/>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7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(In millions, except per share amounts,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379"/>
              <w:spacing w:after="0"/>
              <w:rPr>
                <w:sz w:val="20"/>
                <w:szCs w:val="20"/>
                <w:color w:val="auto"/>
              </w:rPr>
            </w:pPr>
            <w:r>
              <w:rPr>
                <w:rFonts w:ascii="Arial" w:cs="Arial" w:eastAsia="Arial" w:hAnsi="Arial"/>
                <w:sz w:val="16"/>
                <w:szCs w:val="16"/>
                <w:color w:val="auto"/>
              </w:rPr>
              <w:t>Nine Months Ended</w:t>
            </w:r>
          </w:p>
        </w:tc>
      </w:tr>
      <w:tr>
        <w:trPr>
          <w:trHeight w:val="195"/>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6"/>
                <w:szCs w:val="16"/>
                <w:color w:val="auto"/>
              </w:rPr>
            </w:pPr>
          </w:p>
        </w:tc>
        <w:tc>
          <w:tcPr>
            <w:tcW w:w="2120" w:type="dxa"/>
            <w:vAlign w:val="bottom"/>
            <w:gridSpan w:val="4"/>
          </w:tcPr>
          <w:p>
            <w:pPr>
              <w:jc w:val="right"/>
              <w:ind w:right="559"/>
              <w:spacing w:after="0"/>
              <w:rPr>
                <w:sz w:val="20"/>
                <w:szCs w:val="20"/>
                <w:color w:val="auto"/>
              </w:rPr>
            </w:pPr>
            <w:r>
              <w:rPr>
                <w:rFonts w:ascii="Arial" w:cs="Arial" w:eastAsia="Arial" w:hAnsi="Arial"/>
                <w:sz w:val="16"/>
                <w:szCs w:val="16"/>
                <w:color w:val="auto"/>
              </w:rPr>
              <w:t>September 30,</w:t>
            </w:r>
          </w:p>
        </w:tc>
      </w:tr>
      <w:tr>
        <w:trPr>
          <w:trHeight w:val="283"/>
        </w:trPr>
        <w:tc>
          <w:tcPr>
            <w:tcW w:w="6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r>
      <w:tr>
        <w:trPr>
          <w:trHeight w:val="251"/>
        </w:trPr>
        <w:tc>
          <w:tcPr>
            <w:tcW w:w="64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2,608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5,229</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3,668</w:t>
            </w:r>
          </w:p>
        </w:tc>
      </w:tr>
      <w:tr>
        <w:trPr>
          <w:trHeight w:val="283"/>
        </w:trPr>
        <w:tc>
          <w:tcPr>
            <w:tcW w:w="6480" w:type="dxa"/>
            <w:vAlign w:val="bottom"/>
          </w:tcPr>
          <w:p>
            <w:pPr>
              <w:spacing w:after="0"/>
              <w:rPr>
                <w:sz w:val="20"/>
                <w:szCs w:val="20"/>
                <w:color w:val="auto"/>
              </w:rPr>
            </w:pPr>
            <w:r>
              <w:rPr>
                <w:rFonts w:ascii="Arial" w:cs="Arial" w:eastAsia="Arial" w:hAnsi="Arial"/>
                <w:sz w:val="16"/>
                <w:szCs w:val="16"/>
                <w:color w:val="auto"/>
              </w:rPr>
              <w:t>Product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r>
      <w:tr>
        <w:trPr>
          <w:trHeight w:val="250"/>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3,128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6,142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4,272</w:t>
            </w:r>
          </w:p>
        </w:tc>
      </w:tr>
      <w:tr>
        <w:trPr>
          <w:trHeight w:val="467"/>
        </w:trPr>
        <w:tc>
          <w:tcPr>
            <w:tcW w:w="64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1,204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2,445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1,696</w:t>
            </w: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Cost of product</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1,821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283"/>
        </w:trPr>
        <w:tc>
          <w:tcPr>
            <w:tcW w:w="6480" w:type="dxa"/>
            <w:vAlign w:val="bottom"/>
          </w:tcPr>
          <w:p>
            <w:pPr>
              <w:spacing w:after="0"/>
              <w:rPr>
                <w:sz w:val="20"/>
                <w:szCs w:val="20"/>
                <w:color w:val="auto"/>
              </w:rPr>
            </w:pPr>
            <w:r>
              <w:rPr>
                <w:rFonts w:ascii="Arial" w:cs="Arial" w:eastAsia="Arial" w:hAnsi="Arial"/>
                <w:sz w:val="16"/>
                <w:szCs w:val="16"/>
                <w:color w:val="auto"/>
              </w:rPr>
              <w:t>(Gain) loss on sale of businesses</w:t>
            </w:r>
          </w:p>
        </w:tc>
        <w:tc>
          <w:tcPr>
            <w:tcW w:w="2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50"/>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2,754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2,950</w:t>
            </w:r>
          </w:p>
        </w:tc>
      </w:tr>
      <w:tr>
        <w:trPr>
          <w:trHeight w:val="467"/>
        </w:trPr>
        <w:tc>
          <w:tcPr>
            <w:tcW w:w="64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1,131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Debt financing activities</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6480" w:type="dxa"/>
            <w:vAlign w:val="bottom"/>
          </w:tcPr>
          <w:p>
            <w:pPr>
              <w:spacing w:after="0"/>
              <w:rPr>
                <w:sz w:val="20"/>
                <w:szCs w:val="20"/>
                <w:color w:val="auto"/>
              </w:rPr>
            </w:pPr>
            <w:r>
              <w:rPr>
                <w:rFonts w:ascii="Arial" w:cs="Arial" w:eastAsia="Arial" w:hAnsi="Arial"/>
                <w:sz w:val="16"/>
                <w:szCs w:val="16"/>
                <w:color w:val="auto"/>
              </w:rPr>
              <w:t>Other (expense) income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414"/>
        </w:trPr>
        <w:tc>
          <w:tcPr>
            <w:tcW w:w="648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6"/>
                <w:szCs w:val="16"/>
                <w:b w:val="1"/>
                <w:bCs w:val="1"/>
                <w:color w:val="auto"/>
              </w:rPr>
              <w:t>from investments in unconsolidated affiliates</w:t>
            </w:r>
          </w:p>
        </w:tc>
        <w:tc>
          <w:tcPr>
            <w:tcW w:w="2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1,183</w:t>
            </w:r>
          </w:p>
        </w:tc>
      </w:tr>
      <w:tr>
        <w:trPr>
          <w:trHeight w:val="270"/>
        </w:trPr>
        <w:tc>
          <w:tcPr>
            <w:tcW w:w="648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83"/>
        </w:trPr>
        <w:tc>
          <w:tcPr>
            <w:tcW w:w="6480" w:type="dxa"/>
            <w:vAlign w:val="bottom"/>
          </w:tcPr>
          <w:p>
            <w:pPr>
              <w:spacing w:after="0"/>
              <w:rPr>
                <w:sz w:val="20"/>
                <w:szCs w:val="20"/>
                <w:color w:val="auto"/>
              </w:rPr>
            </w:pPr>
            <w:r>
              <w:rPr>
                <w:rFonts w:ascii="Arial" w:cs="Arial" w:eastAsia="Arial" w:hAnsi="Arial"/>
                <w:sz w:val="16"/>
                <w:szCs w:val="16"/>
                <w:color w:val="auto"/>
              </w:rPr>
              <w:t>Income from investments in unconsolidated affiliates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r>
      <w:tr>
        <w:trPr>
          <w:trHeight w:val="467"/>
        </w:trPr>
        <w:tc>
          <w:tcPr>
            <w:tcW w:w="648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901</w:t>
            </w:r>
          </w:p>
        </w:tc>
      </w:tr>
      <w:tr>
        <w:trPr>
          <w:trHeight w:val="283"/>
        </w:trPr>
        <w:tc>
          <w:tcPr>
            <w:tcW w:w="648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0"/>
        </w:trPr>
        <w:tc>
          <w:tcPr>
            <w:tcW w:w="648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198</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0"/>
        </w:trPr>
        <w:tc>
          <w:tcPr>
            <w:tcW w:w="648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0.33</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486"/>
        </w:trPr>
        <w:tc>
          <w:tcPr>
            <w:tcW w:w="648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596.9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465.2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416.6</w:t>
            </w:r>
          </w:p>
        </w:tc>
      </w:tr>
      <w:tr>
        <w:trPr>
          <w:trHeight w:val="459"/>
        </w:trPr>
        <w:tc>
          <w:tcPr>
            <w:tcW w:w="6480" w:type="dxa"/>
            <w:vAlign w:val="bottom"/>
          </w:tcPr>
          <w:p>
            <w:pPr>
              <w:spacing w:after="0"/>
              <w:rPr>
                <w:sz w:val="20"/>
                <w:szCs w:val="20"/>
                <w:color w:val="auto"/>
              </w:rPr>
            </w:pPr>
            <w:r>
              <w:rPr>
                <w:rFonts w:ascii="Arial" w:cs="Arial" w:eastAsia="Arial" w:hAnsi="Arial"/>
                <w:sz w:val="16"/>
                <w:szCs w:val="16"/>
                <w:color w:val="auto"/>
              </w:rPr>
              <w:t>Earnings per share is calculated using actual, unrounded amounts.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80" w:top="1266"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00" w:lineRule="exact"/>
        <w:rPr>
          <w:sz w:val="20"/>
          <w:szCs w:val="20"/>
          <w:color w:val="auto"/>
        </w:rPr>
      </w:pPr>
    </w:p>
    <w:p>
      <w:pPr>
        <w:spacing w:after="0" w:line="250"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Fiserv, Inc.</w:t>
      </w:r>
    </w:p>
    <w:p>
      <w:pPr>
        <w:spacing w:after="0" w:line="59"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Reconciliation of GAAP to</w:t>
      </w:r>
    </w:p>
    <w:p>
      <w:pPr>
        <w:spacing w:after="0" w:line="59"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79"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(In millions, except per share amounts, unaudited)</w:t>
      </w: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339"/>
              <w:spacing w:after="0"/>
              <w:rPr>
                <w:sz w:val="20"/>
                <w:szCs w:val="20"/>
                <w:color w:val="auto"/>
              </w:rPr>
            </w:pPr>
            <w:r>
              <w:rPr>
                <w:rFonts w:ascii="Arial" w:cs="Arial" w:eastAsia="Arial" w:hAnsi="Arial"/>
                <w:sz w:val="16"/>
                <w:szCs w:val="16"/>
                <w:color w:val="auto"/>
              </w:rPr>
              <w:t>Nine Months Ended</w:t>
            </w:r>
          </w:p>
        </w:tc>
      </w:tr>
      <w:tr>
        <w:trPr>
          <w:trHeight w:val="195"/>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6"/>
                <w:szCs w:val="16"/>
                <w:color w:val="auto"/>
              </w:rPr>
            </w:pPr>
          </w:p>
        </w:tc>
        <w:tc>
          <w:tcPr>
            <w:tcW w:w="2080" w:type="dxa"/>
            <w:vAlign w:val="bottom"/>
            <w:gridSpan w:val="4"/>
          </w:tcPr>
          <w:p>
            <w:pPr>
              <w:jc w:val="right"/>
              <w:ind w:right="519"/>
              <w:spacing w:after="0"/>
              <w:rPr>
                <w:sz w:val="20"/>
                <w:szCs w:val="20"/>
                <w:color w:val="auto"/>
              </w:rPr>
            </w:pPr>
            <w:r>
              <w:rPr>
                <w:rFonts w:ascii="Arial" w:cs="Arial" w:eastAsia="Arial" w:hAnsi="Arial"/>
                <w:sz w:val="16"/>
                <w:szCs w:val="16"/>
                <w:color w:val="auto"/>
              </w:rPr>
              <w:t>September 30,</w:t>
            </w:r>
          </w:p>
        </w:tc>
      </w:tr>
      <w:tr>
        <w:trPr>
          <w:trHeight w:val="283"/>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2018</w:t>
            </w:r>
          </w:p>
        </w:tc>
      </w:tr>
      <w:tr>
        <w:trPr>
          <w:trHeight w:val="521"/>
        </w:trPr>
        <w:tc>
          <w:tcPr>
            <w:tcW w:w="628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198</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901</w:t>
            </w:r>
          </w:p>
        </w:tc>
      </w:tr>
      <w:tr>
        <w:trPr>
          <w:trHeight w:val="290"/>
        </w:trPr>
        <w:tc>
          <w:tcPr>
            <w:tcW w:w="6280" w:type="dxa"/>
            <w:vAlign w:val="bottom"/>
          </w:tcPr>
          <w:p>
            <w:pPr>
              <w:spacing w:after="0"/>
              <w:rPr>
                <w:sz w:val="20"/>
                <w:szCs w:val="20"/>
                <w:color w:val="auto"/>
              </w:rPr>
            </w:pPr>
            <w:r>
              <w:rPr>
                <w:rFonts w:ascii="Arial" w:cs="Arial" w:eastAsia="Arial" w:hAnsi="Arial"/>
                <w:sz w:val="16"/>
                <w:szCs w:val="16"/>
                <w:color w:val="auto"/>
              </w:rPr>
              <w:t xml:space="preserve">GAAP net income attributable to First Data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r>
      <w:tr>
        <w:trPr>
          <w:trHeight w:val="231"/>
        </w:trPr>
        <w:tc>
          <w:tcPr>
            <w:tcW w:w="6280" w:type="dxa"/>
            <w:vAlign w:val="bottom"/>
          </w:tcPr>
          <w:p>
            <w:pPr>
              <w:spacing w:after="0"/>
              <w:rPr>
                <w:sz w:val="20"/>
                <w:szCs w:val="20"/>
                <w:color w:val="auto"/>
              </w:rPr>
            </w:pPr>
            <w:r>
              <w:rPr>
                <w:rFonts w:ascii="Arial" w:cs="Arial" w:eastAsia="Arial" w:hAnsi="Arial"/>
                <w:sz w:val="16"/>
                <w:szCs w:val="16"/>
                <w:color w:val="auto"/>
              </w:rPr>
              <w:t>Combined net income attributable to Fiserv</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1,744</w:t>
            </w: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Combined adjustments:</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26"/>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2</w:t>
            </w: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Severance and restructuring costs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445</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Debt financing activities </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Impact of divestitures </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7</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70"/>
        </w:trPr>
        <w:tc>
          <w:tcPr>
            <w:tcW w:w="6280" w:type="dxa"/>
            <w:vAlign w:val="bottom"/>
          </w:tcPr>
          <w:p>
            <w:pPr>
              <w:ind w:left="120"/>
              <w:spacing w:after="0"/>
              <w:rPr>
                <w:sz w:val="20"/>
                <w:szCs w:val="20"/>
                <w:color w:val="auto"/>
              </w:rPr>
            </w:pPr>
            <w:r>
              <w:rPr>
                <w:rFonts w:ascii="Arial" w:cs="Arial" w:eastAsia="Arial" w:hAnsi="Arial"/>
                <w:sz w:val="16"/>
                <w:szCs w:val="16"/>
                <w:color w:val="auto"/>
              </w:rPr>
              <w:t xml:space="preserve">Tax impact of gain on sale of businesses </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234"/>
        </w:trPr>
        <w:tc>
          <w:tcPr>
            <w:tcW w:w="628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9</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34"/>
        </w:trPr>
        <w:tc>
          <w:tcPr>
            <w:tcW w:w="628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1,991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1,761</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96"/>
        </w:trPr>
        <w:tc>
          <w:tcPr>
            <w:tcW w:w="6280" w:type="dxa"/>
            <w:vAlign w:val="bottom"/>
          </w:tcPr>
          <w:p>
            <w:pPr>
              <w:spacing w:after="0"/>
              <w:rPr>
                <w:sz w:val="20"/>
                <w:szCs w:val="20"/>
                <w:color w:val="auto"/>
              </w:rPr>
            </w:pPr>
            <w:r>
              <w:rPr>
                <w:rFonts w:ascii="Arial" w:cs="Arial" w:eastAsia="Arial" w:hAnsi="Arial"/>
                <w:sz w:val="16"/>
                <w:szCs w:val="16"/>
                <w:b w:val="1"/>
                <w:bCs w:val="1"/>
                <w:color w:val="auto"/>
              </w:rPr>
              <w:t>Weighted average common shares outstanding - diluted</w:t>
            </w: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596.9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465.2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416.6</w:t>
            </w: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Issuance of shares for combination</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286.3</w:t>
            </w:r>
          </w:p>
        </w:tc>
      </w:tr>
      <w:tr>
        <w:trPr>
          <w:trHeight w:val="283"/>
        </w:trPr>
        <w:tc>
          <w:tcPr>
            <w:tcW w:w="6280" w:type="dxa"/>
            <w:vAlign w:val="bottom"/>
          </w:tcPr>
          <w:p>
            <w:pPr>
              <w:spacing w:after="0"/>
              <w:rPr>
                <w:sz w:val="20"/>
                <w:szCs w:val="20"/>
                <w:color w:val="auto"/>
              </w:rPr>
            </w:pPr>
            <w:r>
              <w:rPr>
                <w:rFonts w:ascii="Arial" w:cs="Arial" w:eastAsia="Arial" w:hAnsi="Arial"/>
                <w:sz w:val="16"/>
                <w:szCs w:val="16"/>
                <w:color w:val="auto"/>
              </w:rPr>
              <w:t>Dilutive impact of exchanged equity awards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r>
      <w:tr>
        <w:trPr>
          <w:trHeight w:val="257"/>
        </w:trPr>
        <w:tc>
          <w:tcPr>
            <w:tcW w:w="6280" w:type="dxa"/>
            <w:vAlign w:val="bottom"/>
          </w:tcPr>
          <w:p>
            <w:pPr>
              <w:spacing w:after="0"/>
              <w:rPr>
                <w:sz w:val="20"/>
                <w:szCs w:val="20"/>
                <w:color w:val="auto"/>
              </w:rPr>
            </w:pPr>
            <w:r>
              <w:rPr>
                <w:rFonts w:ascii="Arial" w:cs="Arial" w:eastAsia="Arial" w:hAnsi="Arial"/>
                <w:sz w:val="16"/>
                <w:szCs w:val="16"/>
                <w:b w:val="1"/>
                <w:bCs w:val="1"/>
                <w:color w:val="auto"/>
              </w:rPr>
              <w:t xml:space="preserve">Combined weighted average common shares outstanding - diluted </w:t>
            </w:r>
            <w:r>
              <w:rPr>
                <w:rFonts w:ascii="Arial" w:cs="Arial" w:eastAsia="Arial" w:hAnsi="Arial"/>
                <w:sz w:val="21"/>
                <w:szCs w:val="21"/>
                <w:b w:val="1"/>
                <w:bCs w:val="1"/>
                <w:color w:val="auto"/>
                <w:vertAlign w:val="superscript"/>
              </w:rPr>
              <w:t>10</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694.9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706.1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693.9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710.7</w:t>
            </w:r>
          </w:p>
        </w:tc>
      </w:tr>
    </w:tbl>
    <w:p>
      <w:pPr>
        <w:spacing w:after="0" w:line="198" w:lineRule="exact"/>
        <w:rPr>
          <w:sz w:val="20"/>
          <w:szCs w:val="20"/>
          <w:color w:val="auto"/>
        </w:rPr>
      </w:pPr>
    </w:p>
    <w:p>
      <w:pPr>
        <w:sectPr>
          <w:pgSz w:w="11900" w:h="16838" w:orient="portrait"/>
          <w:cols w:equalWidth="0" w:num="1">
            <w:col w:w="11400"/>
          </w:cols>
          <w:pgMar w:left="240" w:top="1266" w:right="259" w:bottom="1440" w:gutter="0" w:footer="0" w:header="0"/>
        </w:sectPr>
      </w:pPr>
    </w:p>
    <w:p>
      <w:pPr>
        <w:ind w:left="380"/>
        <w:spacing w:after="0"/>
        <w:rPr>
          <w:sz w:val="20"/>
          <w:szCs w:val="20"/>
          <w:color w:val="auto"/>
        </w:rPr>
      </w:pPr>
      <w:r>
        <w:rPr>
          <w:rFonts w:ascii="Arial" w:cs="Arial" w:eastAsia="Arial" w:hAnsi="Arial"/>
          <w:sz w:val="16"/>
          <w:szCs w:val="16"/>
          <w:b w:val="1"/>
          <w:bCs w:val="1"/>
          <w:color w:val="auto"/>
        </w:rPr>
        <w:t xml:space="preserve">GAAP earnings per share </w:t>
      </w:r>
      <w:r>
        <w:rPr>
          <w:rFonts w:ascii="Arial" w:cs="Arial" w:eastAsia="Arial" w:hAnsi="Arial"/>
          <w:sz w:val="21"/>
          <w:szCs w:val="21"/>
          <w:b w:val="1"/>
          <w:bCs w:val="1"/>
          <w:color w:val="auto"/>
          <w:vertAlign w:val="superscript"/>
        </w:rPr>
        <w:t>10</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Combined earnings per share </w:t>
      </w:r>
      <w:r>
        <w:rPr>
          <w:rFonts w:ascii="Arial" w:cs="Arial" w:eastAsia="Arial" w:hAnsi="Arial"/>
          <w:sz w:val="21"/>
          <w:szCs w:val="21"/>
          <w:b w:val="1"/>
          <w:bCs w:val="1"/>
          <w:color w:val="auto"/>
          <w:vertAlign w:val="superscript"/>
        </w:rPr>
        <w:t>10</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adjustments - net of income taxes: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2</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Severance and restructuring costs </w:t>
      </w:r>
      <w:r>
        <w:rPr>
          <w:rFonts w:ascii="Arial" w:cs="Arial" w:eastAsia="Arial" w:hAnsi="Arial"/>
          <w:sz w:val="21"/>
          <w:szCs w:val="21"/>
          <w:color w:val="auto"/>
          <w:vertAlign w:val="superscript"/>
        </w:rPr>
        <w:t>3</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4</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Debt financing activities </w:t>
      </w:r>
      <w:r>
        <w:rPr>
          <w:rFonts w:ascii="Arial" w:cs="Arial" w:eastAsia="Arial" w:hAnsi="Arial"/>
          <w:sz w:val="21"/>
          <w:szCs w:val="21"/>
          <w:color w:val="auto"/>
          <w:vertAlign w:val="superscript"/>
        </w:rPr>
        <w:t>5</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Impact of divestitures </w:t>
      </w:r>
      <w:r>
        <w:rPr>
          <w:rFonts w:ascii="Arial" w:cs="Arial" w:eastAsia="Arial" w:hAnsi="Arial"/>
          <w:sz w:val="21"/>
          <w:szCs w:val="21"/>
          <w:color w:val="auto"/>
          <w:vertAlign w:val="superscript"/>
        </w:rPr>
        <w:t>6</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7</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6</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9</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Adjusted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See page 3 for disclosures related to the use of non-GAAP financial measures.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0.33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432"/>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0.08</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2.45</w:t>
            </w:r>
          </w:p>
        </w:tc>
      </w:tr>
      <w:tr>
        <w:trPr>
          <w:trHeight w:val="540"/>
        </w:trPr>
        <w:tc>
          <w:tcPr>
            <w:tcW w:w="4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0.35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270"/>
        </w:trPr>
        <w:tc>
          <w:tcPr>
            <w:tcW w:w="4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0.08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0.13</w:t>
            </w:r>
          </w:p>
        </w:tc>
      </w:tr>
      <w:tr>
        <w:trPr>
          <w:trHeight w:val="270"/>
        </w:trPr>
        <w:tc>
          <w:tcPr>
            <w:tcW w:w="4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0.76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0.48</w:t>
            </w:r>
          </w:p>
        </w:tc>
      </w:tr>
      <w:tr>
        <w:trPr>
          <w:trHeight w:val="270"/>
        </w:trPr>
        <w:tc>
          <w:tcPr>
            <w:tcW w:w="4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0.32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270"/>
        </w:trPr>
        <w:tc>
          <w:tcPr>
            <w:tcW w:w="4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70"/>
        </w:trPr>
        <w:tc>
          <w:tcPr>
            <w:tcW w:w="4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70"/>
        </w:trPr>
        <w:tc>
          <w:tcPr>
            <w:tcW w:w="4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(0.48)</w:t>
            </w:r>
          </w:p>
        </w:tc>
      </w:tr>
      <w:tr>
        <w:trPr>
          <w:trHeight w:val="283"/>
        </w:trPr>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r>
      <w:tr>
        <w:trPr>
          <w:trHeight w:val="237"/>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39" w:lineRule="exact"/>
        <w:rPr>
          <w:sz w:val="20"/>
          <w:szCs w:val="20"/>
          <w:color w:val="auto"/>
        </w:rPr>
      </w:pPr>
    </w:p>
    <w:p>
      <w:pPr>
        <w:sectPr>
          <w:pgSz w:w="11900" w:h="16838" w:orient="portrait"/>
          <w:cols w:equalWidth="0" w:num="2">
            <w:col w:w="5940" w:space="720"/>
            <w:col w:w="4740"/>
          </w:cols>
          <w:pgMar w:left="240" w:top="1266" w:right="259" w:bottom="1440" w:gutter="0" w:footer="0" w:header="0"/>
          <w:type w:val="continuous"/>
        </w:sectPr>
      </w:pPr>
    </w:p>
    <w:p>
      <w:pPr>
        <w:ind w:left="500" w:hanging="330"/>
        <w:spacing w:after="0" w:line="229" w:lineRule="auto"/>
        <w:tabs>
          <w:tab w:leader="none" w:pos="50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Represents the financial results of First Data prior to the date of acquisition. For the three and nine months ended September 30, 2019, this includes the results of First Data from July 1, 2019 through July 28, 2019 and from January 1, 2019 through July 28, 2019, respectively. For the three and nine months ended September 30, 2018, this includes the results of First Data from July 1, 2018 through September 30, 2018 and from January 1, 2018 through September 30, 2018, respectively.</w:t>
      </w:r>
    </w:p>
    <w:p>
      <w:pPr>
        <w:sectPr>
          <w:pgSz w:w="11900" w:h="16838" w:orient="portrait"/>
          <w:cols w:equalWidth="0" w:num="1">
            <w:col w:w="11400"/>
          </w:cols>
          <w:pgMar w:left="240" w:top="1266" w:right="25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266"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00" w:lineRule="exact"/>
        <w:rPr>
          <w:sz w:val="20"/>
          <w:szCs w:val="20"/>
          <w:color w:val="auto"/>
        </w:rPr>
      </w:pPr>
    </w:p>
    <w:p>
      <w:pPr>
        <w:spacing w:after="0" w:line="218" w:lineRule="exact"/>
        <w:rPr>
          <w:sz w:val="20"/>
          <w:szCs w:val="20"/>
          <w:color w:val="auto"/>
        </w:rPr>
      </w:pPr>
    </w:p>
    <w:p>
      <w:pPr>
        <w:ind w:left="460" w:right="100" w:hanging="330"/>
        <w:spacing w:after="0" w:line="225" w:lineRule="auto"/>
        <w:tabs>
          <w:tab w:leader="none" w:pos="4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acquisition and related integration costs incurred as a result of the company's various acquisitions. Merger and integration costs include $200 million and $280 million in the third quarter and first nine months of 2019, respectively, related to the acquisition of First Data and primarily consist of legal and other professional service fees and incremental share-based compensation associated with the fair value of stock awards assumed by Fiserv in connection with the First Data acquisition.</w:t>
      </w:r>
    </w:p>
    <w:p>
      <w:pPr>
        <w:spacing w:after="0" w:line="112" w:lineRule="exact"/>
        <w:rPr>
          <w:sz w:val="20"/>
          <w:szCs w:val="20"/>
          <w:color w:val="auto"/>
        </w:rPr>
      </w:pPr>
    </w:p>
    <w:p>
      <w:pPr>
        <w:ind w:left="460" w:right="260" w:hanging="330"/>
        <w:spacing w:after="0" w:line="209"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Represents severance and other costs associated with the achievement of ongoing expense management initiatives, including real estate and data center consolidation activities.</w:t>
      </w:r>
    </w:p>
    <w:p>
      <w:pPr>
        <w:spacing w:after="0" w:line="126" w:lineRule="exact"/>
        <w:rPr>
          <w:sz w:val="20"/>
          <w:szCs w:val="20"/>
          <w:color w:val="auto"/>
        </w:rPr>
      </w:pPr>
    </w:p>
    <w:p>
      <w:pPr>
        <w:ind w:left="460" w:right="500" w:hanging="330"/>
        <w:spacing w:after="0" w:line="229"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Represents amortization of intangible assets acquired through various acquisitions, including customer relationships, software/technology, and tradenames. This adjustment does not exclude the amortization of other intangible assets such as contract assets (sales commissions and deferred conversion costs), capitalized and purchased software, and financing costs and debt discounts. See additional information on page 17 for an analysis of the company's amortization expense.</w:t>
      </w:r>
    </w:p>
    <w:p>
      <w:pPr>
        <w:spacing w:after="0" w:line="127" w:lineRule="exact"/>
        <w:rPr>
          <w:sz w:val="20"/>
          <w:szCs w:val="20"/>
          <w:color w:val="auto"/>
        </w:rPr>
      </w:pPr>
    </w:p>
    <w:p>
      <w:pPr>
        <w:ind w:left="460" w:right="160" w:hanging="330"/>
        <w:spacing w:after="0" w:line="22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Represents losses on early debt extinguishments and other costs associated with the refinancing of certain indebtedness of First Data. Debt financing activities in the first nine months of 2019 include $220 million of early debt extinguishment costs and $98 million of bridge term loan facility expenses, partially offset by $50 million of net currency transaction gains related to foreign currency denominated debt.</w:t>
      </w:r>
    </w:p>
    <w:p>
      <w:pPr>
        <w:spacing w:after="0" w:line="127" w:lineRule="exact"/>
        <w:rPr>
          <w:sz w:val="20"/>
          <w:szCs w:val="20"/>
          <w:color w:val="auto"/>
        </w:rPr>
      </w:pPr>
    </w:p>
    <w:p>
      <w:pPr>
        <w:ind w:left="460" w:right="360" w:hanging="330"/>
        <w:spacing w:after="0" w:line="229"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Represents the earnings attributable to divested businesses and the gain on the associated divestiture transactions. The divested businesses include First Data’s card processing business in Central and Southeastern Europe, First Data’s remittance processing business, and a 55% interest in Fiserv's Lending Solutions business in September 2018, August 2018 and March 2018, respectively.</w:t>
      </w:r>
    </w:p>
    <w:p>
      <w:pPr>
        <w:spacing w:after="0" w:line="140" w:lineRule="exact"/>
        <w:rPr>
          <w:sz w:val="20"/>
          <w:szCs w:val="20"/>
          <w:color w:val="auto"/>
        </w:rPr>
      </w:pPr>
    </w:p>
    <w:p>
      <w:pPr>
        <w:jc w:val="both"/>
        <w:ind w:left="460" w:right="60" w:hanging="330"/>
        <w:spacing w:after="0" w:line="229"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 as well as the minority interest share of amortization of acquisition-related intangible assets at its subsidiaries in which it holds a controlling financial interest. This adjustment also includes a $14 million net gain on the merger of a joint venture in the third quarter and first nine months of 2019.</w:t>
      </w:r>
    </w:p>
    <w:p>
      <w:pPr>
        <w:spacing w:after="0" w:line="127" w:lineRule="exact"/>
        <w:rPr>
          <w:sz w:val="20"/>
          <w:szCs w:val="20"/>
          <w:color w:val="auto"/>
        </w:rPr>
      </w:pPr>
    </w:p>
    <w:p>
      <w:pPr>
        <w:ind w:left="460" w:right="180" w:hanging="330"/>
        <w:spacing w:after="0" w:line="209"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tax impact of adjustments is calculated using a tax rate of 23%, which is expected to approximate the combined company's annual effective tax rate, exclusive of the actual tax impacts associated with the net gain on sale of businesses.</w:t>
      </w:r>
    </w:p>
    <w:p>
      <w:pPr>
        <w:spacing w:after="0" w:line="126" w:lineRule="exact"/>
        <w:rPr>
          <w:sz w:val="20"/>
          <w:szCs w:val="20"/>
          <w:color w:val="auto"/>
        </w:rPr>
      </w:pPr>
    </w:p>
    <w:p>
      <w:pPr>
        <w:ind w:left="460" w:right="40" w:hanging="330"/>
        <w:spacing w:after="0" w:line="209"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Represents certain discrete tax items, such as tax effects associated with U.S. federal tax reform and tax impacts from valuation allowance releases, tax reserves and non-deductible transaction costs associated with the acquisition of First Data.</w:t>
      </w:r>
    </w:p>
    <w:p>
      <w:pPr>
        <w:spacing w:after="0" w:line="126" w:lineRule="exact"/>
        <w:rPr>
          <w:sz w:val="20"/>
          <w:szCs w:val="20"/>
          <w:color w:val="auto"/>
        </w:rPr>
      </w:pPr>
    </w:p>
    <w:p>
      <w:pPr>
        <w:ind w:left="460" w:hanging="330"/>
        <w:spacing w:after="0" w:line="250" w:lineRule="auto"/>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GAAP earnings per share is computed by dividing GAAP net income by the weighted-average number of common shares outstanding - diluted during the period. Combined earnings per share is computed by dividing combined net income attributable to Fiserv by the combined weighted average common shares outstanding - diluted during the period. The combined weighted average common shares outstanding - diluted is computed based on the historical Fiserv weighted average shares outstanding - diluted determined in accordance with GAAP, adjusted to include the Fiserv shares issued as merger consideration and shares subject to First Data equity awards assumed by Fiserv in connection with the First Data acquisition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80"/>
          </w:cols>
          <w:pgMar w:left="280" w:top="1266" w:right="239" w:bottom="1440" w:gutter="0" w:footer="0" w:header="0"/>
        </w:sectPr>
      </w:pPr>
    </w:p>
    <w:bookmarkStart w:id="13" w:name="page14"/>
    <w:bookmarkEnd w:id="13"/>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Results by Segment</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2440" w:type="dxa"/>
            <w:vAlign w:val="bottom"/>
            <w:gridSpan w:val="4"/>
          </w:tcPr>
          <w:p>
            <w:pPr>
              <w:jc w:val="right"/>
              <w:ind w:right="559"/>
              <w:spacing w:after="0"/>
              <w:rPr>
                <w:sz w:val="20"/>
                <w:szCs w:val="20"/>
                <w:color w:val="auto"/>
              </w:rPr>
            </w:pPr>
            <w:r>
              <w:rPr>
                <w:rFonts w:ascii="Arial" w:cs="Arial" w:eastAsia="Arial" w:hAnsi="Arial"/>
                <w:sz w:val="16"/>
                <w:szCs w:val="16"/>
                <w:color w:val="auto"/>
              </w:rPr>
              <w:t>Nine Months Ended</w:t>
            </w:r>
          </w:p>
        </w:tc>
      </w:tr>
      <w:tr>
        <w:trPr>
          <w:trHeight w:val="195"/>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6"/>
                <w:szCs w:val="16"/>
                <w:color w:val="auto"/>
              </w:rPr>
            </w:pPr>
          </w:p>
        </w:tc>
        <w:tc>
          <w:tcPr>
            <w:tcW w:w="2440" w:type="dxa"/>
            <w:vAlign w:val="bottom"/>
            <w:gridSpan w:val="4"/>
          </w:tcPr>
          <w:p>
            <w:pPr>
              <w:jc w:val="right"/>
              <w:ind w:right="739"/>
              <w:spacing w:after="0"/>
              <w:rPr>
                <w:sz w:val="20"/>
                <w:szCs w:val="20"/>
                <w:color w:val="auto"/>
              </w:rPr>
            </w:pPr>
            <w:r>
              <w:rPr>
                <w:rFonts w:ascii="Arial" w:cs="Arial" w:eastAsia="Arial" w:hAnsi="Arial"/>
                <w:sz w:val="16"/>
                <w:szCs w:val="16"/>
                <w:color w:val="auto"/>
              </w:rPr>
              <w:t>September 30,</w:t>
            </w:r>
          </w:p>
        </w:tc>
      </w:tr>
      <w:tr>
        <w:trPr>
          <w:trHeight w:val="283"/>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2018</w:t>
            </w:r>
          </w:p>
        </w:tc>
      </w:tr>
      <w:tr>
        <w:trPr>
          <w:trHeight w:val="251"/>
        </w:trPr>
        <w:tc>
          <w:tcPr>
            <w:tcW w:w="5820" w:type="dxa"/>
            <w:vAlign w:val="bottom"/>
          </w:tcPr>
          <w:p>
            <w:pPr>
              <w:spacing w:after="0"/>
              <w:rPr>
                <w:sz w:val="20"/>
                <w:szCs w:val="20"/>
                <w:color w:val="auto"/>
              </w:rPr>
            </w:pPr>
            <w:r>
              <w:rPr>
                <w:rFonts w:ascii="Arial" w:cs="Arial" w:eastAsia="Arial" w:hAnsi="Arial"/>
                <w:sz w:val="16"/>
                <w:szCs w:val="16"/>
                <w:b w:val="1"/>
                <w:bCs w:val="1"/>
                <w:color w:val="auto"/>
              </w:rPr>
              <w:t>Total Company</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3,128</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6,142</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4,272</w:t>
            </w:r>
          </w:p>
        </w:tc>
      </w:tr>
      <w:tr>
        <w:trPr>
          <w:trHeight w:val="290"/>
        </w:trPr>
        <w:tc>
          <w:tcPr>
            <w:tcW w:w="5820" w:type="dxa"/>
            <w:vAlign w:val="bottom"/>
          </w:tcPr>
          <w:p>
            <w:pPr>
              <w:spacing w:after="0"/>
              <w:rPr>
                <w:sz w:val="20"/>
                <w:szCs w:val="20"/>
                <w:color w:val="auto"/>
              </w:rPr>
            </w:pPr>
            <w:r>
              <w:rPr>
                <w:rFonts w:ascii="Arial" w:cs="Arial" w:eastAsia="Arial" w:hAnsi="Arial"/>
                <w:sz w:val="16"/>
                <w:szCs w:val="16"/>
                <w:color w:val="auto"/>
              </w:rPr>
              <w:t xml:space="preserve">First Data revenue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808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5,609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7,099</w:t>
            </w:r>
          </w:p>
        </w:tc>
      </w:tr>
      <w:tr>
        <w:trPr>
          <w:trHeight w:val="231"/>
        </w:trPr>
        <w:tc>
          <w:tcPr>
            <w:tcW w:w="5820" w:type="dxa"/>
            <w:vAlign w:val="bottom"/>
          </w:tcPr>
          <w:p>
            <w:pPr>
              <w:spacing w:after="0"/>
              <w:rPr>
                <w:sz w:val="20"/>
                <w:szCs w:val="20"/>
                <w:color w:val="auto"/>
              </w:rPr>
            </w:pPr>
            <w:r>
              <w:rPr>
                <w:rFonts w:ascii="Arial" w:cs="Arial" w:eastAsia="Arial" w:hAnsi="Arial"/>
                <w:sz w:val="16"/>
                <w:szCs w:val="16"/>
                <w:color w:val="auto"/>
              </w:rPr>
              <w:t>Combined revenue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3,936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3,781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11,751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11,371</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26"/>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Intercompany eliminations </w:t>
            </w:r>
            <w:r>
              <w:rPr>
                <w:rFonts w:ascii="Arial" w:cs="Arial" w:eastAsia="Arial" w:hAnsi="Arial"/>
                <w:sz w:val="21"/>
                <w:szCs w:val="21"/>
                <w:color w:val="auto"/>
                <w:vertAlign w:val="superscript"/>
              </w:rPr>
              <w:t>2</w:t>
            </w:r>
          </w:p>
        </w:tc>
        <w:tc>
          <w:tcPr>
            <w:tcW w:w="3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Output Solutions postage reimbursements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(755)</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Deferred revenue purchase accounting adjustments</w:t>
            </w: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w:t>
            </w:r>
          </w:p>
        </w:tc>
      </w:tr>
      <w:tr>
        <w:trPr>
          <w:trHeight w:val="290"/>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w:t>
            </w:r>
          </w:p>
        </w:tc>
      </w:tr>
      <w:tr>
        <w:trPr>
          <w:trHeight w:val="234"/>
        </w:trPr>
        <w:tc>
          <w:tcPr>
            <w:tcW w:w="5820" w:type="dxa"/>
            <w:vAlign w:val="bottom"/>
          </w:tcPr>
          <w:p>
            <w:pPr>
              <w:spacing w:after="0"/>
              <w:rPr>
                <w:sz w:val="20"/>
                <w:szCs w:val="20"/>
                <w:color w:val="auto"/>
              </w:rPr>
            </w:pPr>
            <w:r>
              <w:rPr>
                <w:rFonts w:ascii="Arial" w:cs="Arial" w:eastAsia="Arial" w:hAnsi="Arial"/>
                <w:sz w:val="16"/>
                <w:szCs w:val="16"/>
                <w:color w:val="auto"/>
              </w:rPr>
              <w:t>Adjusted revenue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3,617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3,436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10,733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10,316</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6"/>
        </w:trPr>
        <w:tc>
          <w:tcPr>
            <w:tcW w:w="582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374</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1,131</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1,322</w:t>
            </w:r>
          </w:p>
        </w:tc>
      </w:tr>
      <w:tr>
        <w:trPr>
          <w:trHeight w:val="290"/>
        </w:trPr>
        <w:tc>
          <w:tcPr>
            <w:tcW w:w="5820" w:type="dxa"/>
            <w:vAlign w:val="bottom"/>
          </w:tcPr>
          <w:p>
            <w:pPr>
              <w:spacing w:after="0"/>
              <w:rPr>
                <w:sz w:val="20"/>
                <w:szCs w:val="20"/>
                <w:color w:val="auto"/>
              </w:rPr>
            </w:pPr>
            <w:r>
              <w:rPr>
                <w:rFonts w:ascii="Arial" w:cs="Arial" w:eastAsia="Arial" w:hAnsi="Arial"/>
                <w:sz w:val="16"/>
                <w:szCs w:val="16"/>
                <w:color w:val="auto"/>
              </w:rPr>
              <w:t xml:space="preserve">First Data operating income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1,088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1,563</w:t>
            </w:r>
          </w:p>
        </w:tc>
      </w:tr>
      <w:tr>
        <w:trPr>
          <w:trHeight w:val="231"/>
        </w:trPr>
        <w:tc>
          <w:tcPr>
            <w:tcW w:w="5820" w:type="dxa"/>
            <w:vAlign w:val="bottom"/>
          </w:tcPr>
          <w:p>
            <w:pPr>
              <w:spacing w:after="0"/>
              <w:rPr>
                <w:sz w:val="20"/>
                <w:szCs w:val="20"/>
                <w:color w:val="auto"/>
              </w:rPr>
            </w:pPr>
            <w:r>
              <w:rPr>
                <w:rFonts w:ascii="Arial" w:cs="Arial" w:eastAsia="Arial" w:hAnsi="Arial"/>
                <w:sz w:val="16"/>
                <w:szCs w:val="16"/>
                <w:color w:val="auto"/>
              </w:rPr>
              <w:t>Combined operating income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2,219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2,885</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319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Severance and restructuring costs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124</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689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445</w:t>
            </w:r>
          </w:p>
        </w:tc>
      </w:tr>
      <w:tr>
        <w:trPr>
          <w:trHeight w:val="326"/>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4</w:t>
            </w:r>
          </w:p>
        </w:tc>
        <w:tc>
          <w:tcPr>
            <w:tcW w:w="3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w:t>
            </w:r>
          </w:p>
        </w:tc>
      </w:tr>
      <w:tr>
        <w:trPr>
          <w:trHeight w:val="228"/>
        </w:trPr>
        <w:tc>
          <w:tcPr>
            <w:tcW w:w="5820" w:type="dxa"/>
            <w:vAlign w:val="bottom"/>
          </w:tcPr>
          <w:p>
            <w:pPr>
              <w:ind w:left="14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(429)</w:t>
            </w:r>
          </w:p>
        </w:tc>
      </w:tr>
      <w:tr>
        <w:trPr>
          <w:trHeight w:val="240"/>
        </w:trPr>
        <w:tc>
          <w:tcPr>
            <w:tcW w:w="582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1,079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3,126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2,903</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3"/>
        </w:trPr>
        <w:tc>
          <w:tcPr>
            <w:tcW w:w="582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488"/>
        </w:trPr>
        <w:tc>
          <w:tcPr>
            <w:tcW w:w="5820" w:type="dxa"/>
            <w:vAlign w:val="bottom"/>
          </w:tcPr>
          <w:p>
            <w:pPr>
              <w:spacing w:after="0"/>
              <w:rPr>
                <w:sz w:val="20"/>
                <w:szCs w:val="20"/>
                <w:color w:val="auto"/>
              </w:rPr>
            </w:pPr>
            <w:r>
              <w:rPr>
                <w:rFonts w:ascii="Arial" w:cs="Arial" w:eastAsia="Arial" w:hAnsi="Arial"/>
                <w:sz w:val="16"/>
                <w:szCs w:val="16"/>
                <w:b w:val="1"/>
                <w:bCs w:val="1"/>
                <w:color w:val="auto"/>
              </w:rPr>
              <w:t xml:space="preserve">First Data </w:t>
            </w:r>
            <w:r>
              <w:rPr>
                <w:rFonts w:ascii="Arial" w:cs="Arial" w:eastAsia="Arial" w:hAnsi="Arial"/>
                <w:sz w:val="21"/>
                <w:szCs w:val="21"/>
                <w:b w:val="1"/>
                <w:bCs w:val="1"/>
                <w:color w:val="auto"/>
                <w:vertAlign w:val="superscript"/>
              </w:rPr>
              <w:t>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First Data 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2,422</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7,223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7,099</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26"/>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Intercompany eliminations </w:t>
            </w:r>
            <w:r>
              <w:rPr>
                <w:rFonts w:ascii="Arial" w:cs="Arial" w:eastAsia="Arial" w:hAnsi="Arial"/>
                <w:sz w:val="21"/>
                <w:szCs w:val="21"/>
                <w:color w:val="auto"/>
                <w:vertAlign w:val="superscript"/>
              </w:rPr>
              <w:t>2</w:t>
            </w:r>
          </w:p>
        </w:tc>
        <w:tc>
          <w:tcPr>
            <w:tcW w:w="3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Output Solutions postage reimbursements</w:t>
            </w:r>
          </w:p>
        </w:tc>
        <w:tc>
          <w:tcPr>
            <w:tcW w:w="3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(531)</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Deferred revenue purchase accounting adjustments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90"/>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w:t>
            </w:r>
          </w:p>
        </w:tc>
      </w:tr>
      <w:tr>
        <w:trPr>
          <w:trHeight w:val="234"/>
        </w:trPr>
        <w:tc>
          <w:tcPr>
            <w:tcW w:w="5820" w:type="dxa"/>
            <w:vAlign w:val="bottom"/>
          </w:tcPr>
          <w:p>
            <w:pPr>
              <w:spacing w:after="0"/>
              <w:rPr>
                <w:sz w:val="20"/>
                <w:szCs w:val="20"/>
                <w:color w:val="auto"/>
              </w:rPr>
            </w:pPr>
            <w:r>
              <w:rPr>
                <w:rFonts w:ascii="Arial" w:cs="Arial" w:eastAsia="Arial" w:hAnsi="Arial"/>
                <w:sz w:val="16"/>
                <w:szCs w:val="16"/>
                <w:color w:val="auto"/>
              </w:rPr>
              <w:t>First Data adjusted revenue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2,168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6,416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6,267</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6"/>
        </w:trPr>
        <w:tc>
          <w:tcPr>
            <w:tcW w:w="5820" w:type="dxa"/>
            <w:vAlign w:val="bottom"/>
          </w:tcPr>
          <w:p>
            <w:pPr>
              <w:spacing w:after="0"/>
              <w:rPr>
                <w:sz w:val="20"/>
                <w:szCs w:val="20"/>
                <w:color w:val="auto"/>
              </w:rPr>
            </w:pPr>
            <w:r>
              <w:rPr>
                <w:rFonts w:ascii="Arial" w:cs="Arial" w:eastAsia="Arial" w:hAnsi="Arial"/>
                <w:sz w:val="16"/>
                <w:szCs w:val="16"/>
                <w:color w:val="auto"/>
              </w:rPr>
              <w:t>First Data 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589</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1,775</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1,746</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Severance and restructuring costs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54</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325</w:t>
            </w:r>
          </w:p>
        </w:tc>
      </w:tr>
      <w:tr>
        <w:trPr>
          <w:trHeight w:val="326"/>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4</w:t>
            </w:r>
          </w:p>
        </w:tc>
        <w:tc>
          <w:tcPr>
            <w:tcW w:w="3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w:t>
            </w:r>
          </w:p>
        </w:tc>
      </w:tr>
      <w:tr>
        <w:trPr>
          <w:trHeight w:val="228"/>
        </w:trPr>
        <w:tc>
          <w:tcPr>
            <w:tcW w:w="5820" w:type="dxa"/>
            <w:vAlign w:val="bottom"/>
          </w:tcPr>
          <w:p>
            <w:pPr>
              <w:ind w:left="14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w:t>
            </w:r>
          </w:p>
        </w:tc>
      </w:tr>
      <w:tr>
        <w:trPr>
          <w:trHeight w:val="240"/>
        </w:trPr>
        <w:tc>
          <w:tcPr>
            <w:tcW w:w="5820" w:type="dxa"/>
            <w:vAlign w:val="bottom"/>
          </w:tcPr>
          <w:p>
            <w:pPr>
              <w:spacing w:after="0"/>
              <w:rPr>
                <w:sz w:val="20"/>
                <w:szCs w:val="20"/>
                <w:color w:val="auto"/>
              </w:rPr>
            </w:pPr>
            <w:r>
              <w:rPr>
                <w:rFonts w:ascii="Arial" w:cs="Arial" w:eastAsia="Arial" w:hAnsi="Arial"/>
                <w:sz w:val="16"/>
                <w:szCs w:val="16"/>
                <w:color w:val="auto"/>
              </w:rPr>
              <w:t>First Data adjusted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667</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1,943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1,868</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6"/>
        </w:trPr>
        <w:tc>
          <w:tcPr>
            <w:tcW w:w="5820" w:type="dxa"/>
            <w:vAlign w:val="bottom"/>
          </w:tcPr>
          <w:p>
            <w:pPr>
              <w:spacing w:after="0"/>
              <w:rPr>
                <w:sz w:val="20"/>
                <w:szCs w:val="20"/>
                <w:color w:val="auto"/>
              </w:rPr>
            </w:pPr>
            <w:r>
              <w:rPr>
                <w:rFonts w:ascii="Arial" w:cs="Arial" w:eastAsia="Arial" w:hAnsi="Arial"/>
                <w:sz w:val="16"/>
                <w:szCs w:val="16"/>
                <w:color w:val="auto"/>
              </w:rPr>
              <w:t>First Data operating margin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First Data adjusted operating margin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w:t>
            </w:r>
          </w:p>
        </w:tc>
      </w:tr>
    </w:tbl>
    <w:p>
      <w:pPr>
        <w:spacing w:after="0" w:line="200" w:lineRule="exact"/>
        <w:rPr>
          <w:sz w:val="20"/>
          <w:szCs w:val="20"/>
          <w:color w:val="auto"/>
        </w:rPr>
      </w:pPr>
    </w:p>
    <w:p>
      <w:pPr>
        <w:sectPr>
          <w:pgSz w:w="11900" w:h="16838" w:orient="portrait"/>
          <w:cols w:equalWidth="0" w:num="1">
            <w:col w:w="11380"/>
          </w:cols>
          <w:pgMar w:left="280" w:top="1266" w:right="239" w:bottom="512" w:gutter="0" w:footer="0" w:header="0"/>
        </w:sectPr>
      </w:pP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80" w:top="1266" w:right="239" w:bottom="512" w:gutter="0" w:footer="0" w:header="0"/>
          <w:type w:val="continuous"/>
        </w:sectPr>
      </w:pPr>
    </w:p>
    <w:bookmarkStart w:id="14" w:name="page15"/>
    <w:bookmarkEnd w:id="14"/>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Results by Segment (cont.)</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2440" w:type="dxa"/>
            <w:vAlign w:val="bottom"/>
            <w:gridSpan w:val="4"/>
          </w:tcPr>
          <w:p>
            <w:pPr>
              <w:jc w:val="right"/>
              <w:ind w:right="559"/>
              <w:spacing w:after="0"/>
              <w:rPr>
                <w:sz w:val="20"/>
                <w:szCs w:val="20"/>
                <w:color w:val="auto"/>
              </w:rPr>
            </w:pPr>
            <w:r>
              <w:rPr>
                <w:rFonts w:ascii="Arial" w:cs="Arial" w:eastAsia="Arial" w:hAnsi="Arial"/>
                <w:sz w:val="16"/>
                <w:szCs w:val="16"/>
                <w:color w:val="auto"/>
              </w:rPr>
              <w:t>Nine Months Ended</w:t>
            </w:r>
          </w:p>
        </w:tc>
      </w:tr>
      <w:tr>
        <w:trPr>
          <w:trHeight w:val="195"/>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6"/>
                <w:szCs w:val="16"/>
                <w:color w:val="auto"/>
              </w:rPr>
            </w:pPr>
          </w:p>
        </w:tc>
        <w:tc>
          <w:tcPr>
            <w:tcW w:w="2440" w:type="dxa"/>
            <w:vAlign w:val="bottom"/>
            <w:gridSpan w:val="4"/>
          </w:tcPr>
          <w:p>
            <w:pPr>
              <w:jc w:val="right"/>
              <w:ind w:right="739"/>
              <w:spacing w:after="0"/>
              <w:rPr>
                <w:sz w:val="20"/>
                <w:szCs w:val="20"/>
                <w:color w:val="auto"/>
              </w:rPr>
            </w:pPr>
            <w:r>
              <w:rPr>
                <w:rFonts w:ascii="Arial" w:cs="Arial" w:eastAsia="Arial" w:hAnsi="Arial"/>
                <w:sz w:val="16"/>
                <w:szCs w:val="16"/>
                <w:color w:val="auto"/>
              </w:rPr>
              <w:t>September 30,</w:t>
            </w:r>
          </w:p>
        </w:tc>
      </w:tr>
      <w:tr>
        <w:trPr>
          <w:trHeight w:val="283"/>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2018</w:t>
            </w:r>
          </w:p>
        </w:tc>
      </w:tr>
      <w:tr>
        <w:trPr>
          <w:trHeight w:val="251"/>
        </w:trPr>
        <w:tc>
          <w:tcPr>
            <w:tcW w:w="5820" w:type="dxa"/>
            <w:vAlign w:val="bottom"/>
          </w:tcPr>
          <w:p>
            <w:pPr>
              <w:spacing w:after="0"/>
              <w:rPr>
                <w:sz w:val="20"/>
                <w:szCs w:val="20"/>
                <w:color w:val="auto"/>
              </w:rPr>
            </w:pPr>
            <w:r>
              <w:rPr>
                <w:rFonts w:ascii="Arial" w:cs="Arial" w:eastAsia="Arial" w:hAnsi="Arial"/>
                <w:sz w:val="16"/>
                <w:szCs w:val="16"/>
                <w:b w:val="1"/>
                <w:bCs w:val="1"/>
                <w:color w:val="auto"/>
              </w:rPr>
              <w:t>Payments and Industry Products ("Payments")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926</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2,757</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2,523</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26"/>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Intercompany eliminations </w:t>
            </w:r>
            <w:r>
              <w:rPr>
                <w:rFonts w:ascii="Arial" w:cs="Arial" w:eastAsia="Arial" w:hAnsi="Arial"/>
                <w:sz w:val="21"/>
                <w:szCs w:val="21"/>
                <w:color w:val="auto"/>
                <w:vertAlign w:val="superscript"/>
              </w:rPr>
              <w:t>2</w:t>
            </w:r>
          </w:p>
        </w:tc>
        <w:tc>
          <w:tcPr>
            <w:tcW w:w="3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 xml:space="preserve">Output Solutions postage reimbursements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w:t>
            </w:r>
          </w:p>
        </w:tc>
      </w:tr>
      <w:tr>
        <w:trPr>
          <w:trHeight w:val="228"/>
        </w:trPr>
        <w:tc>
          <w:tcPr>
            <w:tcW w:w="5820" w:type="dxa"/>
            <w:vAlign w:val="bottom"/>
          </w:tcPr>
          <w:p>
            <w:pPr>
              <w:ind w:left="140"/>
              <w:spacing w:after="0"/>
              <w:rPr>
                <w:sz w:val="20"/>
                <w:szCs w:val="20"/>
                <w:color w:val="auto"/>
              </w:rPr>
            </w:pPr>
            <w:r>
              <w:rPr>
                <w:rFonts w:ascii="Arial" w:cs="Arial" w:eastAsia="Arial" w:hAnsi="Arial"/>
                <w:sz w:val="16"/>
                <w:szCs w:val="16"/>
                <w:color w:val="auto"/>
              </w:rPr>
              <w:t>Deferred revenue purchase accounting adjustments</w:t>
            </w:r>
          </w:p>
        </w:tc>
        <w:tc>
          <w:tcPr>
            <w:tcW w:w="3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w:t>
            </w:r>
          </w:p>
        </w:tc>
      </w:tr>
      <w:tr>
        <w:trPr>
          <w:trHeight w:val="240"/>
        </w:trPr>
        <w:tc>
          <w:tcPr>
            <w:tcW w:w="5820" w:type="dxa"/>
            <w:vAlign w:val="bottom"/>
          </w:tcPr>
          <w:p>
            <w:pPr>
              <w:spacing w:after="0"/>
              <w:rPr>
                <w:sz w:val="20"/>
                <w:szCs w:val="20"/>
                <w:color w:val="auto"/>
              </w:rPr>
            </w:pPr>
            <w:r>
              <w:rPr>
                <w:rFonts w:ascii="Arial" w:cs="Arial" w:eastAsia="Arial" w:hAnsi="Arial"/>
                <w:sz w:val="16"/>
                <w:szCs w:val="16"/>
                <w:color w:val="auto"/>
              </w:rPr>
              <w:t>Adjusted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861</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2,546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2,300</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4"/>
        </w:trPr>
        <w:tc>
          <w:tcPr>
            <w:tcW w:w="582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309</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899</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807</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83"/>
        </w:trPr>
        <w:tc>
          <w:tcPr>
            <w:tcW w:w="5820" w:type="dxa"/>
            <w:vAlign w:val="bottom"/>
          </w:tcPr>
          <w:p>
            <w:pPr>
              <w:ind w:left="14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w:t>
            </w:r>
          </w:p>
        </w:tc>
      </w:tr>
      <w:tr>
        <w:trPr>
          <w:trHeight w:val="240"/>
        </w:trPr>
        <w:tc>
          <w:tcPr>
            <w:tcW w:w="582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899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809</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4"/>
        </w:trPr>
        <w:tc>
          <w:tcPr>
            <w:tcW w:w="582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432"/>
        </w:trPr>
        <w:tc>
          <w:tcPr>
            <w:tcW w:w="5820" w:type="dxa"/>
            <w:vAlign w:val="bottom"/>
          </w:tcPr>
          <w:p>
            <w:pPr>
              <w:spacing w:after="0"/>
              <w:rPr>
                <w:sz w:val="20"/>
                <w:szCs w:val="20"/>
                <w:color w:val="auto"/>
              </w:rPr>
            </w:pPr>
            <w:r>
              <w:rPr>
                <w:rFonts w:ascii="Arial" w:cs="Arial" w:eastAsia="Arial" w:hAnsi="Arial"/>
                <w:sz w:val="16"/>
                <w:szCs w:val="16"/>
                <w:b w:val="1"/>
                <w:bCs w:val="1"/>
                <w:color w:val="auto"/>
              </w:rPr>
              <w:t>Financial Institution Services ("Financial")</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3"/>
        </w:trPr>
        <w:tc>
          <w:tcPr>
            <w:tcW w:w="58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1,798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1,780</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9"/>
        </w:trPr>
        <w:tc>
          <w:tcPr>
            <w:tcW w:w="582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196</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598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590</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6"/>
        </w:trPr>
        <w:tc>
          <w:tcPr>
            <w:tcW w:w="5820" w:type="dxa"/>
            <w:vAlign w:val="bottom"/>
          </w:tcPr>
          <w:p>
            <w:pPr>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432"/>
        </w:trPr>
        <w:tc>
          <w:tcPr>
            <w:tcW w:w="582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3"/>
        </w:trPr>
        <w:tc>
          <w:tcPr>
            <w:tcW w:w="58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6"/>
        </w:trPr>
        <w:tc>
          <w:tcPr>
            <w:tcW w:w="5820" w:type="dxa"/>
            <w:vAlign w:val="bottom"/>
          </w:tcPr>
          <w:p>
            <w:pPr>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(527)</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(762)</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First Data operating (loss) income</w:t>
            </w:r>
          </w:p>
        </w:tc>
        <w:tc>
          <w:tcPr>
            <w:tcW w:w="3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(183)</w:t>
            </w:r>
          </w:p>
        </w:tc>
      </w:tr>
      <w:tr>
        <w:trPr>
          <w:trHeight w:val="270"/>
        </w:trPr>
        <w:tc>
          <w:tcPr>
            <w:tcW w:w="582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Merger and integration costs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289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45</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Severance and restructuring costs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70</w:t>
            </w:r>
          </w:p>
        </w:tc>
      </w:tr>
      <w:tr>
        <w:trPr>
          <w:trHeight w:val="270"/>
        </w:trPr>
        <w:tc>
          <w:tcPr>
            <w:tcW w:w="5820" w:type="dxa"/>
            <w:vAlign w:val="bottom"/>
          </w:tcPr>
          <w:p>
            <w:pPr>
              <w:ind w:left="140"/>
              <w:spacing w:after="0"/>
              <w:rPr>
                <w:sz w:val="20"/>
                <w:szCs w:val="20"/>
                <w:color w:val="auto"/>
              </w:rPr>
            </w:pPr>
            <w:r>
              <w:rPr>
                <w:rFonts w:ascii="Arial" w:cs="Arial" w:eastAsia="Arial" w:hAnsi="Arial"/>
                <w:sz w:val="16"/>
                <w:szCs w:val="16"/>
                <w:color w:val="auto"/>
              </w:rPr>
              <w:t>Amortization of acquisition-related intangible assets</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389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120</w:t>
            </w:r>
          </w:p>
        </w:tc>
      </w:tr>
      <w:tr>
        <w:trPr>
          <w:trHeight w:val="283"/>
        </w:trPr>
        <w:tc>
          <w:tcPr>
            <w:tcW w:w="5820" w:type="dxa"/>
            <w:vAlign w:val="bottom"/>
          </w:tcPr>
          <w:p>
            <w:pPr>
              <w:ind w:left="14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(341)</w:t>
            </w:r>
          </w:p>
        </w:tc>
      </w:tr>
      <w:tr>
        <w:trPr>
          <w:trHeight w:val="240"/>
        </w:trPr>
        <w:tc>
          <w:tcPr>
            <w:tcW w:w="582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(364)</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page 3 for disclosures related to the use of non-GAAP financial measures.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157" w:lineRule="exact"/>
        <w:rPr>
          <w:sz w:val="20"/>
          <w:szCs w:val="20"/>
          <w:color w:val="auto"/>
        </w:rPr>
      </w:pPr>
    </w:p>
    <w:p>
      <w:pPr>
        <w:ind w:left="460" w:right="20" w:hanging="330"/>
        <w:spacing w:after="0" w:line="229"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Represents the financial results of First Data prior to the date of acquisition. For the three and nine months ended September 30, 2019, this includes the results of First Data from July 1, 2019 through July 28, 2019 and from January 1, 2019 through July 28, 2019, respectively. For the three and nine months ended September 30, 2018, this includes the results of First Data from July 1, 2018 through September 30, 2018 and from January 1, 2018 through September 30, 2018, respectively.</w:t>
      </w:r>
    </w:p>
    <w:p>
      <w:pPr>
        <w:spacing w:after="0" w:line="78"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Represents the elimination of intercompany revenue and expense between First Data and the company.</w:t>
      </w:r>
    </w:p>
    <w:p>
      <w:pPr>
        <w:spacing w:after="0" w:line="31" w:lineRule="exact"/>
        <w:rPr>
          <w:sz w:val="20"/>
          <w:szCs w:val="20"/>
          <w:color w:val="auto"/>
        </w:rPr>
      </w:pPr>
    </w:p>
    <w:p>
      <w:pPr>
        <w:ind w:left="460" w:hanging="330"/>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Adjustment reflects the conformity of historical amounts to be consistent with the combined company's Output Solutions postage reimbursements.</w:t>
      </w:r>
    </w:p>
    <w:p>
      <w:pPr>
        <w:sectPr>
          <w:pgSz w:w="11900" w:h="16838" w:orient="portrait"/>
          <w:cols w:equalWidth="0" w:num="1">
            <w:col w:w="11380"/>
          </w:cols>
          <w:pgMar w:left="280" w:top="1266" w:right="239" w:bottom="1440" w:gutter="0" w:footer="0" w:header="0"/>
        </w:sect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80" w:top="126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ectPr>
          <w:pgSz w:w="11900" w:h="16838" w:orient="portrait"/>
          <w:cols w:equalWidth="0" w:num="1">
            <w:col w:w="11280"/>
          </w:cols>
          <w:pgMar w:left="280" w:top="126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460" w:hanging="330"/>
        <w:spacing w:after="0" w:line="262"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Represents an adjustment primarily related to the company's joint venture with Bank of America. The company and Bank of America jointly announced the dissolution of the Banc of America Merchant Services joint venture ("BAMS"), to be effective June 2020. The company owns 51% of BAMS and BAMS' financial results are 100% consolidated into the company's financial statements for GAAP reporting purposes. Upon dissolution of the joint venture, the company is entitled to receive a 51% share of the joint venture's value via an agreed upon contractual process. In addition, Bank of America has the right to require the company to continue providing merchant processing and related services to the joint venture clients allocated to Bank of America in the dissolution of the joint venture through June 2023 at current pricing. The company anticipates an ongoing relationship with Bank of America to provide processing and other support services to other Bank of America merchant clients following the joint venture's dissolution. The non-GAAP adjustment reduces adjusted revenue and adjusted operating income by the joint venture revenue and expense that is not expected to be retained by the company upon dissolution and is partially offset by an increase to processing and services revenue.</w:t>
      </w:r>
    </w:p>
    <w:p>
      <w:pPr>
        <w:spacing w:after="0" w:line="114" w:lineRule="exact"/>
        <w:rPr>
          <w:sz w:val="20"/>
          <w:szCs w:val="20"/>
          <w:color w:val="auto"/>
        </w:rPr>
      </w:pPr>
    </w:p>
    <w:p>
      <w:pPr>
        <w:ind w:left="460" w:right="280" w:hanging="330"/>
        <w:spacing w:after="0" w:line="209"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Represents the results of First Data less amounts included in Corporate and Other consisting of intercompany eliminations, unallocated corporate expenses and other activities that are not considered when management evaluates First Data segment performance.</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280" w:top="126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Fiserv, Inc.</w:t>
      </w:r>
    </w:p>
    <w:p>
      <w:pPr>
        <w:spacing w:after="0" w:line="55"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(In millions, unaudited)</w:t>
      </w:r>
    </w:p>
    <w:p>
      <w:pPr>
        <w:spacing w:after="0" w:line="55" w:lineRule="exact"/>
        <w:rPr>
          <w:sz w:val="20"/>
          <w:szCs w:val="20"/>
          <w:color w:val="auto"/>
        </w:rPr>
      </w:pPr>
    </w:p>
    <w:p>
      <w:pPr>
        <w:jc w:val="center"/>
        <w:ind w:left="8660"/>
        <w:spacing w:after="0"/>
        <w:rPr>
          <w:sz w:val="20"/>
          <w:szCs w:val="20"/>
          <w:color w:val="auto"/>
        </w:rPr>
      </w:pPr>
      <w:r>
        <w:rPr>
          <w:rFonts w:ascii="Arial" w:cs="Arial" w:eastAsia="Arial" w:hAnsi="Arial"/>
          <w:sz w:val="14"/>
          <w:szCs w:val="14"/>
          <w:color w:val="auto"/>
        </w:rPr>
        <w:t>Nine Months Ended</w:t>
      </w:r>
    </w:p>
    <w:p>
      <w:pPr>
        <w:spacing w:after="0" w:line="1" w:lineRule="exact"/>
        <w:rPr>
          <w:sz w:val="20"/>
          <w:szCs w:val="20"/>
          <w:color w:val="auto"/>
        </w:rPr>
      </w:pPr>
    </w:p>
    <w:p>
      <w:pPr>
        <w:jc w:val="center"/>
        <w:ind w:left="8660"/>
        <w:spacing w:after="0"/>
        <w:rPr>
          <w:sz w:val="20"/>
          <w:szCs w:val="20"/>
          <w:color w:val="auto"/>
        </w:rPr>
      </w:pPr>
      <w:r>
        <w:rPr>
          <w:rFonts w:ascii="Arial" w:cs="Arial" w:eastAsia="Arial" w:hAnsi="Arial"/>
          <w:sz w:val="14"/>
          <w:szCs w:val="14"/>
          <w:color w:val="auto"/>
        </w:rPr>
        <w:t>September 30,</w:t>
      </w:r>
    </w:p>
    <w:p>
      <w:pPr>
        <w:spacing w:after="0" w:line="91"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2018</w:t>
            </w:r>
          </w:p>
        </w:tc>
      </w:tr>
      <w:tr>
        <w:trPr>
          <w:trHeight w:val="258"/>
        </w:trPr>
        <w:tc>
          <w:tcPr>
            <w:tcW w:w="83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673</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901</w:t>
            </w:r>
          </w:p>
        </w:tc>
      </w:tr>
      <w:tr>
        <w:trPr>
          <w:trHeight w:val="216"/>
        </w:trPr>
        <w:tc>
          <w:tcPr>
            <w:tcW w:w="836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24"/>
        </w:trPr>
        <w:tc>
          <w:tcPr>
            <w:tcW w:w="8360" w:type="dxa"/>
            <w:vAlign w:val="bottom"/>
          </w:tcPr>
          <w:p>
            <w:pPr>
              <w:ind w:left="240"/>
              <w:spacing w:after="0"/>
              <w:rPr>
                <w:sz w:val="20"/>
                <w:szCs w:val="20"/>
                <w:color w:val="auto"/>
              </w:rPr>
            </w:pPr>
            <w:r>
              <w:rPr>
                <w:rFonts w:ascii="Arial" w:cs="Arial" w:eastAsia="Arial" w:hAnsi="Arial"/>
                <w:sz w:val="14"/>
                <w:szCs w:val="14"/>
                <w:color w:val="auto"/>
              </w:rPr>
              <w:t>Depreciation and other amortization</w:t>
            </w: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386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278</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Amortization of acquisition-related intangible assets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476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Amortization of financing costs, debt discounts and other</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Net foreign currency gain on financing activities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Gain on sale of business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Income from investments in unconsolidated affiliates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Settlement of interest rate hedge contracts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Other operating activities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0"/>
        </w:trPr>
        <w:tc>
          <w:tcPr>
            <w:tcW w:w="8360" w:type="dxa"/>
            <w:vAlign w:val="bottom"/>
          </w:tcPr>
          <w:p>
            <w:pPr>
              <w:ind w:left="240"/>
              <w:spacing w:after="0"/>
              <w:rPr>
                <w:sz w:val="20"/>
                <w:szCs w:val="20"/>
                <w:color w:val="auto"/>
              </w:rPr>
            </w:pPr>
            <w:r>
              <w:rPr>
                <w:rFonts w:ascii="Arial" w:cs="Arial" w:eastAsia="Arial" w:hAnsi="Arial"/>
                <w:sz w:val="14"/>
                <w:szCs w:val="14"/>
                <w:color w:val="auto"/>
              </w:rPr>
              <w:t>Changes in assets and liabilities, net of effects from acquisitions and dispositions: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60" w:type="dxa"/>
            <w:vAlign w:val="bottom"/>
          </w:tcPr>
          <w:p>
            <w:pPr>
              <w:ind w:left="460"/>
              <w:spacing w:after="0"/>
              <w:rPr>
                <w:sz w:val="20"/>
                <w:szCs w:val="20"/>
                <w:color w:val="auto"/>
              </w:rPr>
            </w:pPr>
            <w:r>
              <w:rPr>
                <w:rFonts w:ascii="Arial" w:cs="Arial" w:eastAsia="Arial" w:hAnsi="Arial"/>
                <w:sz w:val="14"/>
                <w:szCs w:val="14"/>
                <w:color w:val="auto"/>
              </w:rPr>
              <w:t>Trade accounts receivable</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0"/>
        </w:trPr>
        <w:tc>
          <w:tcPr>
            <w:tcW w:w="836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0"/>
        </w:trPr>
        <w:tc>
          <w:tcPr>
            <w:tcW w:w="8360" w:type="dxa"/>
            <w:vAlign w:val="bottom"/>
          </w:tcPr>
          <w:p>
            <w:pPr>
              <w:ind w:left="460"/>
              <w:spacing w:after="0"/>
              <w:rPr>
                <w:sz w:val="20"/>
                <w:szCs w:val="20"/>
                <w:color w:val="auto"/>
              </w:rPr>
            </w:pPr>
            <w:r>
              <w:rPr>
                <w:rFonts w:ascii="Arial" w:cs="Arial" w:eastAsia="Arial" w:hAnsi="Arial"/>
                <w:sz w:val="14"/>
                <w:szCs w:val="14"/>
                <w:color w:val="auto"/>
              </w:rPr>
              <w:t>Contract costs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70"/>
        </w:trPr>
        <w:tc>
          <w:tcPr>
            <w:tcW w:w="8360" w:type="dxa"/>
            <w:vAlign w:val="bottom"/>
          </w:tcPr>
          <w:p>
            <w:pPr>
              <w:ind w:left="460"/>
              <w:spacing w:after="0"/>
              <w:rPr>
                <w:sz w:val="20"/>
                <w:szCs w:val="20"/>
                <w:color w:val="auto"/>
              </w:rPr>
            </w:pPr>
            <w:r>
              <w:rPr>
                <w:rFonts w:ascii="Arial" w:cs="Arial" w:eastAsia="Arial" w:hAnsi="Arial"/>
                <w:sz w:val="14"/>
                <w:szCs w:val="14"/>
                <w:color w:val="auto"/>
              </w:rPr>
              <w:t>Accounts payable and other liabilities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w:t>
            </w:r>
          </w:p>
        </w:tc>
      </w:tr>
      <w:tr>
        <w:trPr>
          <w:trHeight w:val="276"/>
        </w:trPr>
        <w:tc>
          <w:tcPr>
            <w:tcW w:w="8360" w:type="dxa"/>
            <w:vAlign w:val="bottom"/>
          </w:tcPr>
          <w:p>
            <w:pPr>
              <w:ind w:left="460"/>
              <w:spacing w:after="0"/>
              <w:rPr>
                <w:sz w:val="20"/>
                <w:szCs w:val="20"/>
                <w:color w:val="auto"/>
              </w:rPr>
            </w:pPr>
            <w:r>
              <w:rPr>
                <w:rFonts w:ascii="Arial" w:cs="Arial" w:eastAsia="Arial" w:hAnsi="Arial"/>
                <w:sz w:val="14"/>
                <w:szCs w:val="14"/>
                <w:color w:val="auto"/>
              </w:rPr>
              <w:t>Contract liabilities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250"/>
        </w:trPr>
        <w:tc>
          <w:tcPr>
            <w:tcW w:w="83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981</w:t>
            </w:r>
          </w:p>
        </w:tc>
      </w:tr>
      <w:tr>
        <w:trPr>
          <w:trHeight w:val="420"/>
        </w:trPr>
        <w:tc>
          <w:tcPr>
            <w:tcW w:w="83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Capital expenditures, including capitalization of software costs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Proceeds from sale of businesses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419</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Payments for acquisition of business, net of cash acquired</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(16,004)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6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8360" w:type="dxa"/>
            <w:vAlign w:val="bottom"/>
          </w:tcPr>
          <w:p>
            <w:pPr>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(16,309)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r>
      <w:tr>
        <w:trPr>
          <w:trHeight w:val="420"/>
        </w:trPr>
        <w:tc>
          <w:tcPr>
            <w:tcW w:w="8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Debt proceeds</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18,855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3,627</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Debt repayments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(3,256)</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Payments of debt financing, redemption and other costs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(1,254)</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Distributions paid to noncontrolling interests and redeemable noncontrolling interest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6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836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15,351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r>
      <w:tr>
        <w:trPr>
          <w:trHeight w:val="244"/>
        </w:trPr>
        <w:tc>
          <w:tcPr>
            <w:tcW w:w="836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Net change in cash, cash equivalents, and restricted cash</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0"/>
        </w:trPr>
        <w:tc>
          <w:tcPr>
            <w:tcW w:w="8360" w:type="dxa"/>
            <w:vAlign w:val="bottom"/>
          </w:tcPr>
          <w:p>
            <w:pPr>
              <w:spacing w:after="0"/>
              <w:rPr>
                <w:sz w:val="20"/>
                <w:szCs w:val="20"/>
                <w:color w:val="auto"/>
              </w:rPr>
            </w:pPr>
            <w:r>
              <w:rPr>
                <w:rFonts w:ascii="Arial" w:cs="Arial" w:eastAsia="Arial" w:hAnsi="Arial"/>
                <w:sz w:val="14"/>
                <w:szCs w:val="14"/>
                <w:color w:val="auto"/>
              </w:rPr>
              <w:t>Net cash flows from discontinued operations</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6"/>
        </w:trPr>
        <w:tc>
          <w:tcPr>
            <w:tcW w:w="8360" w:type="dxa"/>
            <w:vAlign w:val="bottom"/>
          </w:tcPr>
          <w:p>
            <w:pPr>
              <w:spacing w:after="0"/>
              <w:rPr>
                <w:sz w:val="20"/>
                <w:szCs w:val="20"/>
                <w:color w:val="auto"/>
              </w:rPr>
            </w:pPr>
            <w:r>
              <w:rPr>
                <w:rFonts w:ascii="Arial" w:cs="Arial" w:eastAsia="Arial" w:hAnsi="Arial"/>
                <w:sz w:val="14"/>
                <w:szCs w:val="14"/>
                <w:color w:val="auto"/>
              </w:rPr>
              <w:t>Cash, cash equivalents, and restricted cash beginning balance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w:t>
            </w:r>
          </w:p>
        </w:tc>
      </w:tr>
      <w:tr>
        <w:trPr>
          <w:trHeight w:val="243"/>
        </w:trPr>
        <w:tc>
          <w:tcPr>
            <w:tcW w:w="836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ending balance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1,070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673</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1266" w:right="239" w:bottom="12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80" w:top="1266" w:right="239" w:bottom="120" w:gutter="0" w:footer="0" w:header="0"/>
          <w:type w:val="continuous"/>
        </w:sectPr>
      </w:pPr>
    </w:p>
    <w:bookmarkStart w:id="17" w:name="page18"/>
    <w:bookmarkEnd w:id="17"/>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ectPr>
          <w:pgSz w:w="11900" w:h="16838" w:orient="portrait"/>
          <w:cols w:equalWidth="0" w:num="1">
            <w:col w:w="10460"/>
          </w:cols>
          <w:pgMar w:left="280" w:top="1266" w:right="11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Fiserv, Inc.</w:t>
      </w:r>
    </w:p>
    <w:p>
      <w:pPr>
        <w:spacing w:after="0" w:line="59"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9" w:lineRule="exact"/>
        <w:rPr>
          <w:sz w:val="20"/>
          <w:szCs w:val="20"/>
          <w:color w:val="auto"/>
        </w:rPr>
      </w:pPr>
    </w:p>
    <w:p>
      <w:pPr>
        <w:jc w:val="center"/>
        <w:ind w:right="-879"/>
        <w:spacing w:after="0"/>
        <w:rPr>
          <w:sz w:val="20"/>
          <w:szCs w:val="20"/>
          <w:color w:val="auto"/>
        </w:rPr>
      </w:pPr>
      <w:r>
        <w:rPr>
          <w:rFonts w:ascii="Arial" w:cs="Arial" w:eastAsia="Arial" w:hAnsi="Arial"/>
          <w:sz w:val="16"/>
          <w:szCs w:val="16"/>
          <w:color w:val="auto"/>
        </w:rPr>
        <w:t>(In millions, unaudited)</w:t>
      </w:r>
    </w:p>
    <w:p>
      <w:pPr>
        <w:spacing w:after="0" w:line="309"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86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December 31, 2018</w:t>
            </w:r>
          </w:p>
        </w:tc>
        <w:tc>
          <w:tcPr>
            <w:tcW w:w="0" w:type="dxa"/>
            <w:vAlign w:val="bottom"/>
          </w:tcPr>
          <w:p>
            <w:pPr>
              <w:spacing w:after="0"/>
              <w:rPr>
                <w:sz w:val="1"/>
                <w:szCs w:val="1"/>
                <w:color w:val="auto"/>
              </w:rPr>
            </w:pPr>
          </w:p>
        </w:tc>
      </w:tr>
      <w:tr>
        <w:trPr>
          <w:trHeight w:val="47"/>
        </w:trPr>
        <w:tc>
          <w:tcPr>
            <w:tcW w:w="594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94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1,028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2,653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1,330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Arial" w:cs="Arial" w:eastAsia="Arial" w:hAnsi="Arial"/>
                <w:sz w:val="16"/>
                <w:szCs w:val="16"/>
                <w:color w:val="auto"/>
              </w:rPr>
              <w:t>Settlement assets</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12,980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6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17,991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486"/>
        </w:trPr>
        <w:tc>
          <w:tcPr>
            <w:tcW w:w="594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6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1,639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14,540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3,197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Goodwill</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35,517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5,702</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Contract costs – net</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481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2,618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Arial" w:cs="Arial" w:eastAsia="Arial" w:hAnsi="Arial"/>
                <w:sz w:val="16"/>
                <w:szCs w:val="16"/>
                <w:color w:val="auto"/>
              </w:rPr>
              <w:t>Other long-term assets</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1,881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77,864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11,262</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2,901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Contract liabilities</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Arial" w:cs="Arial" w:eastAsia="Arial" w:hAnsi="Arial"/>
                <w:sz w:val="16"/>
                <w:szCs w:val="16"/>
                <w:color w:val="auto"/>
              </w:rPr>
              <w:t>Settlement obligations</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12,980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6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16,661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486"/>
        </w:trPr>
        <w:tc>
          <w:tcPr>
            <w:tcW w:w="5940" w:type="dxa"/>
            <w:vAlign w:val="bottom"/>
          </w:tcPr>
          <w:p>
            <w:pPr>
              <w:spacing w:after="0"/>
              <w:rPr>
                <w:sz w:val="20"/>
                <w:szCs w:val="20"/>
                <w:color w:val="auto"/>
              </w:rPr>
            </w:pPr>
            <w:r>
              <w:rPr>
                <w:rFonts w:ascii="Arial" w:cs="Arial" w:eastAsia="Arial" w:hAnsi="Arial"/>
                <w:sz w:val="16"/>
                <w:szCs w:val="16"/>
                <w:color w:val="auto"/>
              </w:rPr>
              <w:t>Long-term debt</w:t>
            </w:r>
          </w:p>
        </w:tc>
        <w:tc>
          <w:tcPr>
            <w:tcW w:w="6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22,123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5,955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Deferred income taxes</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4,110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6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6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44,012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8,969</w:t>
            </w:r>
          </w:p>
        </w:tc>
        <w:tc>
          <w:tcPr>
            <w:tcW w:w="0" w:type="dxa"/>
            <w:vAlign w:val="bottom"/>
          </w:tcPr>
          <w:p>
            <w:pPr>
              <w:spacing w:after="0"/>
              <w:rPr>
                <w:sz w:val="1"/>
                <w:szCs w:val="1"/>
                <w:color w:val="auto"/>
              </w:rPr>
            </w:pPr>
          </w:p>
        </w:tc>
      </w:tr>
      <w:tr>
        <w:trPr>
          <w:trHeight w:val="486"/>
        </w:trPr>
        <w:tc>
          <w:tcPr>
            <w:tcW w:w="5940" w:type="dxa"/>
            <w:vAlign w:val="bottom"/>
          </w:tcPr>
          <w:p>
            <w:pPr>
              <w:spacing w:after="0"/>
              <w:rPr>
                <w:sz w:val="20"/>
                <w:szCs w:val="20"/>
                <w:color w:val="auto"/>
              </w:rPr>
            </w:pPr>
            <w:r>
              <w:rPr>
                <w:rFonts w:ascii="Arial" w:cs="Arial" w:eastAsia="Arial" w:hAnsi="Arial"/>
                <w:sz w:val="16"/>
                <w:szCs w:val="16"/>
                <w:color w:val="auto"/>
              </w:rPr>
              <w:t>Redeemable noncontrolling interest</w:t>
            </w:r>
          </w:p>
        </w:tc>
        <w:tc>
          <w:tcPr>
            <w:tcW w:w="6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6"/>
        </w:trPr>
        <w:tc>
          <w:tcPr>
            <w:tcW w:w="594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6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32,669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1,091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33,760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40"/>
        </w:trPr>
        <w:tc>
          <w:tcPr>
            <w:tcW w:w="594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77,864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11,262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280" w:top="1266"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460"/>
          </w:cols>
          <w:pgMar w:left="280" w:top="1266" w:right="115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Internal Revenue Growth</w:t>
            </w:r>
          </w:p>
        </w:tc>
        <w:tc>
          <w:tcPr>
            <w:tcW w:w="2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color w:val="auto"/>
              </w:rPr>
              <w:t>Three Months Ended September 30,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102"/>
        </w:trPr>
        <w:tc>
          <w:tcPr>
            <w:tcW w:w="4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8"/>
                <w:szCs w:val="8"/>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Growth</w:t>
            </w:r>
          </w:p>
        </w:tc>
        <w:tc>
          <w:tcPr>
            <w:tcW w:w="260" w:type="dxa"/>
            <w:vAlign w:val="bottom"/>
          </w:tcPr>
          <w:p>
            <w:pPr>
              <w:spacing w:after="0"/>
              <w:rPr>
                <w:sz w:val="8"/>
                <w:szCs w:val="8"/>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Company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Adjusted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3,617</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3,436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10,733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10,316</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Acquisition adjustments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Divestiture adjustments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Internal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3,601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10,747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10,108</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First Data</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Adjusted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2,168</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2,095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6,416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6,267</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Acquisition adjustments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Divestiture adjustments</w:t>
            </w:r>
          </w:p>
        </w:tc>
        <w:tc>
          <w:tcPr>
            <w:tcW w:w="2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Internal revenue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2,200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2,057</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6,582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6,133</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Payments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Adjusted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861</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2,546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Acquisition adjustments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Internal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2,419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2,300</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Financial</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Adjusted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596</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1,798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Acquisition adjustments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Divestiture adjustments</w:t>
            </w:r>
          </w:p>
        </w:tc>
        <w:tc>
          <w:tcPr>
            <w:tcW w:w="2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Internal revenue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596</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574</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1,800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1,726</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Adjusted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Divestiture adjustments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Internal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See page 3 for disclosures related to the use of non-GAAP financial measures.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Internal revenue growth is calculated using actual, unrounded amounts.</w:t>
      </w:r>
    </w:p>
    <w:p>
      <w:pPr>
        <w:spacing w:after="0" w:line="231" w:lineRule="exact"/>
        <w:rPr>
          <w:sz w:val="20"/>
          <w:szCs w:val="20"/>
          <w:color w:val="auto"/>
        </w:rPr>
      </w:pPr>
    </w:p>
    <w:p>
      <w:pPr>
        <w:ind w:left="340" w:right="300" w:hanging="332"/>
        <w:spacing w:after="0" w:line="218"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ectPr>
          <w:pgSz w:w="11900" w:h="16838" w:orient="portrait"/>
          <w:cols w:equalWidth="0" w:num="1">
            <w:col w:w="11420"/>
          </w:cols>
          <w:pgMar w:left="240" w:top="12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6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ectPr>
          <w:pgSz w:w="11900" w:h="16838" w:orient="portrait"/>
          <w:cols w:equalWidth="0" w:num="1">
            <w:col w:w="11340"/>
          </w:cols>
          <w:pgMar w:left="280" w:top="1266" w:right="27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224790</wp:posOffset>
            </wp:positionV>
            <wp:extent cx="6251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377"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3"/>
          </w:tcPr>
          <w:p>
            <w:pPr>
              <w:jc w:val="right"/>
              <w:ind w:right="19"/>
              <w:spacing w:after="0"/>
              <w:rPr>
                <w:sz w:val="20"/>
                <w:szCs w:val="20"/>
                <w:color w:val="auto"/>
              </w:rPr>
            </w:pPr>
            <w:r>
              <w:rPr>
                <w:rFonts w:ascii="Arial" w:cs="Arial" w:eastAsia="Arial" w:hAnsi="Arial"/>
                <w:sz w:val="16"/>
                <w:szCs w:val="16"/>
                <w:color w:val="auto"/>
              </w:rPr>
              <w:t>Nine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Free Cash Flow</w:t>
            </w:r>
          </w:p>
        </w:tc>
        <w:tc>
          <w:tcPr>
            <w:tcW w:w="1280" w:type="dxa"/>
            <w:vAlign w:val="bottom"/>
          </w:tcPr>
          <w:p>
            <w:pPr>
              <w:spacing w:after="0"/>
              <w:rPr>
                <w:sz w:val="20"/>
                <w:szCs w:val="20"/>
                <w:color w:val="auto"/>
              </w:rPr>
            </w:pPr>
          </w:p>
        </w:tc>
        <w:tc>
          <w:tcPr>
            <w:tcW w:w="1620" w:type="dxa"/>
            <w:vAlign w:val="bottom"/>
            <w:gridSpan w:val="3"/>
          </w:tcPr>
          <w:p>
            <w:pPr>
              <w:jc w:val="right"/>
              <w:ind w:right="199"/>
              <w:spacing w:after="0"/>
              <w:rPr>
                <w:sz w:val="20"/>
                <w:szCs w:val="20"/>
                <w:color w:val="auto"/>
              </w:rPr>
            </w:pPr>
            <w:r>
              <w:rPr>
                <w:rFonts w:ascii="Arial" w:cs="Arial" w:eastAsia="Arial" w:hAnsi="Arial"/>
                <w:sz w:val="16"/>
                <w:szCs w:val="16"/>
                <w:color w:val="auto"/>
              </w:rPr>
              <w:t>September 30,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72"/>
        </w:trPr>
        <w:tc>
          <w:tcPr>
            <w:tcW w:w="568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1280" w:type="dxa"/>
            <w:vAlign w:val="bottom"/>
          </w:tcPr>
          <w:p>
            <w:pPr>
              <w:jc w:val="right"/>
              <w:ind w:right="10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1,617</w:t>
            </w:r>
          </w:p>
        </w:tc>
        <w:tc>
          <w:tcPr>
            <w:tcW w:w="200" w:type="dxa"/>
            <w:vAlign w:val="bottom"/>
          </w:tcPr>
          <w:p>
            <w:pPr>
              <w:spacing w:after="0"/>
              <w:rPr>
                <w:sz w:val="24"/>
                <w:szCs w:val="24"/>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326"/>
        </w:trPr>
        <w:tc>
          <w:tcPr>
            <w:tcW w:w="5680" w:type="dxa"/>
            <w:vAlign w:val="bottom"/>
            <w:gridSpan w:val="2"/>
          </w:tcPr>
          <w:p>
            <w:pPr>
              <w:spacing w:after="0"/>
              <w:rPr>
                <w:sz w:val="20"/>
                <w:szCs w:val="20"/>
                <w:color w:val="auto"/>
              </w:rPr>
            </w:pPr>
            <w:r>
              <w:rPr>
                <w:rFonts w:ascii="Arial" w:cs="Arial" w:eastAsia="Arial" w:hAnsi="Arial"/>
                <w:sz w:val="16"/>
                <w:szCs w:val="16"/>
                <w:color w:val="auto"/>
              </w:rPr>
              <w:t xml:space="preserve">First Data net cash provided by operating activities </w:t>
            </w:r>
            <w:r>
              <w:rPr>
                <w:rFonts w:ascii="Arial" w:cs="Arial" w:eastAsia="Arial" w:hAnsi="Arial"/>
                <w:sz w:val="21"/>
                <w:szCs w:val="21"/>
                <w:color w:val="auto"/>
                <w:vertAlign w:val="superscript"/>
              </w:rPr>
              <w:t>1</w:t>
            </w:r>
          </w:p>
        </w:tc>
        <w:tc>
          <w:tcPr>
            <w:tcW w:w="1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1,370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line="234" w:lineRule="exact"/>
              <w:rPr>
                <w:sz w:val="20"/>
                <w:szCs w:val="20"/>
                <w:color w:val="auto"/>
              </w:rPr>
            </w:pPr>
            <w:r>
              <w:rPr>
                <w:rFonts w:ascii="Arial" w:cs="Arial" w:eastAsia="Arial" w:hAnsi="Arial"/>
                <w:sz w:val="16"/>
                <w:szCs w:val="16"/>
                <w:color w:val="auto"/>
              </w:rPr>
              <w:t xml:space="preserve">First Data payments for contract assets </w:t>
            </w:r>
            <w:r>
              <w:rPr>
                <w:rFonts w:ascii="Arial" w:cs="Arial" w:eastAsia="Arial" w:hAnsi="Arial"/>
                <w:sz w:val="21"/>
                <w:szCs w:val="21"/>
                <w:color w:val="auto"/>
                <w:vertAlign w:val="superscript"/>
              </w:rPr>
              <w:t>2</w:t>
            </w: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1"/>
        </w:trPr>
        <w:tc>
          <w:tcPr>
            <w:tcW w:w="5680" w:type="dxa"/>
            <w:vAlign w:val="bottom"/>
            <w:gridSpan w:val="2"/>
          </w:tcPr>
          <w:p>
            <w:pPr>
              <w:spacing w:after="0"/>
              <w:rPr>
                <w:sz w:val="20"/>
                <w:szCs w:val="20"/>
                <w:color w:val="auto"/>
              </w:rPr>
            </w:pPr>
            <w:r>
              <w:rPr>
                <w:rFonts w:ascii="Arial" w:cs="Arial" w:eastAsia="Arial" w:hAnsi="Arial"/>
                <w:sz w:val="16"/>
                <w:szCs w:val="16"/>
                <w:color w:val="auto"/>
              </w:rPr>
              <w:t>Combined net cash provided by operating activities</w:t>
            </w:r>
          </w:p>
        </w:tc>
        <w:tc>
          <w:tcPr>
            <w:tcW w:w="1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2,936</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2,728</w:t>
            </w:r>
          </w:p>
        </w:tc>
        <w:tc>
          <w:tcPr>
            <w:tcW w:w="0" w:type="dxa"/>
            <w:vAlign w:val="bottom"/>
          </w:tcPr>
          <w:p>
            <w:pPr>
              <w:spacing w:after="0"/>
              <w:rPr>
                <w:sz w:val="1"/>
                <w:szCs w:val="1"/>
                <w:color w:val="auto"/>
              </w:rPr>
            </w:pPr>
          </w:p>
        </w:tc>
      </w:tr>
      <w:tr>
        <w:trPr>
          <w:trHeight w:val="270"/>
        </w:trPr>
        <w:tc>
          <w:tcPr>
            <w:tcW w:w="5680" w:type="dxa"/>
            <w:vAlign w:val="bottom"/>
            <w:gridSpan w:val="2"/>
          </w:tcPr>
          <w:p>
            <w:pPr>
              <w:spacing w:after="0"/>
              <w:rPr>
                <w:sz w:val="20"/>
                <w:szCs w:val="20"/>
                <w:color w:val="auto"/>
              </w:rPr>
            </w:pPr>
            <w:r>
              <w:rPr>
                <w:rFonts w:ascii="Arial" w:cs="Arial" w:eastAsia="Arial" w:hAnsi="Arial"/>
                <w:sz w:val="16"/>
                <w:szCs w:val="16"/>
                <w:color w:val="auto"/>
              </w:rPr>
              <w:t>Combined capital expenditures</w:t>
            </w:r>
          </w:p>
        </w:tc>
        <w:tc>
          <w:tcPr>
            <w:tcW w:w="1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(828)</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70"/>
        </w:trPr>
        <w:tc>
          <w:tcPr>
            <w:tcW w:w="5680" w:type="dxa"/>
            <w:vAlign w:val="bottom"/>
            <w:gridSpan w:val="2"/>
          </w:tcPr>
          <w:p>
            <w:pPr>
              <w:spacing w:after="0"/>
              <w:rPr>
                <w:sz w:val="20"/>
                <w:szCs w:val="20"/>
                <w:color w:val="auto"/>
              </w:rPr>
            </w:pPr>
            <w:r>
              <w:rPr>
                <w:rFonts w:ascii="Arial" w:cs="Arial" w:eastAsia="Arial" w:hAnsi="Arial"/>
                <w:sz w:val="16"/>
                <w:szCs w:val="16"/>
                <w:color w:val="auto"/>
              </w:rPr>
              <w:t>Combined adjustments:</w:t>
            </w: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Distributions paid to noncontrolling interests and redeemable</w:t>
            </w:r>
          </w:p>
        </w:tc>
        <w:tc>
          <w:tcPr>
            <w:tcW w:w="128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(199)</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noncontrolling interest</w:t>
            </w:r>
          </w:p>
        </w:tc>
        <w:tc>
          <w:tcPr>
            <w:tcW w:w="1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26"/>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 xml:space="preserve">Distributions from unconsolidated affiliates </w:t>
            </w:r>
            <w:r>
              <w:rPr>
                <w:rFonts w:ascii="Arial" w:cs="Arial" w:eastAsia="Arial" w:hAnsi="Arial"/>
                <w:sz w:val="21"/>
                <w:szCs w:val="21"/>
                <w:color w:val="auto"/>
                <w:vertAlign w:val="superscript"/>
              </w:rPr>
              <w:t>3</w:t>
            </w:r>
          </w:p>
        </w:tc>
        <w:tc>
          <w:tcPr>
            <w:tcW w:w="1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85</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Severance, restructuring, merger and integration payments</w:t>
            </w:r>
          </w:p>
        </w:tc>
        <w:tc>
          <w:tcPr>
            <w:tcW w:w="12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202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Settlement of interest rate hedge contracts</w:t>
            </w:r>
          </w:p>
        </w:tc>
        <w:tc>
          <w:tcPr>
            <w:tcW w:w="1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183</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Tax reform payments</w:t>
            </w:r>
          </w:p>
        </w:tc>
        <w:tc>
          <w:tcPr>
            <w:tcW w:w="12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Tax payments on adjustments and debt financing</w:t>
            </w:r>
          </w:p>
        </w:tc>
        <w:tc>
          <w:tcPr>
            <w:tcW w:w="1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568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5680" w:type="dxa"/>
            <w:vAlign w:val="bottom"/>
            <w:gridSpan w:val="2"/>
          </w:tcPr>
          <w:p>
            <w:pPr>
              <w:ind w:left="480"/>
              <w:spacing w:after="0"/>
              <w:rPr>
                <w:sz w:val="20"/>
                <w:szCs w:val="20"/>
                <w:color w:val="auto"/>
              </w:rPr>
            </w:pPr>
            <w:r>
              <w:rPr>
                <w:rFonts w:ascii="Arial" w:cs="Arial" w:eastAsia="Arial" w:hAnsi="Arial"/>
                <w:sz w:val="16"/>
                <w:szCs w:val="16"/>
                <w:color w:val="auto"/>
              </w:rPr>
              <w:t>Free cash flow</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2,303</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See page 3 for disclosures related to the use of non-GAAP financial measures.</w:t>
      </w:r>
    </w:p>
    <w:p>
      <w:pPr>
        <w:spacing w:after="0" w:line="116" w:lineRule="exact"/>
        <w:rPr>
          <w:sz w:val="20"/>
          <w:szCs w:val="20"/>
          <w:color w:val="auto"/>
        </w:rPr>
      </w:pPr>
    </w:p>
    <w:p>
      <w:pPr>
        <w:jc w:val="both"/>
        <w:ind w:left="780" w:right="260" w:hanging="245"/>
        <w:spacing w:after="0" w:line="225" w:lineRule="auto"/>
        <w:tabs>
          <w:tab w:leader="none" w:pos="7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the financial results of First Data prior to the date of acquisition. For the nine months ended September 30, 2019, this includes the results of First Data from January 1, 2019 through July 28, 2019. For the nine months ended September 30, 2018, this includes the results of First Data from January 1, 2018 through September 30, 2018.</w:t>
      </w:r>
    </w:p>
    <w:p>
      <w:pPr>
        <w:spacing w:after="0" w:line="64" w:lineRule="exact"/>
        <w:rPr>
          <w:sz w:val="20"/>
          <w:szCs w:val="20"/>
          <w:color w:val="auto"/>
        </w:rPr>
      </w:pPr>
    </w:p>
    <w:p>
      <w:pPr>
        <w:ind w:left="780" w:hanging="245"/>
        <w:spacing w:after="0"/>
        <w:tabs>
          <w:tab w:leader="none" w:pos="7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the conformity of First Data's historical classification of payments for contract assets to be consistent with the company's classification and treatment.</w:t>
      </w:r>
    </w:p>
    <w:p>
      <w:pPr>
        <w:spacing w:after="0" w:line="98" w:lineRule="exact"/>
        <w:rPr>
          <w:sz w:val="20"/>
          <w:szCs w:val="20"/>
          <w:color w:val="auto"/>
        </w:rPr>
      </w:pPr>
    </w:p>
    <w:p>
      <w:pPr>
        <w:ind w:left="780" w:hanging="245"/>
        <w:spacing w:after="0" w:line="218" w:lineRule="auto"/>
        <w:tabs>
          <w:tab w:leader="none" w:pos="7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Distributions from unconsolidated affiliates totaled $190 million and $191 million for the nine months ended September 30, 2019 and 2018, respectively, of which $105 million and $191 million of the distributions are recorded within First Data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40"/>
          </w:cols>
          <w:pgMar w:left="280" w:top="1266" w:right="2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224790</wp:posOffset>
            </wp:positionV>
            <wp:extent cx="66205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377"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right"/>
              <w:ind w:right="399"/>
              <w:spacing w:after="0"/>
              <w:rPr>
                <w:sz w:val="20"/>
                <w:szCs w:val="20"/>
                <w:color w:val="auto"/>
              </w:rPr>
            </w:pPr>
            <w:r>
              <w:rPr>
                <w:rFonts w:ascii="Arial" w:cs="Arial" w:eastAsia="Arial" w:hAnsi="Arial"/>
                <w:sz w:val="16"/>
                <w:szCs w:val="16"/>
                <w:color w:val="auto"/>
              </w:rPr>
              <w:t>Nine Months Ended</w:t>
            </w:r>
          </w:p>
        </w:tc>
      </w:tr>
      <w:tr>
        <w:trPr>
          <w:trHeight w:val="214"/>
        </w:trPr>
        <w:tc>
          <w:tcPr>
            <w:tcW w:w="5520" w:type="dxa"/>
            <w:vAlign w:val="bottom"/>
            <w:gridSpan w:val="2"/>
          </w:tcPr>
          <w:p>
            <w:pPr>
              <w:ind w:left="20"/>
              <w:spacing w:after="0" w:line="214" w:lineRule="exact"/>
              <w:rPr>
                <w:sz w:val="20"/>
                <w:szCs w:val="20"/>
                <w:color w:val="auto"/>
              </w:rPr>
            </w:pPr>
            <w:r>
              <w:rPr>
                <w:rFonts w:ascii="Arial" w:cs="Arial" w:eastAsia="Arial" w:hAnsi="Arial"/>
                <w:sz w:val="16"/>
                <w:szCs w:val="16"/>
                <w:b w:val="1"/>
                <w:bCs w:val="1"/>
                <w:color w:val="auto"/>
              </w:rPr>
              <w:t>Total Amortization</w:t>
            </w:r>
            <w:r>
              <w:rPr>
                <w:rFonts w:ascii="Arial" w:cs="Arial" w:eastAsia="Arial" w:hAnsi="Arial"/>
                <w:sz w:val="21"/>
                <w:szCs w:val="21"/>
                <w:b w:val="1"/>
                <w:bCs w:val="1"/>
                <w:color w:val="auto"/>
                <w:vertAlign w:val="superscript"/>
              </w:rPr>
              <w:t>1</w:t>
            </w: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September 30,</w:t>
            </w:r>
          </w:p>
        </w:tc>
      </w:tr>
      <w:tr>
        <w:trPr>
          <w:trHeight w:val="257"/>
        </w:trPr>
        <w:tc>
          <w:tcPr>
            <w:tcW w:w="5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r>
      <w:tr>
        <w:trPr>
          <w:trHeight w:val="372"/>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 assets</w:t>
            </w:r>
          </w:p>
        </w:tc>
        <w:tc>
          <w:tcPr>
            <w:tcW w:w="76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387</w:t>
            </w:r>
          </w:p>
        </w:tc>
        <w:tc>
          <w:tcPr>
            <w:tcW w:w="120" w:type="dxa"/>
            <w:vAlign w:val="bottom"/>
          </w:tcPr>
          <w:p>
            <w:pPr>
              <w:spacing w:after="0"/>
              <w:rPr>
                <w:sz w:val="24"/>
                <w:szCs w:val="24"/>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476</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Capitalized software</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Purchased software</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Financing costs, debt discounts and other</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Sales commissions</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8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Deferred conversion costs</w:t>
            </w: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40"/>
        </w:trPr>
        <w:tc>
          <w:tcPr>
            <w:tcW w:w="5520" w:type="dxa"/>
            <w:vAlign w:val="bottom"/>
            <w:gridSpan w:val="2"/>
          </w:tcPr>
          <w:p>
            <w:pPr>
              <w:ind w:left="160"/>
              <w:spacing w:after="0"/>
              <w:rPr>
                <w:sz w:val="20"/>
                <w:szCs w:val="20"/>
                <w:color w:val="auto"/>
              </w:rPr>
            </w:pPr>
            <w:r>
              <w:rPr>
                <w:rFonts w:ascii="Arial" w:cs="Arial" w:eastAsia="Arial" w:hAnsi="Arial"/>
                <w:sz w:val="16"/>
                <w:szCs w:val="16"/>
                <w:color w:val="auto"/>
              </w:rPr>
              <w:t>Total amortization</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7"/>
              </w:rPr>
              <w:t>496</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113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First Data acquisition-related intangible assets</w:t>
            </w:r>
          </w:p>
        </w:tc>
        <w:tc>
          <w:tcPr>
            <w:tcW w:w="76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24"/>
                <w:szCs w:val="24"/>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107</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233</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First Data capitalized software</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First Data purchased software</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First Data financing costs, debt discounts and other</w:t>
            </w:r>
          </w:p>
        </w:tc>
        <w:tc>
          <w:tcPr>
            <w:tcW w:w="7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First Data sales commissions</w:t>
            </w:r>
          </w:p>
        </w:tc>
        <w:tc>
          <w:tcPr>
            <w:tcW w:w="7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First Data deferred conversion costs</w:t>
            </w: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r>
      <w:tr>
        <w:trPr>
          <w:trHeight w:val="243"/>
        </w:trPr>
        <w:tc>
          <w:tcPr>
            <w:tcW w:w="5520" w:type="dxa"/>
            <w:vAlign w:val="bottom"/>
            <w:gridSpan w:val="2"/>
          </w:tcPr>
          <w:p>
            <w:pPr>
              <w:ind w:left="160"/>
              <w:spacing w:after="0"/>
              <w:rPr>
                <w:sz w:val="20"/>
                <w:szCs w:val="20"/>
                <w:color w:val="auto"/>
              </w:rPr>
            </w:pPr>
            <w:r>
              <w:rPr>
                <w:rFonts w:ascii="Arial" w:cs="Arial" w:eastAsia="Arial" w:hAnsi="Arial"/>
                <w:sz w:val="16"/>
                <w:szCs w:val="16"/>
                <w:color w:val="auto"/>
              </w:rPr>
              <w:t xml:space="preserve">Total First Data amortization </w:t>
            </w:r>
            <w:r>
              <w:rPr>
                <w:rFonts w:ascii="Arial" w:cs="Arial" w:eastAsia="Arial" w:hAnsi="Arial"/>
                <w:sz w:val="21"/>
                <w:szCs w:val="21"/>
                <w:color w:val="auto"/>
                <w:vertAlign w:val="superscript"/>
              </w:rPr>
              <w:t>2</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174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Combined acquisition-related intangible assets</w:t>
            </w:r>
          </w:p>
        </w:tc>
        <w:tc>
          <w:tcPr>
            <w:tcW w:w="76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420</w:t>
            </w:r>
          </w:p>
        </w:tc>
        <w:tc>
          <w:tcPr>
            <w:tcW w:w="120" w:type="dxa"/>
            <w:vAlign w:val="bottom"/>
          </w:tcPr>
          <w:p>
            <w:pPr>
              <w:spacing w:after="0"/>
              <w:rPr>
                <w:sz w:val="24"/>
                <w:szCs w:val="24"/>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147</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709</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445</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Combined capitalized software</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Combined purchased software</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Combined financing costs, debt discounts and other</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Combined sales commissions</w:t>
            </w: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8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Combined deferred conversion costs</w:t>
            </w: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r>
      <w:tr>
        <w:trPr>
          <w:trHeight w:val="240"/>
        </w:trPr>
        <w:tc>
          <w:tcPr>
            <w:tcW w:w="5520" w:type="dxa"/>
            <w:vAlign w:val="bottom"/>
            <w:gridSpan w:val="2"/>
          </w:tcPr>
          <w:p>
            <w:pPr>
              <w:ind w:left="160"/>
              <w:spacing w:after="0"/>
              <w:rPr>
                <w:sz w:val="20"/>
                <w:szCs w:val="20"/>
                <w:color w:val="auto"/>
              </w:rPr>
            </w:pPr>
            <w:r>
              <w:rPr>
                <w:rFonts w:ascii="Arial" w:cs="Arial" w:eastAsia="Arial" w:hAnsi="Arial"/>
                <w:sz w:val="16"/>
                <w:szCs w:val="16"/>
                <w:color w:val="auto"/>
              </w:rPr>
              <w:t>Total combined amortization</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7"/>
              </w:rPr>
              <w:t>554</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287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1,239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863</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20" w:hanging="328"/>
        <w:spacing w:after="0" w:line="252" w:lineRule="auto"/>
        <w:tabs>
          <w:tab w:leader="none" w:pos="6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(see corresponding adjustment on page 8). The adjustment for acquired First Data software/technology excludes only the incremental amortization related to the fair value purchase accounting allocation.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81" w:lineRule="exact"/>
        <w:rPr>
          <w:sz w:val="20"/>
          <w:szCs w:val="20"/>
          <w:color w:val="auto"/>
        </w:rPr>
      </w:pPr>
    </w:p>
    <w:p>
      <w:pPr>
        <w:jc w:val="both"/>
        <w:ind w:left="620" w:right="120" w:hanging="328"/>
        <w:spacing w:after="0" w:line="237" w:lineRule="auto"/>
        <w:tabs>
          <w:tab w:leader="none" w:pos="6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Represents the financial results of First Data prior to the date of acquisition. For the three and nine months ended September 30, 2019, this includes the results of First Data from July 1, 2019 through July 28, 2019 and from January 1, 2019 through July 28, 2019, respectively. For the three and nine months ended September 30, 2018, this includes the results of First Data from July 1, 2018 through September 30, 2018 and from January 1, 2018 through September 30, 2018, respectively.</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80" w:top="1266"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Internal Revenue Growth - </w:t>
      </w:r>
      <w:r>
        <w:rPr>
          <w:rFonts w:ascii="Arial" w:cs="Arial" w:eastAsia="Arial" w:hAnsi="Arial"/>
          <w:sz w:val="18"/>
          <w:szCs w:val="18"/>
          <w:color w:val="auto"/>
        </w:rPr>
        <w:t>The company's internal revenue growth outlook for 2019 excludes the impact of foreign currency fluctuations,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dispositions and the impact of the company's Output Solutions postage reimbursements and merchant services adjustments, and includes deferred revenue purchase accounting adjustments. Additionally, the internal revenue growth outlook is calculated based on the combined results of Fiserv and First Data. On a GAAP basis, the financial results of First Data are included in the consolidated results of Fiserv from the date of acquisition. Therefore, the company expects GAAP revenue growth to be significantly higher than internal revenue growth.</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2019 excludes certain non-cash or other items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should enhance shareholders' ability to evaluate the company's performance, as such measures provide additional insights into the factors and trends affecting its business. Non-cash or other items may be significant and include, but are not limited to, non-cash deferred revenue adjustments arising from acquisitions; non-cash intangible asset amortization expense associated with acquisitions; non-cash impairment charges; severance and restructuring costs; net charges associated with debt financing activities including foreign currency transaction gains, early debt extinguishment and bridge financing costs; merger and integration costs; gains or losses from the sale of businesses; and certain discrete tax benefits and expenses. The company estimates that the amortization expense with respect to acquired intangible assets as of September 30, 2019 will be approximately $1.0 billion in 2019. Other adjustments to earnings per share that have been incurred to date are presented on page 8. Estimates of these other adjustments on a forward-looking basis are not available due to the variability, complexity and limited visibility of these items.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adjusted earnings per share growth outlook for 2019 reflects 2018 performance recalculated to include the historical results of First Data on an adjusted combined company basis. The information below is presented with a reconciliation to the most comparable GAAP measure.</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1266" w:right="279" w:bottom="1440" w:gutter="0" w:footer="0" w:header="0"/>
        </w:sectPr>
      </w:pPr>
    </w:p>
    <w:bookmarkStart w:id="22" w:name="page23"/>
    <w:bookmarkEnd w:id="22"/>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2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0" w:type="dxa"/>
            <w:vAlign w:val="bottom"/>
          </w:tcPr>
          <w:p>
            <w:pPr>
              <w:spacing w:after="0"/>
              <w:rPr>
                <w:sz w:val="20"/>
                <w:szCs w:val="20"/>
                <w:color w:val="auto"/>
              </w:rPr>
            </w:pPr>
            <w:r>
              <w:rPr>
                <w:rFonts w:ascii="Arial" w:cs="Arial" w:eastAsia="Arial" w:hAnsi="Arial"/>
                <w:sz w:val="16"/>
                <w:szCs w:val="16"/>
                <w:color w:val="auto"/>
              </w:rPr>
              <w:t>2018 GAAP 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1,187</w:t>
            </w:r>
          </w:p>
        </w:tc>
      </w:tr>
      <w:tr>
        <w:trPr>
          <w:trHeight w:val="256"/>
        </w:trPr>
        <w:tc>
          <w:tcPr>
            <w:tcW w:w="9400" w:type="dxa"/>
            <w:vAlign w:val="bottom"/>
          </w:tcPr>
          <w:p>
            <w:pPr>
              <w:spacing w:after="0"/>
              <w:rPr>
                <w:sz w:val="20"/>
                <w:szCs w:val="20"/>
                <w:color w:val="auto"/>
              </w:rPr>
            </w:pPr>
            <w:r>
              <w:rPr>
                <w:rFonts w:ascii="Arial" w:cs="Arial" w:eastAsia="Arial" w:hAnsi="Arial"/>
                <w:sz w:val="16"/>
                <w:szCs w:val="16"/>
                <w:color w:val="auto"/>
              </w:rPr>
              <w:t>2018 GAAP net income attributable to First Data</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1,005</w:t>
            </w:r>
          </w:p>
        </w:tc>
      </w:tr>
      <w:tr>
        <w:trPr>
          <w:trHeight w:val="224"/>
        </w:trPr>
        <w:tc>
          <w:tcPr>
            <w:tcW w:w="9400" w:type="dxa"/>
            <w:vAlign w:val="bottom"/>
          </w:tcPr>
          <w:p>
            <w:pPr>
              <w:spacing w:after="0"/>
              <w:rPr>
                <w:sz w:val="20"/>
                <w:szCs w:val="20"/>
                <w:color w:val="auto"/>
              </w:rPr>
            </w:pPr>
            <w:r>
              <w:rPr>
                <w:rFonts w:ascii="Arial" w:cs="Arial" w:eastAsia="Arial" w:hAnsi="Arial"/>
                <w:sz w:val="16"/>
                <w:szCs w:val="16"/>
                <w:color w:val="auto"/>
              </w:rPr>
              <w:t>2018 combined net income attributable to Fiserv</w:t>
            </w:r>
          </w:p>
        </w:tc>
        <w:tc>
          <w:tcPr>
            <w:tcW w:w="3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2,192</w:t>
            </w:r>
          </w:p>
        </w:tc>
      </w:tr>
      <w:tr>
        <w:trPr>
          <w:trHeight w:val="270"/>
        </w:trPr>
        <w:tc>
          <w:tcPr>
            <w:tcW w:w="9400" w:type="dxa"/>
            <w:vAlign w:val="bottom"/>
          </w:tcPr>
          <w:p>
            <w:pPr>
              <w:spacing w:after="0"/>
              <w:rPr>
                <w:sz w:val="20"/>
                <w:szCs w:val="20"/>
                <w:color w:val="auto"/>
              </w:rPr>
            </w:pPr>
            <w:r>
              <w:rPr>
                <w:rFonts w:ascii="Arial" w:cs="Arial" w:eastAsia="Arial" w:hAnsi="Arial"/>
                <w:sz w:val="16"/>
                <w:szCs w:val="16"/>
                <w:color w:val="auto"/>
              </w:rPr>
              <w:t>Combined adjustments:</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6"/>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Severance and restructuring costs </w:t>
            </w:r>
            <w:r>
              <w:rPr>
                <w:rFonts w:ascii="Arial" w:cs="Arial" w:eastAsia="Arial" w:hAnsi="Arial"/>
                <w:sz w:val="21"/>
                <w:szCs w:val="21"/>
                <w:color w:val="auto"/>
                <w:vertAlign w:val="superscript"/>
              </w:rPr>
              <w:t>2</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155</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594</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Debt financing activities </w:t>
            </w:r>
            <w:r>
              <w:rPr>
                <w:rFonts w:ascii="Arial" w:cs="Arial" w:eastAsia="Arial" w:hAnsi="Arial"/>
                <w:sz w:val="21"/>
                <w:szCs w:val="21"/>
                <w:color w:val="auto"/>
                <w:vertAlign w:val="superscript"/>
              </w:rPr>
              <w:t>4</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167</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Impact of divestitures </w:t>
            </w:r>
            <w:r>
              <w:rPr>
                <w:rFonts w:ascii="Arial" w:cs="Arial" w:eastAsia="Arial" w:hAnsi="Arial"/>
                <w:sz w:val="21"/>
                <w:szCs w:val="21"/>
                <w:color w:val="auto"/>
                <w:vertAlign w:val="superscript"/>
              </w:rPr>
              <w:t>5</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6</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7</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5</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Tax impact of gain on sale of businesses </w:t>
            </w:r>
            <w:r>
              <w:rPr>
                <w:rFonts w:ascii="Arial" w:cs="Arial" w:eastAsia="Arial" w:hAnsi="Arial"/>
                <w:sz w:val="21"/>
                <w:szCs w:val="21"/>
                <w:color w:val="auto"/>
                <w:vertAlign w:val="superscript"/>
              </w:rPr>
              <w:t>7</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90</w:t>
            </w:r>
          </w:p>
        </w:tc>
      </w:tr>
      <w:tr>
        <w:trPr>
          <w:trHeight w:val="219"/>
        </w:trPr>
        <w:tc>
          <w:tcPr>
            <w:tcW w:w="9400" w:type="dxa"/>
            <w:vAlign w:val="bottom"/>
          </w:tcPr>
          <w:p>
            <w:pPr>
              <w:ind w:left="140"/>
              <w:spacing w:after="0" w:line="219" w:lineRule="exact"/>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8</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34"/>
        </w:trPr>
        <w:tc>
          <w:tcPr>
            <w:tcW w:w="9400" w:type="dxa"/>
            <w:vAlign w:val="bottom"/>
          </w:tcPr>
          <w:p>
            <w:pPr>
              <w:spacing w:after="0"/>
              <w:rPr>
                <w:sz w:val="20"/>
                <w:szCs w:val="20"/>
                <w:color w:val="auto"/>
              </w:rPr>
            </w:pPr>
            <w:r>
              <w:rPr>
                <w:rFonts w:ascii="Arial" w:cs="Arial" w:eastAsia="Arial" w:hAnsi="Arial"/>
                <w:sz w:val="16"/>
                <w:szCs w:val="16"/>
                <w:color w:val="auto"/>
              </w:rPr>
              <w:t>2018 adjusted 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2,432</w:t>
            </w:r>
          </w:p>
        </w:tc>
      </w:tr>
      <w:tr>
        <w:trPr>
          <w:trHeight w:val="20"/>
        </w:trPr>
        <w:tc>
          <w:tcPr>
            <w:tcW w:w="9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9"/>
        </w:trPr>
        <w:tc>
          <w:tcPr>
            <w:tcW w:w="9400" w:type="dxa"/>
            <w:vAlign w:val="bottom"/>
          </w:tcPr>
          <w:p>
            <w:pPr>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413.7</w:t>
            </w:r>
          </w:p>
        </w:tc>
      </w:tr>
      <w:tr>
        <w:trPr>
          <w:trHeight w:val="243"/>
        </w:trPr>
        <w:tc>
          <w:tcPr>
            <w:tcW w:w="9400" w:type="dxa"/>
            <w:vAlign w:val="bottom"/>
          </w:tcPr>
          <w:p>
            <w:pPr>
              <w:spacing w:after="0"/>
              <w:rPr>
                <w:sz w:val="20"/>
                <w:szCs w:val="20"/>
                <w:color w:val="auto"/>
              </w:rPr>
            </w:pPr>
            <w:r>
              <w:rPr>
                <w:rFonts w:ascii="Arial" w:cs="Arial" w:eastAsia="Arial" w:hAnsi="Arial"/>
                <w:sz w:val="16"/>
                <w:szCs w:val="16"/>
                <w:color w:val="auto"/>
              </w:rPr>
              <w:t>Issuance of shares for combination</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286.3</w:t>
            </w:r>
          </w:p>
        </w:tc>
      </w:tr>
      <w:tr>
        <w:trPr>
          <w:trHeight w:val="256"/>
        </w:trPr>
        <w:tc>
          <w:tcPr>
            <w:tcW w:w="9400" w:type="dxa"/>
            <w:vAlign w:val="bottom"/>
          </w:tcPr>
          <w:p>
            <w:pPr>
              <w:spacing w:after="0"/>
              <w:rPr>
                <w:sz w:val="20"/>
                <w:szCs w:val="20"/>
                <w:color w:val="auto"/>
              </w:rPr>
            </w:pPr>
            <w:r>
              <w:rPr>
                <w:rFonts w:ascii="Arial" w:cs="Arial" w:eastAsia="Arial" w:hAnsi="Arial"/>
                <w:sz w:val="16"/>
                <w:szCs w:val="16"/>
                <w:color w:val="auto"/>
              </w:rPr>
              <w:t>Dilutive impact of exchanged equity awards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r>
      <w:tr>
        <w:trPr>
          <w:trHeight w:val="243"/>
        </w:trPr>
        <w:tc>
          <w:tcPr>
            <w:tcW w:w="9400" w:type="dxa"/>
            <w:vAlign w:val="bottom"/>
          </w:tcPr>
          <w:p>
            <w:pPr>
              <w:spacing w:after="0"/>
              <w:rPr>
                <w:sz w:val="20"/>
                <w:szCs w:val="20"/>
                <w:color w:val="auto"/>
              </w:rPr>
            </w:pPr>
            <w:r>
              <w:rPr>
                <w:rFonts w:ascii="Arial" w:cs="Arial" w:eastAsia="Arial" w:hAnsi="Arial"/>
                <w:sz w:val="16"/>
                <w:szCs w:val="16"/>
                <w:color w:val="auto"/>
              </w:rPr>
              <w:t xml:space="preserve">Combined weighted average common shares outstanding - diluted </w:t>
            </w:r>
            <w:r>
              <w:rPr>
                <w:rFonts w:ascii="Arial" w:cs="Arial" w:eastAsia="Arial" w:hAnsi="Arial"/>
                <w:sz w:val="21"/>
                <w:szCs w:val="21"/>
                <w:color w:val="auto"/>
                <w:vertAlign w:val="superscript"/>
              </w:rPr>
              <w:t>9</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707.8</w:t>
            </w:r>
          </w:p>
        </w:tc>
      </w:tr>
      <w:tr>
        <w:trPr>
          <w:trHeight w:val="415"/>
        </w:trPr>
        <w:tc>
          <w:tcPr>
            <w:tcW w:w="9400" w:type="dxa"/>
            <w:vAlign w:val="bottom"/>
          </w:tcPr>
          <w:p>
            <w:pPr>
              <w:spacing w:after="0"/>
              <w:rPr>
                <w:sz w:val="20"/>
                <w:szCs w:val="20"/>
                <w:color w:val="auto"/>
              </w:rPr>
            </w:pPr>
            <w:r>
              <w:rPr>
                <w:rFonts w:ascii="Arial" w:cs="Arial" w:eastAsia="Arial" w:hAnsi="Arial"/>
                <w:sz w:val="16"/>
                <w:szCs w:val="16"/>
                <w:color w:val="auto"/>
              </w:rPr>
              <w:t xml:space="preserve">2018 GAAP earnings per share </w:t>
            </w:r>
            <w:r>
              <w:rPr>
                <w:rFonts w:ascii="Arial" w:cs="Arial" w:eastAsia="Arial" w:hAnsi="Arial"/>
                <w:sz w:val="21"/>
                <w:szCs w:val="21"/>
                <w:color w:val="auto"/>
                <w:vertAlign w:val="superscript"/>
              </w:rPr>
              <w:t>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2.87</w:t>
            </w:r>
          </w:p>
        </w:tc>
      </w:tr>
      <w:tr>
        <w:trPr>
          <w:trHeight w:val="405"/>
        </w:trPr>
        <w:tc>
          <w:tcPr>
            <w:tcW w:w="9400" w:type="dxa"/>
            <w:vAlign w:val="bottom"/>
          </w:tcPr>
          <w:p>
            <w:pPr>
              <w:spacing w:after="0"/>
              <w:rPr>
                <w:sz w:val="20"/>
                <w:szCs w:val="20"/>
                <w:color w:val="auto"/>
              </w:rPr>
            </w:pPr>
            <w:r>
              <w:rPr>
                <w:rFonts w:ascii="Arial" w:cs="Arial" w:eastAsia="Arial" w:hAnsi="Arial"/>
                <w:sz w:val="16"/>
                <w:szCs w:val="16"/>
                <w:color w:val="auto"/>
              </w:rPr>
              <w:t xml:space="preserve">2018 combined earnings per share </w:t>
            </w:r>
            <w:r>
              <w:rPr>
                <w:rFonts w:ascii="Arial" w:cs="Arial" w:eastAsia="Arial" w:hAnsi="Arial"/>
                <w:sz w:val="21"/>
                <w:szCs w:val="21"/>
                <w:color w:val="auto"/>
                <w:vertAlign w:val="superscript"/>
              </w:rPr>
              <w:t>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3.10</w:t>
            </w:r>
          </w:p>
        </w:tc>
      </w:tr>
      <w:tr>
        <w:trPr>
          <w:trHeight w:val="464"/>
        </w:trPr>
        <w:tc>
          <w:tcPr>
            <w:tcW w:w="9400" w:type="dxa"/>
            <w:vAlign w:val="bottom"/>
          </w:tcPr>
          <w:p>
            <w:pPr>
              <w:spacing w:after="0"/>
              <w:rPr>
                <w:sz w:val="20"/>
                <w:szCs w:val="20"/>
                <w:color w:val="auto"/>
              </w:rPr>
            </w:pPr>
            <w:r>
              <w:rPr>
                <w:rFonts w:ascii="Arial" w:cs="Arial" w:eastAsia="Arial" w:hAnsi="Arial"/>
                <w:sz w:val="16"/>
                <w:szCs w:val="16"/>
                <w:color w:val="auto"/>
              </w:rPr>
              <w:t>Combined adjustments - net of income taxes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6"/>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0.06</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Severance and restructuring costs </w:t>
            </w:r>
            <w:r>
              <w:rPr>
                <w:rFonts w:ascii="Arial" w:cs="Arial" w:eastAsia="Arial" w:hAnsi="Arial"/>
                <w:sz w:val="21"/>
                <w:szCs w:val="21"/>
                <w:color w:val="auto"/>
                <w:vertAlign w:val="superscript"/>
              </w:rPr>
              <w:t>2</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0.17</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0.65</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Debt financing activities </w:t>
            </w:r>
            <w:r>
              <w:rPr>
                <w:rFonts w:ascii="Arial" w:cs="Arial" w:eastAsia="Arial" w:hAnsi="Arial"/>
                <w:sz w:val="21"/>
                <w:szCs w:val="21"/>
                <w:color w:val="auto"/>
                <w:vertAlign w:val="superscript"/>
              </w:rPr>
              <w:t>4</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0.18</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Impact of divestitures </w:t>
            </w:r>
            <w:r>
              <w:rPr>
                <w:rFonts w:ascii="Arial" w:cs="Arial" w:eastAsia="Arial" w:hAnsi="Arial"/>
                <w:sz w:val="21"/>
                <w:szCs w:val="21"/>
                <w:color w:val="auto"/>
                <w:vertAlign w:val="superscript"/>
              </w:rPr>
              <w:t>5</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6</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43"/>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5</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(0.48)</w:t>
            </w:r>
          </w:p>
        </w:tc>
      </w:tr>
      <w:tr>
        <w:trPr>
          <w:trHeight w:val="276"/>
        </w:trPr>
        <w:tc>
          <w:tcPr>
            <w:tcW w:w="9400" w:type="dxa"/>
            <w:vAlign w:val="bottom"/>
          </w:tcPr>
          <w:p>
            <w:pPr>
              <w:ind w:left="140"/>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8</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64"/>
        </w:trPr>
        <w:tc>
          <w:tcPr>
            <w:tcW w:w="94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4"/>
        </w:trPr>
        <w:tc>
          <w:tcPr>
            <w:tcW w:w="9400" w:type="dxa"/>
            <w:vAlign w:val="bottom"/>
          </w:tcPr>
          <w:p>
            <w:pPr>
              <w:spacing w:after="0"/>
              <w:rPr>
                <w:sz w:val="20"/>
                <w:szCs w:val="20"/>
                <w:color w:val="auto"/>
              </w:rPr>
            </w:pPr>
            <w:r>
              <w:rPr>
                <w:rFonts w:ascii="Arial" w:cs="Arial" w:eastAsia="Arial" w:hAnsi="Arial"/>
                <w:sz w:val="16"/>
                <w:szCs w:val="16"/>
                <w:color w:val="auto"/>
              </w:rPr>
              <w:t>2018 adjusted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w:t>
            </w:r>
          </w:p>
        </w:tc>
      </w:tr>
      <w:tr>
        <w:trPr>
          <w:trHeight w:val="20"/>
        </w:trPr>
        <w:tc>
          <w:tcPr>
            <w:tcW w:w="9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50"/>
        </w:trPr>
        <w:tc>
          <w:tcPr>
            <w:tcW w:w="9400" w:type="dxa"/>
            <w:vAlign w:val="bottom"/>
          </w:tcPr>
          <w:p>
            <w:pPr>
              <w:spacing w:after="0"/>
              <w:rPr>
                <w:sz w:val="20"/>
                <w:szCs w:val="20"/>
                <w:color w:val="auto"/>
              </w:rPr>
            </w:pPr>
            <w:r>
              <w:rPr>
                <w:rFonts w:ascii="Arial" w:cs="Arial" w:eastAsia="Arial" w:hAnsi="Arial"/>
                <w:sz w:val="16"/>
                <w:szCs w:val="16"/>
                <w:color w:val="auto"/>
              </w:rPr>
              <w:t>2019 adjusted earnings per share outlook</w:t>
            </w:r>
          </w:p>
        </w:tc>
        <w:tc>
          <w:tcPr>
            <w:tcW w:w="30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$3.98 - $4.02</w:t>
            </w:r>
          </w:p>
        </w:tc>
      </w:tr>
      <w:tr>
        <w:trPr>
          <w:trHeight w:val="243"/>
        </w:trPr>
        <w:tc>
          <w:tcPr>
            <w:tcW w:w="9400" w:type="dxa"/>
            <w:vAlign w:val="bottom"/>
          </w:tcPr>
          <w:p>
            <w:pPr>
              <w:spacing w:after="0"/>
              <w:rPr>
                <w:sz w:val="20"/>
                <w:szCs w:val="20"/>
                <w:color w:val="auto"/>
              </w:rPr>
            </w:pPr>
            <w:r>
              <w:rPr>
                <w:rFonts w:ascii="Arial" w:cs="Arial" w:eastAsia="Arial" w:hAnsi="Arial"/>
                <w:sz w:val="16"/>
                <w:szCs w:val="16"/>
                <w:color w:val="auto"/>
              </w:rPr>
              <w:t>2019 adjusted earnings per share growth outlook</w:t>
            </w:r>
          </w:p>
        </w:tc>
        <w:tc>
          <w:tcPr>
            <w:tcW w:w="3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 - 17%</w:t>
            </w:r>
          </w:p>
        </w:tc>
      </w:tr>
    </w:tbl>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 except per share amounts, unaudited. Earnings per share is calculated using actual, unrounded amounts.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page 3 for disclosures related to the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940"/>
          </w:cols>
          <w:pgMar w:left="280" w:top="1266" w:right="679" w:bottom="1440" w:gutter="0" w:footer="0" w:header="0"/>
        </w:sectPr>
      </w:pPr>
    </w:p>
    <w:bookmarkStart w:id="23" w:name="page24"/>
    <w:bookmarkEnd w:id="23"/>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6066155</wp:posOffset>
            </wp:positionH>
            <wp:positionV relativeFrom="page">
              <wp:posOffset>191770</wp:posOffset>
            </wp:positionV>
            <wp:extent cx="1320800" cy="831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831850"/>
                    </a:xfrm>
                    <a:prstGeom prst="rect">
                      <a:avLst/>
                    </a:prstGeom>
                    <a:noFill/>
                  </pic:spPr>
                </pic:pic>
              </a:graphicData>
            </a:graphic>
          </wp:anchor>
        </w:drawing>
        <w:t>News Release</w:t>
      </w:r>
    </w:p>
    <w:p>
      <w:pPr>
        <w:spacing w:after="0" w:line="303" w:lineRule="exact"/>
        <w:rPr>
          <w:sz w:val="20"/>
          <w:szCs w:val="20"/>
          <w:color w:val="auto"/>
        </w:rPr>
      </w:pPr>
    </w:p>
    <w:p>
      <w:pPr>
        <w:ind w:left="380" w:hanging="331"/>
        <w:spacing w:after="0"/>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Represents acquisition and related integration costs incurred as a result of the company's various acquisitions.</w:t>
      </w:r>
    </w:p>
    <w:p>
      <w:pPr>
        <w:spacing w:after="0" w:line="48" w:lineRule="exact"/>
        <w:rPr>
          <w:sz w:val="20"/>
          <w:szCs w:val="20"/>
          <w:color w:val="auto"/>
        </w:rPr>
      </w:pPr>
    </w:p>
    <w:p>
      <w:pPr>
        <w:ind w:left="380" w:right="460" w:hanging="331"/>
        <w:spacing w:after="0" w:line="210"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Represents severance and other costs associated with the achievement of ongoing expense management initiatives, including real estate and data center consolidation activities.</w:t>
      </w:r>
    </w:p>
    <w:p>
      <w:pPr>
        <w:spacing w:after="0" w:line="50" w:lineRule="exact"/>
        <w:rPr>
          <w:sz w:val="20"/>
          <w:szCs w:val="20"/>
          <w:color w:val="auto"/>
        </w:rPr>
      </w:pPr>
    </w:p>
    <w:p>
      <w:pPr>
        <w:ind w:left="380" w:right="120" w:hanging="331"/>
        <w:spacing w:after="0" w:line="227"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Represents amortization of intangible assets acquired through various acquisitions, including customer relationships, software/technology, and tradenames. This adjustment does not exclude the amortization of other intangible assets such as contract assets (sales commissions and deferred conversion costs), capitalized and purchased software, and financing costs and debt discounts. See additional information on page 17 for an analysis of the company's amortization expense.</w:t>
      </w:r>
    </w:p>
    <w:p>
      <w:pPr>
        <w:spacing w:after="0" w:line="49" w:lineRule="exact"/>
        <w:rPr>
          <w:sz w:val="20"/>
          <w:szCs w:val="20"/>
          <w:color w:val="auto"/>
        </w:rPr>
      </w:pPr>
    </w:p>
    <w:p>
      <w:pPr>
        <w:ind w:left="380" w:right="220" w:hanging="331"/>
        <w:spacing w:after="0" w:line="210"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Represents losses on early debt extinguishment primarily associated with the redemption of First Data's 7.0% senior notes and the company's 4.625% senior notes with aggregate principal amounts of $3.4 billion and $450 million, respectively.</w:t>
      </w:r>
    </w:p>
    <w:p>
      <w:pPr>
        <w:spacing w:after="0" w:line="50" w:lineRule="exact"/>
        <w:rPr>
          <w:sz w:val="20"/>
          <w:szCs w:val="20"/>
          <w:color w:val="auto"/>
        </w:rPr>
      </w:pPr>
    </w:p>
    <w:p>
      <w:pPr>
        <w:ind w:left="380" w:right="240" w:hanging="331"/>
        <w:spacing w:after="0" w:line="221" w:lineRule="auto"/>
        <w:tabs>
          <w:tab w:leader="none" w:pos="38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Represents the earnings attributable to divested businesses and the gain on the associated divestiture transactions. The divested businesses include First Data's card processing business in Central and Southeastern Europe, First Data's remittance processing business, and a 55% interest in Fiserv's Lending Solutions business in September 2018, August 2018 and March 2018, respectively.</w:t>
      </w:r>
    </w:p>
    <w:p>
      <w:pPr>
        <w:spacing w:after="0" w:line="49" w:lineRule="exact"/>
        <w:rPr>
          <w:sz w:val="20"/>
          <w:szCs w:val="20"/>
          <w:color w:val="auto"/>
        </w:rPr>
      </w:pPr>
    </w:p>
    <w:p>
      <w:pPr>
        <w:ind w:left="380" w:right="300" w:hanging="331"/>
        <w:spacing w:after="0" w:line="210" w:lineRule="auto"/>
        <w:tabs>
          <w:tab w:leader="none" w:pos="38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Represents the company's share of amortization of acquisition-related intangible assets at its unconsolidated affiliates, as well as the minority interest share of amortization of acquisition-related intangible assets at its subsidiaries in which it holds a controlling financial interest.</w:t>
      </w:r>
    </w:p>
    <w:p>
      <w:pPr>
        <w:spacing w:after="0" w:line="50" w:lineRule="exact"/>
        <w:rPr>
          <w:sz w:val="20"/>
          <w:szCs w:val="20"/>
          <w:color w:val="auto"/>
        </w:rPr>
      </w:pPr>
    </w:p>
    <w:p>
      <w:pPr>
        <w:ind w:left="380" w:right="60" w:hanging="331"/>
        <w:spacing w:after="0" w:line="210"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 tax impact of adjustments is calculated using a tax rate of 23%, which is expected to approximate the combined company's annual effective tax rate, exclusive of the actual tax impacts associated with the gain on sale of businesses.</w:t>
      </w:r>
    </w:p>
    <w:p>
      <w:pPr>
        <w:spacing w:after="0" w:line="50" w:lineRule="exact"/>
        <w:rPr>
          <w:sz w:val="20"/>
          <w:szCs w:val="20"/>
          <w:color w:val="auto"/>
        </w:rPr>
      </w:pPr>
    </w:p>
    <w:p>
      <w:pPr>
        <w:ind w:left="380" w:right="80" w:hanging="331"/>
        <w:spacing w:after="0" w:line="210"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Represents certain discrete tax items, such as tax effects associated with U.S. federal tax reform and tax impacts from valuation allowance releases and tax reserves.</w:t>
      </w:r>
    </w:p>
    <w:p>
      <w:pPr>
        <w:spacing w:after="0" w:line="50" w:lineRule="exact"/>
        <w:rPr>
          <w:sz w:val="20"/>
          <w:szCs w:val="20"/>
          <w:color w:val="auto"/>
        </w:rPr>
      </w:pPr>
    </w:p>
    <w:p>
      <w:pPr>
        <w:ind w:left="380" w:hanging="331"/>
        <w:spacing w:after="0" w:line="230" w:lineRule="auto"/>
        <w:tabs>
          <w:tab w:leader="none" w:pos="38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GAAP earnings per share is computed by dividing GAAP net income by the weighted-average number of common shares outstanding - diluted during the period. Combined earnings per share is computed by dividing combined net income attributable to Fiserv by the combined weighted average common shares outstanding - diluted during the period. The combined weighted average common shares outstanding - diluted is computed based on the historical Fiserv weighted average shares outstanding - diluted determined in accordance with GAAP, adjusted to include the Fiserv shares issued as merger consideration and shares subject to First Data equity awards assumed by Fiserv in connection with the First Data acquisition for the period.</w:t>
      </w: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FISV-E</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 # #</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sectPr>
      <w:pgSz w:w="11900" w:h="16838" w:orient="portrait"/>
      <w:cols w:equalWidth="0" w:num="1">
        <w:col w:w="11360"/>
      </w:cols>
      <w:pgMar w:left="280" w:top="1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3"/>
      <w:numFmt w:val="bullet"/>
      <w:start w:val="1"/>
    </w:lvl>
  </w:abstractNum>
  <w:abstractNum w:abstractNumId="6">
    <w:nsid w:val="62BBD95A"/>
    <w:multiLevelType w:val="hybridMultilevel"/>
    <w:lvl w:ilvl="0">
      <w:lvlJc w:val="left"/>
      <w:lvlText w:val="4"/>
      <w:numFmt w:val="bullet"/>
      <w:start w:val="1"/>
    </w:lvl>
  </w:abstractNum>
  <w:abstractNum w:abstractNumId="7">
    <w:nsid w:val="436C6125"/>
    <w:multiLevelType w:val="hybridMultilevel"/>
    <w:lvl w:ilvl="0">
      <w:lvlJc w:val="left"/>
      <w:lvlText w:val="5"/>
      <w:numFmt w:val="bullet"/>
      <w:start w:val="1"/>
    </w:lvl>
  </w:abstractNum>
  <w:abstractNum w:abstractNumId="8">
    <w:nsid w:val="628C895D"/>
    <w:multiLevelType w:val="hybridMultilevel"/>
    <w:lvl w:ilvl="0">
      <w:lvlJc w:val="left"/>
      <w:lvlText w:val="6"/>
      <w:numFmt w:val="bullet"/>
      <w:start w:val="1"/>
    </w:lvl>
  </w:abstractNum>
  <w:abstractNum w:abstractNumId="9">
    <w:nsid w:val="333AB105"/>
    <w:multiLevelType w:val="hybridMultilevel"/>
    <w:lvl w:ilvl="0">
      <w:lvlJc w:val="left"/>
      <w:lvlText w:val="7"/>
      <w:numFmt w:val="bullet"/>
      <w:start w:val="1"/>
    </w:lvl>
  </w:abstractNum>
  <w:abstractNum w:abstractNumId="10">
    <w:nsid w:val="721DA317"/>
    <w:multiLevelType w:val="hybridMultilevel"/>
    <w:lvl w:ilvl="0">
      <w:lvlJc w:val="left"/>
      <w:lvlText w:val="8"/>
      <w:numFmt w:val="bullet"/>
      <w:start w:val="1"/>
    </w:lvl>
  </w:abstractNum>
  <w:abstractNum w:abstractNumId="11">
    <w:nsid w:val="2443A858"/>
    <w:multiLevelType w:val="hybridMultilevel"/>
    <w:lvl w:ilvl="0">
      <w:lvlJc w:val="left"/>
      <w:lvlText w:val="9"/>
      <w:numFmt w:val="bullet"/>
      <w:start w:val="1"/>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bullet"/>
      <w:start w:val="1"/>
    </w:lvl>
  </w:abstractNum>
  <w:abstractNum w:abstractNumId="14">
    <w:nsid w:val="75A2A8D4"/>
    <w:multiLevelType w:val="hybridMultilevel"/>
    <w:lvl w:ilvl="0">
      <w:lvlJc w:val="left"/>
      <w:lvlText w:val="2"/>
      <w:numFmt w:val="bullet"/>
      <w:start w:val="1"/>
    </w:lvl>
  </w:abstractNum>
  <w:abstractNum w:abstractNumId="15">
    <w:nsid w:val="8EDBDAB"/>
    <w:multiLevelType w:val="hybridMultilevel"/>
    <w:lvl w:ilvl="0">
      <w:lvlJc w:val="left"/>
      <w:lvlText w:val="3"/>
      <w:numFmt w:val="bullet"/>
      <w:start w:val="1"/>
    </w:lvl>
  </w:abstractNum>
  <w:abstractNum w:abstractNumId="16">
    <w:nsid w:val="79838CB2"/>
    <w:multiLevelType w:val="hybridMultilevel"/>
    <w:lvl w:ilvl="0">
      <w:lvlJc w:val="left"/>
      <w:lvlText w:val="4"/>
      <w:numFmt w:val="bullet"/>
      <w:start w:val="1"/>
    </w:lvl>
  </w:abstractNum>
  <w:abstractNum w:abstractNumId="17">
    <w:nsid w:val="4353D0CD"/>
    <w:multiLevelType w:val="hybridMultilevel"/>
    <w:lvl w:ilvl="0">
      <w:lvlJc w:val="left"/>
      <w:lvlText w:val="5"/>
      <w:numFmt w:val="bullet"/>
      <w:start w:val="1"/>
    </w:lvl>
  </w:abstractNum>
  <w:abstractNum w:abstractNumId="18">
    <w:nsid w:val="B03E0C6"/>
    <w:multiLevelType w:val="hybridMultilevel"/>
    <w:lvl w:ilvl="0">
      <w:lvlJc w:val="left"/>
      <w:lvlText w:val="1"/>
      <w:numFmt w:val="bullet"/>
      <w:start w:val="1"/>
    </w:lvl>
  </w:abstractNum>
  <w:abstractNum w:abstractNumId="19">
    <w:nsid w:val="189A769B"/>
    <w:multiLevelType w:val="hybridMultilevel"/>
    <w:lvl w:ilvl="0">
      <w:lvlJc w:val="left"/>
      <w:lvlText w:val="1"/>
      <w:numFmt w:val="bullet"/>
      <w:start w:val="1"/>
    </w:lvl>
  </w:abstractNum>
  <w:abstractNum w:abstractNumId="20">
    <w:nsid w:val="54E49EB4"/>
    <w:multiLevelType w:val="hybridMultilevel"/>
    <w:lvl w:ilvl="0">
      <w:lvlJc w:val="left"/>
      <w:lvlText w:val="2"/>
      <w:numFmt w:val="bullet"/>
      <w:start w:val="1"/>
    </w:lvl>
  </w:abstractNum>
  <w:abstractNum w:abstractNumId="21">
    <w:nsid w:val="71F32454"/>
    <w:multiLevelType w:val="hybridMultilevel"/>
    <w:lvl w:ilvl="0">
      <w:lvlJc w:val="left"/>
      <w:lvlText w:val="3"/>
      <w:numFmt w:val="bullet"/>
      <w:start w:val="1"/>
    </w:lvl>
  </w:abstractNum>
  <w:abstractNum w:abstractNumId="22">
    <w:nsid w:val="2CA88611"/>
    <w:multiLevelType w:val="hybridMultilevel"/>
    <w:lvl w:ilvl="0">
      <w:lvlJc w:val="left"/>
      <w:lvlText w:val="1"/>
      <w:numFmt w:val="bullet"/>
      <w:start w:val="1"/>
    </w:lvl>
  </w:abstractNum>
  <w:abstractNum w:abstractNumId="23">
    <w:nsid w:val="836C40E"/>
    <w:multiLevelType w:val="hybridMultilevel"/>
    <w:lvl w:ilvl="0">
      <w:lvlJc w:val="left"/>
      <w:lvlText w:val="2"/>
      <w:numFmt w:val="bullet"/>
      <w:start w:val="1"/>
    </w:lvl>
  </w:abstractNum>
  <w:abstractNum w:abstractNumId="24">
    <w:nsid w:val="2901D82"/>
    <w:multiLevelType w:val="hybridMultilevel"/>
    <w:lvl w:ilvl="0">
      <w:lvlJc w:val="left"/>
      <w:lvlText w:val="1"/>
      <w:numFmt w:val="bullet"/>
      <w:start w:val="1"/>
    </w:lvl>
  </w:abstractNum>
  <w:abstractNum w:abstractNumId="25">
    <w:nsid w:val="3A95F874"/>
    <w:multiLevelType w:val="hybridMultilevel"/>
    <w:lvl w:ilvl="0">
      <w:lvlJc w:val="left"/>
      <w:lvlText w:val="2"/>
      <w:numFmt w:val="bullet"/>
      <w:start w:val="1"/>
    </w:lvl>
  </w:abstractNum>
  <w:abstractNum w:abstractNumId="26">
    <w:nsid w:val="8138641"/>
    <w:multiLevelType w:val="hybridMultilevel"/>
    <w:lvl w:ilvl="0">
      <w:lvlJc w:val="left"/>
      <w:lvlText w:val="3"/>
      <w:numFmt w:val="bullet"/>
      <w:start w:val="1"/>
    </w:lvl>
  </w:abstractNum>
  <w:abstractNum w:abstractNumId="27">
    <w:nsid w:val="1E7FF521"/>
    <w:multiLevelType w:val="hybridMultilevel"/>
    <w:lvl w:ilvl="0">
      <w:lvlJc w:val="left"/>
      <w:lvlText w:val="4"/>
      <w:numFmt w:val="bullet"/>
      <w:start w:val="1"/>
    </w:lvl>
  </w:abstractNum>
  <w:abstractNum w:abstractNumId="28">
    <w:nsid w:val="7C3DBD3D"/>
    <w:multiLevelType w:val="hybridMultilevel"/>
    <w:lvl w:ilvl="0">
      <w:lvlJc w:val="left"/>
      <w:lvlText w:val="5"/>
      <w:numFmt w:val="bullet"/>
      <w:start w:val="1"/>
    </w:lvl>
  </w:abstractNum>
  <w:abstractNum w:abstractNumId="29">
    <w:nsid w:val="737B8DDC"/>
    <w:multiLevelType w:val="hybridMultilevel"/>
    <w:lvl w:ilvl="0">
      <w:lvlJc w:val="left"/>
      <w:lvlText w:val="6"/>
      <w:numFmt w:val="bullet"/>
      <w:start w:val="1"/>
    </w:lvl>
  </w:abstractNum>
  <w:abstractNum w:abstractNumId="30">
    <w:nsid w:val="6CEAF087"/>
    <w:multiLevelType w:val="hybridMultilevel"/>
    <w:lvl w:ilvl="0">
      <w:lvlJc w:val="left"/>
      <w:lvlText w:val="7"/>
      <w:numFmt w:val="bullet"/>
      <w:start w:val="1"/>
    </w:lvl>
  </w:abstractNum>
  <w:abstractNum w:abstractNumId="31">
    <w:nsid w:val="22221A70"/>
    <w:multiLevelType w:val="hybridMultilevel"/>
    <w:lvl w:ilvl="0">
      <w:lvlJc w:val="left"/>
      <w:lvlText w:val="8"/>
      <w:numFmt w:val="bullet"/>
      <w:start w:val="1"/>
    </w:lvl>
  </w:abstractNum>
  <w:abstractNum w:abstractNumId="32">
    <w:nsid w:val="4516DDE9"/>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2019-12-28T02:57:32Z</dcterms:created>
  <dcterms:modified xsi:type="dcterms:W3CDTF">2019-12-28T02:57:32Z</dcterms:modified>
</cp:coreProperties>
</file>