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(Amendment No._______)*</w:t>
      </w:r>
    </w:p>
    <w:p>
      <w:pPr>
        <w:spacing w:after="0" w:line="200" w:lineRule="exact"/>
        <w:rPr>
          <w:sz w:val="24"/>
          <w:szCs w:val="24"/>
          <w:color w:val="auto"/>
        </w:rPr>
      </w:pPr>
    </w:p>
    <w:p>
      <w:pPr>
        <w:spacing w:after="0" w:line="37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CHECKFREE HOLDINGS CORPORATION</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(Par Value $0.01)</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162816102</w:t>
      </w:r>
    </w:p>
    <w:p>
      <w:pPr>
        <w:spacing w:after="0" w:line="2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1"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class.)(See Rule 13d-7.)</w:t>
      </w:r>
    </w:p>
    <w:p>
      <w:pPr>
        <w:spacing w:after="0" w:line="90" w:lineRule="exact"/>
        <w:rPr>
          <w:sz w:val="24"/>
          <w:szCs w:val="24"/>
          <w:color w:val="auto"/>
        </w:rPr>
      </w:pPr>
    </w:p>
    <w:p>
      <w:pPr>
        <w:ind w:right="1779" w:firstLine="8"/>
        <w:spacing w:after="0" w:line="274"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95"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6 Pages</w:t>
      </w:r>
    </w:p>
    <w:p>
      <w:pPr>
        <w:sectPr>
          <w:pgSz w:w="11900" w:h="16838" w:orient="portrait"/>
          <w:cols w:equalWidth="0" w:num="1">
            <w:col w:w="10219"/>
          </w:cols>
          <w:pgMar w:left="240" w:top="623"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162816102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Page 2 of 6</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300" w:space="720"/>
            <w:col w:w="4199"/>
          </w:cols>
          <w:pgMar w:left="240" w:top="691" w:right="1440" w:bottom="1440" w:gutter="0" w:footer="0" w:header="0"/>
        </w:sectPr>
      </w:pPr>
    </w:p>
    <w:p>
      <w:pPr>
        <w:spacing w:after="0" w:line="194"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1060" w:right="1879"/>
        <w:spacing w:after="0" w:line="347" w:lineRule="auto"/>
        <w:rPr>
          <w:sz w:val="20"/>
          <w:szCs w:val="20"/>
          <w:color w:val="auto"/>
        </w:rPr>
      </w:pPr>
      <w:r>
        <w:rPr>
          <w:rFonts w:ascii="Courier New" w:cs="Courier New" w:eastAsia="Courier New" w:hAnsi="Courier New"/>
          <w:sz w:val="18"/>
          <w:szCs w:val="18"/>
          <w:color w:val="auto"/>
        </w:rPr>
        <w:t>Brown Investment Advisory &amp; Trust Company ("BIATC"), its wholly owned subsidiary, Brown Advisory Incorporated ("BAI"). 52-1811121</w:t>
      </w:r>
    </w:p>
    <w:p>
      <w:pPr>
        <w:spacing w:after="0" w:line="18"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380" w:hanging="529"/>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420" w:right="2099"/>
        <w:spacing w:after="0" w:line="347" w:lineRule="auto"/>
        <w:rPr>
          <w:sz w:val="20"/>
          <w:szCs w:val="20"/>
          <w:color w:val="auto"/>
        </w:rPr>
      </w:pPr>
      <w:r>
        <w:rPr>
          <w:rFonts w:ascii="Courier New" w:cs="Courier New" w:eastAsia="Courier New" w:hAnsi="Courier New"/>
          <w:sz w:val="18"/>
          <w:szCs w:val="18"/>
          <w:color w:val="auto"/>
        </w:rPr>
        <w:t>Brown Investment Advisory &amp; Trust Company and Brown Advisory Incorporated are Maryland corporations.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00" w:type="dxa"/>
            <w:vAlign w:val="bottom"/>
          </w:tcPr>
          <w:p>
            <w:pPr>
              <w:ind w:left="120"/>
              <w:spacing w:after="0"/>
              <w:rPr>
                <w:sz w:val="20"/>
                <w:szCs w:val="20"/>
                <w:color w:val="auto"/>
              </w:rPr>
            </w:pPr>
            <w:r>
              <w:rPr>
                <w:rFonts w:ascii="Courier New" w:cs="Courier New" w:eastAsia="Courier New" w:hAnsi="Courier New"/>
                <w:sz w:val="18"/>
                <w:szCs w:val="18"/>
                <w:color w:val="auto"/>
              </w:rPr>
              <w:t>5 SOLE</w:t>
            </w:r>
          </w:p>
        </w:tc>
        <w:tc>
          <w:tcPr>
            <w:tcW w:w="2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BIATC</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6,188,895</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BAI</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96"/>
        </w:trPr>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6,188,895</w:t>
            </w: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5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28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BIATC</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BAI</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96"/>
        </w:trPr>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580" w:type="dxa"/>
            <w:vAlign w:val="bottom"/>
          </w:tcPr>
          <w:p>
            <w:pPr>
              <w:spacing w:after="0"/>
              <w:rPr>
                <w:sz w:val="20"/>
                <w:szCs w:val="20"/>
                <w:color w:val="auto"/>
              </w:rPr>
            </w:pPr>
            <w:r>
              <w:rPr>
                <w:rFonts w:ascii="Courier New" w:cs="Courier New" w:eastAsia="Courier New" w:hAnsi="Courier New"/>
                <w:sz w:val="18"/>
                <w:szCs w:val="18"/>
                <w:color w:val="auto"/>
              </w:rPr>
              <w:t>EACH REPORTING</w:t>
            </w:r>
          </w:p>
        </w:tc>
        <w:tc>
          <w:tcPr>
            <w:tcW w:w="28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7 SOLE DISPOSITIVE POWER</w:t>
            </w:r>
          </w:p>
        </w:tc>
        <w:tc>
          <w:tcPr>
            <w:tcW w:w="0" w:type="dxa"/>
            <w:vAlign w:val="bottom"/>
          </w:tcPr>
          <w:p>
            <w:pPr>
              <w:spacing w:after="0"/>
              <w:rPr>
                <w:sz w:val="1"/>
                <w:szCs w:val="1"/>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BIATC</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6,188,895</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BAI</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96"/>
        </w:trPr>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6,188,895</w:t>
            </w: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80" w:type="dxa"/>
            <w:vAlign w:val="bottom"/>
          </w:tcPr>
          <w:p>
            <w:pPr>
              <w:spacing w:after="0"/>
              <w:rPr>
                <w:sz w:val="24"/>
                <w:szCs w:val="24"/>
                <w:color w:val="auto"/>
              </w:rPr>
            </w:pPr>
          </w:p>
        </w:tc>
        <w:tc>
          <w:tcPr>
            <w:tcW w:w="286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6"/>
              </w:rPr>
              <w:t>8 SHARED DISPOSITIVE POWER</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BIATC</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BAI</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96"/>
        </w:trPr>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type w:val="continuous"/>
        </w:sectPr>
      </w:pPr>
    </w:p>
    <w:bookmarkStart w:id="2" w:name="page3"/>
    <w:bookmarkEnd w:id="2"/>
    <w:p>
      <w:pPr>
        <w:spacing w:after="0"/>
        <w:tabs>
          <w:tab w:leader="none" w:pos="6000" w:val="left"/>
        </w:tabs>
        <w:rPr>
          <w:sz w:val="20"/>
          <w:szCs w:val="20"/>
          <w:color w:val="auto"/>
        </w:rPr>
      </w:pPr>
      <w:r>
        <w:rPr>
          <w:rFonts w:ascii="Courier New" w:cs="Courier New" w:eastAsia="Courier New" w:hAnsi="Courier New"/>
          <w:sz w:val="18"/>
          <w:szCs w:val="18"/>
          <w:color w:val="auto"/>
        </w:rPr>
        <w:t>CUSIP No. 162816102</w:t>
      </w:r>
      <w:r>
        <w:rPr>
          <w:sz w:val="20"/>
          <w:szCs w:val="20"/>
          <w:color w:val="auto"/>
        </w:rPr>
        <w:tab/>
      </w:r>
      <w:r>
        <w:rPr>
          <w:rFonts w:ascii="Courier New" w:cs="Courier New" w:eastAsia="Courier New" w:hAnsi="Courier New"/>
          <w:sz w:val="16"/>
          <w:szCs w:val="16"/>
          <w:color w:val="auto"/>
        </w:rPr>
        <w:t>Page 3 of 6</w:t>
      </w:r>
    </w:p>
    <w:p>
      <w:pPr>
        <w:spacing w:after="0" w:line="201" w:lineRule="exact"/>
        <w:rPr>
          <w:sz w:val="20"/>
          <w:szCs w:val="20"/>
          <w:color w:val="auto"/>
        </w:rPr>
      </w:pPr>
    </w:p>
    <w:p>
      <w:pPr>
        <w:ind w:left="1700" w:right="3359" w:hanging="1692"/>
        <w:spacing w:after="0" w:line="257" w:lineRule="auto"/>
        <w:tabs>
          <w:tab w:leader="none" w:pos="54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BIATC 6,188,895 shares</w:t>
      </w:r>
    </w:p>
    <w:tbl>
      <w:tblPr>
        <w:tblLayout w:type="fixed"/>
        <w:tblInd w:w="1700" w:type="dxa"/>
        <w:tblCellMar>
          <w:top w:w="0" w:type="dxa"/>
          <w:left w:w="0" w:type="dxa"/>
          <w:bottom w:w="0" w:type="dxa"/>
          <w:right w:w="0" w:type="dxa"/>
        </w:tblCellMar>
      </w:tblPr>
      <w:tr>
        <w:trPr>
          <w:trHeight w:val="171"/>
        </w:trPr>
        <w:tc>
          <w:tcPr>
            <w:tcW w:w="520" w:type="dxa"/>
            <w:vAlign w:val="bottom"/>
          </w:tcPr>
          <w:p>
            <w:pPr>
              <w:spacing w:after="0" w:line="171" w:lineRule="exact"/>
              <w:rPr>
                <w:sz w:val="20"/>
                <w:szCs w:val="20"/>
                <w:color w:val="auto"/>
              </w:rPr>
            </w:pPr>
            <w:r>
              <w:rPr>
                <w:rFonts w:ascii="Courier New" w:cs="Courier New" w:eastAsia="Courier New" w:hAnsi="Courier New"/>
                <w:sz w:val="18"/>
                <w:szCs w:val="18"/>
                <w:color w:val="auto"/>
              </w:rPr>
              <w:t>BAI</w:t>
            </w:r>
          </w:p>
        </w:tc>
        <w:tc>
          <w:tcPr>
            <w:tcW w:w="12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40"/>
              <w:spacing w:after="0" w:line="171" w:lineRule="exact"/>
              <w:rPr>
                <w:sz w:val="20"/>
                <w:szCs w:val="20"/>
                <w:color w:val="auto"/>
              </w:rPr>
            </w:pPr>
            <w:r>
              <w:rPr>
                <w:rFonts w:ascii="Courier New" w:cs="Courier New" w:eastAsia="Courier New" w:hAnsi="Courier New"/>
                <w:sz w:val="18"/>
                <w:szCs w:val="18"/>
                <w:color w:val="auto"/>
                <w:w w:val="95"/>
              </w:rPr>
              <w:t>shares</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5"/>
              </w:rPr>
              <w:t>shares</w:t>
            </w:r>
          </w:p>
        </w:tc>
        <w:tc>
          <w:tcPr>
            <w:tcW w:w="0" w:type="dxa"/>
            <w:vAlign w:val="bottom"/>
          </w:tcPr>
          <w:p>
            <w:pPr>
              <w:spacing w:after="0"/>
              <w:rPr>
                <w:sz w:val="1"/>
                <w:szCs w:val="1"/>
                <w:color w:val="auto"/>
              </w:rPr>
            </w:pPr>
          </w:p>
        </w:tc>
      </w:tr>
      <w:tr>
        <w:trPr>
          <w:trHeight w:val="296"/>
        </w:trPr>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6,188,895</w:t>
            </w: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520" w:val="left"/>
          <w:tab w:leader="none" w:pos="81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BIATC</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12.1%</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74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96"/>
        </w:trPr>
        <w:tc>
          <w:tcPr>
            <w:tcW w:w="7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12.1%</w:t>
            </w:r>
          </w:p>
        </w:tc>
      </w:tr>
    </w:tbl>
    <w:p>
      <w:pPr>
        <w:spacing w:after="0" w:line="109"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BIATC - BK</w:t>
      </w:r>
    </w:p>
    <w:p>
      <w:pPr>
        <w:spacing w:after="0" w:line="31" w:lineRule="exact"/>
        <w:rPr>
          <w:sz w:val="20"/>
          <w:szCs w:val="20"/>
          <w:color w:val="auto"/>
        </w:rPr>
      </w:pPr>
    </w:p>
    <w:p>
      <w:pPr>
        <w:ind w:left="1700"/>
        <w:spacing w:after="0"/>
        <w:tabs>
          <w:tab w:leader="none" w:pos="2300" w:val="left"/>
        </w:tabs>
        <w:rPr>
          <w:sz w:val="20"/>
          <w:szCs w:val="20"/>
          <w:color w:val="auto"/>
        </w:rPr>
      </w:pPr>
      <w:r>
        <w:rPr>
          <w:rFonts w:ascii="Courier New" w:cs="Courier New" w:eastAsia="Courier New" w:hAnsi="Courier New"/>
          <w:sz w:val="18"/>
          <w:szCs w:val="18"/>
          <w:color w:val="auto"/>
        </w:rPr>
        <w:t>BAI</w:t>
      </w:r>
      <w:r>
        <w:rPr>
          <w:sz w:val="20"/>
          <w:szCs w:val="20"/>
          <w:color w:val="auto"/>
        </w:rPr>
        <w:tab/>
      </w:r>
      <w:r>
        <w:rPr>
          <w:rFonts w:ascii="Courier New" w:cs="Courier New" w:eastAsia="Courier New" w:hAnsi="Courier New"/>
          <w:sz w:val="18"/>
          <w:szCs w:val="18"/>
          <w:color w:val="auto"/>
        </w:rPr>
        <w:t>- IA</w:t>
      </w:r>
    </w:p>
    <w:p>
      <w:pPr>
        <w:spacing w:after="0" w:line="16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tabs>
          <w:tab w:leader="none" w:pos="940" w:val="left"/>
          <w:tab w:leader="none" w:pos="1460" w:val="left"/>
          <w:tab w:leader="none" w:pos="3360" w:val="left"/>
        </w:tabs>
        <w:rPr>
          <w:sz w:val="20"/>
          <w:szCs w:val="20"/>
          <w:color w:val="auto"/>
        </w:rPr>
      </w:pPr>
      <w:r>
        <w:rPr>
          <w:rFonts w:ascii="Courier New" w:cs="Courier New" w:eastAsia="Courier New" w:hAnsi="Courier New"/>
          <w:sz w:val="18"/>
          <w:szCs w:val="18"/>
          <w:color w:val="auto"/>
        </w:rPr>
        <w:t>Item 1.</w:t>
        <w:tab/>
        <w:t>(a)</w:t>
        <w:tab/>
        <w:t>NAME OF ISSUER:</w:t>
      </w:r>
      <w:r>
        <w:rPr>
          <w:sz w:val="20"/>
          <w:szCs w:val="20"/>
          <w:color w:val="auto"/>
        </w:rPr>
        <w:tab/>
      </w:r>
      <w:r>
        <w:rPr>
          <w:rFonts w:ascii="Courier New" w:cs="Courier New" w:eastAsia="Courier New" w:hAnsi="Courier New"/>
          <w:sz w:val="16"/>
          <w:szCs w:val="16"/>
          <w:color w:val="auto"/>
        </w:rPr>
        <w:t>Checkfree Holdings Corporation</w:t>
      </w:r>
    </w:p>
    <w:p>
      <w:pPr>
        <w:spacing w:after="0" w:line="201" w:lineRule="exact"/>
        <w:rPr>
          <w:sz w:val="20"/>
          <w:szCs w:val="20"/>
          <w:color w:val="auto"/>
        </w:rPr>
      </w:pPr>
    </w:p>
    <w:p>
      <w:pPr>
        <w:ind w:left="1480" w:right="3679" w:hanging="524"/>
        <w:spacing w:after="0" w:line="536" w:lineRule="auto"/>
        <w:tabs>
          <w:tab w:leader="none" w:pos="1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4411 East Jones Bridge Road, Norcross, GA 30092</w:t>
      </w:r>
    </w:p>
    <w:p>
      <w:pPr>
        <w:spacing w:after="0" w:line="1" w:lineRule="exact"/>
        <w:rPr>
          <w:sz w:val="20"/>
          <w:szCs w:val="20"/>
          <w:color w:val="auto"/>
        </w:rPr>
      </w:pPr>
    </w:p>
    <w:p>
      <w:pPr>
        <w:spacing w:after="0"/>
        <w:tabs>
          <w:tab w:leader="none" w:pos="940" w:val="left"/>
          <w:tab w:leader="none" w:pos="1460" w:val="left"/>
        </w:tabs>
        <w:rPr>
          <w:sz w:val="20"/>
          <w:szCs w:val="20"/>
          <w:color w:val="auto"/>
        </w:rPr>
      </w:pPr>
      <w:r>
        <w:rPr>
          <w:rFonts w:ascii="Courier New" w:cs="Courier New" w:eastAsia="Courier New" w:hAnsi="Courier New"/>
          <w:sz w:val="18"/>
          <w:szCs w:val="18"/>
          <w:color w:val="auto"/>
        </w:rPr>
        <w:t>Item 2.</w:t>
        <w:tab/>
        <w:t>(a)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480" w:right="2099"/>
        <w:spacing w:after="0" w:line="347" w:lineRule="auto"/>
        <w:rPr>
          <w:sz w:val="20"/>
          <w:szCs w:val="20"/>
          <w:color w:val="auto"/>
        </w:rPr>
      </w:pPr>
      <w:r>
        <w:rPr>
          <w:rFonts w:ascii="Courier New" w:cs="Courier New" w:eastAsia="Courier New" w:hAnsi="Courier New"/>
          <w:sz w:val="18"/>
          <w:szCs w:val="18"/>
          <w:color w:val="auto"/>
        </w:rPr>
        <w:t>Brown Investment Advisory &amp; Trust Company ("BIATC"), its wholly owned subsidiary, Brown Advisory Incorporated ("BAI").</w:t>
      </w:r>
    </w:p>
    <w:p>
      <w:pPr>
        <w:spacing w:after="0" w:line="18" w:lineRule="exact"/>
        <w:rPr>
          <w:sz w:val="20"/>
          <w:szCs w:val="20"/>
          <w:color w:val="auto"/>
        </w:rPr>
      </w:pPr>
    </w:p>
    <w:p>
      <w:pPr>
        <w:ind w:left="1480" w:hanging="524"/>
        <w:spacing w:after="0"/>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1480" w:right="6099"/>
        <w:spacing w:after="0" w:line="40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19 South Street Baltimore, Maryland 21202</w:t>
      </w:r>
    </w:p>
    <w:p>
      <w:pPr>
        <w:ind w:left="1480" w:hanging="524"/>
        <w:spacing w:after="0"/>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480" w:right="241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Brown Investment Advisory &amp; Trust Company and Brown Advisory Incorporated are Maryland corporations.</w:t>
      </w:r>
    </w:p>
    <w:p>
      <w:pPr>
        <w:sectPr>
          <w:pgSz w:w="11900" w:h="16838" w:orient="portrait"/>
          <w:cols w:equalWidth="0" w:num="1">
            <w:col w:w="10219"/>
          </w:cols>
          <w:pgMar w:left="240" w:top="69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162816102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Page 4 of 6</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5300" w:space="720"/>
            <w:col w:w="4199"/>
          </w:cols>
          <w:pgMar w:left="240" w:top="691" w:right="1440" w:bottom="1440" w:gutter="0" w:footer="0" w:header="0"/>
        </w:sectPr>
      </w:pPr>
    </w:p>
    <w:p>
      <w:pPr>
        <w:ind w:left="1480" w:hanging="524"/>
        <w:spacing w:after="0"/>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Common Stock of ($0.01 par) of Checkfree Holdings Corporation</w:t>
      </w:r>
    </w:p>
    <w:p>
      <w:pPr>
        <w:spacing w:after="0" w:line="223" w:lineRule="exact"/>
        <w:rPr>
          <w:rFonts w:ascii="Courier New" w:cs="Courier New" w:eastAsia="Courier New" w:hAnsi="Courier New"/>
          <w:sz w:val="18"/>
          <w:szCs w:val="18"/>
          <w:color w:val="auto"/>
        </w:rPr>
      </w:pPr>
    </w:p>
    <w:p>
      <w:pPr>
        <w:ind w:left="1480" w:right="7359" w:hanging="524"/>
        <w:spacing w:after="0" w:line="536" w:lineRule="auto"/>
        <w:tabs>
          <w:tab w:leader="none" w:pos="1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162816102</w:t>
      </w:r>
    </w:p>
    <w:p>
      <w:pPr>
        <w:spacing w:after="0" w:line="1" w:lineRule="exact"/>
        <w:rPr>
          <w:sz w:val="20"/>
          <w:szCs w:val="20"/>
          <w:color w:val="auto"/>
        </w:rPr>
      </w:pPr>
    </w:p>
    <w:p>
      <w:pPr>
        <w:ind w:left="960" w:right="2199" w:hanging="947"/>
        <w:spacing w:after="0" w:line="347" w:lineRule="auto"/>
        <w:tabs>
          <w:tab w:leader="none" w:pos="940" w:val="left"/>
        </w:tabs>
        <w:rPr>
          <w:sz w:val="20"/>
          <w:szCs w:val="20"/>
          <w:color w:val="auto"/>
        </w:rPr>
      </w:pPr>
      <w:r>
        <w:rPr>
          <w:rFonts w:ascii="Courier New" w:cs="Courier New" w:eastAsia="Courier New" w:hAnsi="Courier New"/>
          <w:sz w:val="18"/>
          <w:szCs w:val="18"/>
          <w:color w:val="auto"/>
        </w:rPr>
        <w:t>Item 3.</w:t>
        <w:tab/>
        <w:t>If this statement is filed pursuant to Rules 13d-1(b), or 13d-2(b), check whether the person filing is a:</w:t>
      </w:r>
    </w:p>
    <w:p>
      <w:pPr>
        <w:spacing w:after="0" w:line="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For BIATC</w:t>
      </w:r>
    </w:p>
    <w:p>
      <w:pPr>
        <w:spacing w:after="0" w:line="201" w:lineRule="exact"/>
        <w:rPr>
          <w:sz w:val="20"/>
          <w:szCs w:val="20"/>
          <w:color w:val="auto"/>
        </w:rPr>
      </w:pPr>
    </w:p>
    <w:p>
      <w:pPr>
        <w:ind w:left="1480" w:right="3579" w:hanging="524"/>
        <w:spacing w:after="0" w:line="476"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 For BAI</w:t>
      </w:r>
    </w:p>
    <w:p>
      <w:pPr>
        <w:spacing w:after="0" w:line="1" w:lineRule="exact"/>
        <w:rPr>
          <w:sz w:val="20"/>
          <w:szCs w:val="20"/>
          <w:color w:val="auto"/>
        </w:rPr>
      </w:pPr>
    </w:p>
    <w:p>
      <w:pPr>
        <w:ind w:left="1900" w:right="2619" w:hanging="944"/>
        <w:spacing w:after="0" w:line="347" w:lineRule="auto"/>
        <w:tabs>
          <w:tab w:leader="none" w:pos="147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480" w:hanging="524"/>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As of December 31, 1998</w:t>
      </w:r>
    </w:p>
    <w:p>
      <w:pPr>
        <w:spacing w:after="0" w:line="200" w:lineRule="exact"/>
        <w:rPr>
          <w:sz w:val="20"/>
          <w:szCs w:val="20"/>
          <w:color w:val="auto"/>
        </w:rPr>
      </w:pPr>
    </w:p>
    <w:tbl>
      <w:tblPr>
        <w:tblLayout w:type="fixed"/>
        <w:tblInd w:w="212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BIATC</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6,188,895</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shares</w:t>
            </w:r>
          </w:p>
        </w:tc>
        <w:tc>
          <w:tcPr>
            <w:tcW w:w="0" w:type="dxa"/>
            <w:vAlign w:val="bottom"/>
          </w:tcPr>
          <w:p>
            <w:pPr>
              <w:spacing w:after="0"/>
              <w:rPr>
                <w:sz w:val="1"/>
                <w:szCs w:val="1"/>
                <w:color w:val="auto"/>
              </w:rPr>
            </w:pPr>
          </w:p>
        </w:tc>
      </w:tr>
      <w:tr>
        <w:trPr>
          <w:trHeight w:val="203"/>
        </w:trPr>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5"/>
              </w:rPr>
              <w:t>shares</w:t>
            </w:r>
          </w:p>
        </w:tc>
        <w:tc>
          <w:tcPr>
            <w:tcW w:w="0" w:type="dxa"/>
            <w:vAlign w:val="bottom"/>
          </w:tcPr>
          <w:p>
            <w:pPr>
              <w:spacing w:after="0"/>
              <w:rPr>
                <w:sz w:val="1"/>
                <w:szCs w:val="1"/>
                <w:color w:val="auto"/>
              </w:rPr>
            </w:pPr>
          </w:p>
        </w:tc>
      </w:tr>
      <w:tr>
        <w:trPr>
          <w:trHeight w:val="296"/>
        </w:trPr>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6,188,895</w:t>
            </w: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480" w:hanging="524"/>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0" w:lineRule="exact"/>
        <w:rPr>
          <w:sz w:val="20"/>
          <w:szCs w:val="20"/>
          <w:color w:val="auto"/>
        </w:rPr>
      </w:pPr>
    </w:p>
    <w:tbl>
      <w:tblPr>
        <w:tblLayout w:type="fixed"/>
        <w:tblInd w:w="212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BIATC</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12.1%</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74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96"/>
        </w:trPr>
        <w:tc>
          <w:tcPr>
            <w:tcW w:w="7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12.1%</w:t>
            </w:r>
          </w:p>
        </w:tc>
      </w:tr>
    </w:tbl>
    <w:p>
      <w:pPr>
        <w:spacing w:after="0" w:line="109" w:lineRule="exact"/>
        <w:rPr>
          <w:sz w:val="20"/>
          <w:szCs w:val="20"/>
          <w:color w:val="auto"/>
        </w:rPr>
      </w:pPr>
    </w:p>
    <w:p>
      <w:pPr>
        <w:ind w:left="1480" w:hanging="524"/>
        <w:spacing w:after="0"/>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0" w:lineRule="exact"/>
        <w:rPr>
          <w:sz w:val="20"/>
          <w:szCs w:val="20"/>
          <w:color w:val="auto"/>
        </w:rPr>
      </w:pPr>
    </w:p>
    <w:tbl>
      <w:tblPr>
        <w:tblLayout w:type="fixed"/>
        <w:tblInd w:w="212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BIATC</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6,188,895</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shares</w:t>
            </w:r>
          </w:p>
        </w:tc>
        <w:tc>
          <w:tcPr>
            <w:tcW w:w="0" w:type="dxa"/>
            <w:vAlign w:val="bottom"/>
          </w:tcPr>
          <w:p>
            <w:pPr>
              <w:spacing w:after="0"/>
              <w:rPr>
                <w:sz w:val="1"/>
                <w:szCs w:val="1"/>
                <w:color w:val="auto"/>
              </w:rPr>
            </w:pPr>
          </w:p>
        </w:tc>
      </w:tr>
      <w:tr>
        <w:trPr>
          <w:trHeight w:val="203"/>
        </w:trPr>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5"/>
              </w:rPr>
              <w:t>shares</w:t>
            </w:r>
          </w:p>
        </w:tc>
        <w:tc>
          <w:tcPr>
            <w:tcW w:w="0" w:type="dxa"/>
            <w:vAlign w:val="bottom"/>
          </w:tcPr>
          <w:p>
            <w:pPr>
              <w:spacing w:after="0"/>
              <w:rPr>
                <w:sz w:val="1"/>
                <w:szCs w:val="1"/>
                <w:color w:val="auto"/>
              </w:rPr>
            </w:pPr>
          </w:p>
        </w:tc>
      </w:tr>
      <w:tr>
        <w:trPr>
          <w:trHeight w:val="296"/>
        </w:trPr>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6,188,895</w:t>
            </w: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162816102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Page 5 of 6</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5300" w:space="720"/>
            <w:col w:w="4199"/>
          </w:cols>
          <w:pgMar w:left="240" w:top="691" w:right="1440" w:bottom="1440" w:gutter="0" w:footer="0" w:header="0"/>
        </w:sectPr>
      </w:pPr>
    </w:p>
    <w:p>
      <w:pPr>
        <w:ind w:left="2120" w:hanging="637"/>
        <w:spacing w:after="0"/>
        <w:tabs>
          <w:tab w:leader="none" w:pos="21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sz w:val="20"/>
          <w:szCs w:val="20"/>
          <w:color w:val="auto"/>
        </w:rPr>
      </w:pPr>
    </w:p>
    <w:tbl>
      <w:tblPr>
        <w:tblLayout w:type="fixed"/>
        <w:tblInd w:w="212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BIATC</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35"/>
        </w:trPr>
        <w:tc>
          <w:tcPr>
            <w:tcW w:w="6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20"/>
                <w:szCs w:val="20"/>
                <w:color w:val="auto"/>
              </w:rPr>
            </w:pPr>
          </w:p>
        </w:tc>
      </w:tr>
    </w:tbl>
    <w:p>
      <w:pPr>
        <w:ind w:left="3900" w:hanging="205"/>
        <w:spacing w:after="0"/>
        <w:tabs>
          <w:tab w:leader="none" w:pos="39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169" w:lineRule="exact"/>
        <w:rPr>
          <w:rFonts w:ascii="Courier New" w:cs="Courier New" w:eastAsia="Courier New" w:hAnsi="Courier New"/>
          <w:sz w:val="18"/>
          <w:szCs w:val="18"/>
          <w:color w:val="auto"/>
        </w:rPr>
      </w:pPr>
    </w:p>
    <w:p>
      <w:pPr>
        <w:ind w:left="2120" w:right="2419" w:hanging="637"/>
        <w:spacing w:after="0" w:line="376" w:lineRule="auto"/>
        <w:tabs>
          <w:tab w:leader="none" w:pos="21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BIATC 6,188,895 shares</w:t>
      </w:r>
    </w:p>
    <w:tbl>
      <w:tblPr>
        <w:tblLayout w:type="fixed"/>
        <w:tblInd w:w="2120" w:type="dxa"/>
        <w:tblCellMar>
          <w:top w:w="0" w:type="dxa"/>
          <w:left w:w="0" w:type="dxa"/>
          <w:bottom w:w="0" w:type="dxa"/>
          <w:right w:w="0" w:type="dxa"/>
        </w:tblCellMar>
      </w:tblPr>
      <w:tr>
        <w:trPr>
          <w:trHeight w:val="171"/>
        </w:trPr>
        <w:tc>
          <w:tcPr>
            <w:tcW w:w="520" w:type="dxa"/>
            <w:vAlign w:val="bottom"/>
          </w:tcPr>
          <w:p>
            <w:pPr>
              <w:spacing w:after="0" w:line="171" w:lineRule="exact"/>
              <w:rPr>
                <w:sz w:val="20"/>
                <w:szCs w:val="20"/>
                <w:color w:val="auto"/>
              </w:rPr>
            </w:pPr>
            <w:r>
              <w:rPr>
                <w:rFonts w:ascii="Courier New" w:cs="Courier New" w:eastAsia="Courier New" w:hAnsi="Courier New"/>
                <w:sz w:val="18"/>
                <w:szCs w:val="18"/>
                <w:color w:val="auto"/>
              </w:rPr>
              <w:t>BAI</w:t>
            </w:r>
          </w:p>
        </w:tc>
        <w:tc>
          <w:tcPr>
            <w:tcW w:w="12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40"/>
              <w:spacing w:after="0" w:line="171" w:lineRule="exact"/>
              <w:rPr>
                <w:sz w:val="20"/>
                <w:szCs w:val="20"/>
                <w:color w:val="auto"/>
              </w:rPr>
            </w:pPr>
            <w:r>
              <w:rPr>
                <w:rFonts w:ascii="Courier New" w:cs="Courier New" w:eastAsia="Courier New" w:hAnsi="Courier New"/>
                <w:sz w:val="18"/>
                <w:szCs w:val="18"/>
                <w:color w:val="auto"/>
                <w:w w:val="95"/>
              </w:rPr>
              <w:t>shares</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5"/>
              </w:rPr>
              <w:t>shares</w:t>
            </w:r>
          </w:p>
        </w:tc>
        <w:tc>
          <w:tcPr>
            <w:tcW w:w="0" w:type="dxa"/>
            <w:vAlign w:val="bottom"/>
          </w:tcPr>
          <w:p>
            <w:pPr>
              <w:spacing w:after="0"/>
              <w:rPr>
                <w:sz w:val="1"/>
                <w:szCs w:val="1"/>
                <w:color w:val="auto"/>
              </w:rPr>
            </w:pPr>
          </w:p>
        </w:tc>
      </w:tr>
      <w:tr>
        <w:trPr>
          <w:trHeight w:val="296"/>
        </w:trPr>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6,188,895</w:t>
            </w: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120" w:hanging="637"/>
        <w:spacing w:after="0"/>
        <w:tabs>
          <w:tab w:leader="none" w:pos="21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tbl>
      <w:tblPr>
        <w:tblLayout w:type="fixed"/>
        <w:tblInd w:w="212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BIATC</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shares</w:t>
            </w:r>
          </w:p>
        </w:tc>
        <w:tc>
          <w:tcPr>
            <w:tcW w:w="0" w:type="dxa"/>
            <w:vAlign w:val="bottom"/>
          </w:tcPr>
          <w:p>
            <w:pPr>
              <w:spacing w:after="0"/>
              <w:rPr>
                <w:sz w:val="1"/>
                <w:szCs w:val="1"/>
                <w:color w:val="auto"/>
              </w:rPr>
            </w:pPr>
          </w:p>
        </w:tc>
      </w:tr>
      <w:tr>
        <w:trPr>
          <w:trHeight w:val="203"/>
        </w:trPr>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5"/>
              </w:rPr>
              <w:t>shares</w:t>
            </w:r>
          </w:p>
        </w:tc>
        <w:tc>
          <w:tcPr>
            <w:tcW w:w="0" w:type="dxa"/>
            <w:vAlign w:val="bottom"/>
          </w:tcPr>
          <w:p>
            <w:pPr>
              <w:spacing w:after="0"/>
              <w:rPr>
                <w:sz w:val="1"/>
                <w:szCs w:val="1"/>
                <w:color w:val="auto"/>
              </w:rPr>
            </w:pPr>
          </w:p>
        </w:tc>
      </w:tr>
      <w:tr>
        <w:trPr>
          <w:trHeight w:val="296"/>
        </w:trPr>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960" w:right="1879" w:hanging="947"/>
        <w:spacing w:after="0" w:line="347"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691"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CUSIP No. 162816102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Page 6 of 6</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5300" w:space="720"/>
            <w:col w:w="4199"/>
          </w:cols>
          <w:pgMar w:left="240" w:top="691"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Item 10. CERTIFICATION.</w:t>
      </w:r>
    </w:p>
    <w:p>
      <w:pPr>
        <w:sectPr>
          <w:pgSz w:w="11900" w:h="16838" w:orient="portrait"/>
          <w:cols w:equalWidth="0" w:num="1">
            <w:col w:w="10219"/>
          </w:cols>
          <w:pgMar w:left="240" w:top="691"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740" w:right="187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9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740" w:right="20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As of December 31, 1998</w:t>
      </w:r>
    </w:p>
    <w:p>
      <w:pPr>
        <w:spacing w:after="0" w:line="201"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Signature:</w:t>
        <w:tab/>
        <w:t>Brown Investment Advisory &amp; Trust Company</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By: /S/ Gregg W. Hawes</w:t>
      </w:r>
    </w:p>
    <w:p>
      <w:pPr>
        <w:spacing w:after="0" w:line="201" w:lineRule="exact"/>
        <w:rPr>
          <w:sz w:val="20"/>
          <w:szCs w:val="20"/>
          <w:color w:val="auto"/>
        </w:rPr>
      </w:pPr>
    </w:p>
    <w:p>
      <w:pPr>
        <w:ind w:left="740"/>
        <w:spacing w:after="0"/>
        <w:tabs>
          <w:tab w:leader="none" w:pos="1560" w:val="left"/>
        </w:tabs>
        <w:rPr>
          <w:sz w:val="20"/>
          <w:szCs w:val="20"/>
          <w:color w:val="auto"/>
        </w:rPr>
      </w:pPr>
      <w:r>
        <w:rPr>
          <w:rFonts w:ascii="Courier New" w:cs="Courier New" w:eastAsia="Courier New" w:hAnsi="Courier New"/>
          <w:sz w:val="18"/>
          <w:szCs w:val="18"/>
          <w:color w:val="auto"/>
        </w:rPr>
        <w:t>Title:</w:t>
        <w:tab/>
        <w:t>Principal</w:t>
      </w:r>
    </w:p>
    <w:p>
      <w:pPr>
        <w:spacing w:after="0" w:line="201"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Signature:</w:t>
        <w:tab/>
        <w:t>Brown Advisory Incorporated</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By: /S/ Gregg W. Hawes</w:t>
      </w:r>
    </w:p>
    <w:p>
      <w:pPr>
        <w:spacing w:after="0" w:line="201" w:lineRule="exact"/>
        <w:rPr>
          <w:sz w:val="20"/>
          <w:szCs w:val="20"/>
          <w:color w:val="auto"/>
        </w:rPr>
      </w:pPr>
    </w:p>
    <w:p>
      <w:pPr>
        <w:ind w:left="740"/>
        <w:spacing w:after="0"/>
        <w:tabs>
          <w:tab w:leader="none" w:pos="1560" w:val="left"/>
        </w:tabs>
        <w:rPr>
          <w:sz w:val="20"/>
          <w:szCs w:val="20"/>
          <w:color w:val="auto"/>
        </w:rPr>
      </w:pPr>
      <w:r>
        <w:rPr>
          <w:rFonts w:ascii="Courier New" w:cs="Courier New" w:eastAsia="Courier New" w:hAnsi="Courier New"/>
          <w:sz w:val="18"/>
          <w:szCs w:val="18"/>
          <w:color w:val="auto"/>
        </w:rPr>
        <w:t>Title:</w:t>
        <w:tab/>
        <w:t>Principal</w:t>
      </w:r>
    </w:p>
    <w:sectPr>
      <w:pgSz w:w="11900" w:h="16838" w:orient="portrait"/>
      <w:cols w:equalWidth="0" w:num="1">
        <w:col w:w="10219"/>
      </w:cols>
      <w:pgMar w:left="240" w:top="6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2"/>
    </w:lvl>
    <w:lvl w:ilvl="1">
      <w:lvlJc w:val="left"/>
      <w:lvlText w:val="(%2)"/>
      <w:numFmt w:val="lowerLetter"/>
      <w:start w:val="1"/>
    </w:lvl>
  </w:abstractNum>
  <w:abstractNum w:abstractNumId="3">
    <w:nsid w:val="216231B"/>
    <w:multiLevelType w:val="hybridMultilevel"/>
    <w:lvl w:ilvl="0">
      <w:lvlJc w:val="left"/>
      <w:lvlText w:val="%1."/>
      <w:numFmt w:val="decimal"/>
      <w:start w:val="9"/>
    </w:lvl>
  </w:abstractNum>
  <w:abstractNum w:abstractNumId="4">
    <w:nsid w:val="1F16E9E8"/>
    <w:multiLevelType w:val="hybridMultilevel"/>
    <w:lvl w:ilvl="0">
      <w:lvlJc w:val="left"/>
      <w:lvlText w:val="%1."/>
      <w:numFmt w:val="decimal"/>
      <w:start w:val="11"/>
    </w:lvl>
  </w:abstractNum>
  <w:abstractNum w:abstractNumId="5">
    <w:nsid w:val="1190CDE7"/>
    <w:multiLevelType w:val="hybridMultilevel"/>
    <w:lvl w:ilvl="0">
      <w:lvlJc w:val="left"/>
      <w:lvlText w:val="%1."/>
      <w:numFmt w:val="decimal"/>
      <w:start w:val="12"/>
    </w:lvl>
  </w:abstractNum>
  <w:abstractNum w:abstractNumId="6">
    <w:nsid w:val="66EF438D"/>
    <w:multiLevelType w:val="hybridMultilevel"/>
    <w:lvl w:ilvl="0">
      <w:lvlJc w:val="left"/>
      <w:lvlText w:val="(%1)"/>
      <w:numFmt w:val="lowerLetter"/>
      <w:start w:val="2"/>
    </w:lvl>
  </w:abstractNum>
  <w:abstractNum w:abstractNumId="7">
    <w:nsid w:val="140E0F76"/>
    <w:multiLevelType w:val="hybridMultilevel"/>
    <w:lvl w:ilvl="0">
      <w:lvlJc w:val="left"/>
      <w:lvlText w:val="(%1)"/>
      <w:numFmt w:val="lowerLetter"/>
      <w:start w:val="2"/>
    </w:lvl>
  </w:abstractNum>
  <w:abstractNum w:abstractNumId="8">
    <w:nsid w:val="3352255A"/>
    <w:multiLevelType w:val="hybridMultilevel"/>
    <w:lvl w:ilvl="0">
      <w:lvlJc w:val="left"/>
      <w:lvlText w:val="(%1)"/>
      <w:numFmt w:val="lowerLetter"/>
      <w:start w:val="4"/>
    </w:lvl>
  </w:abstractNum>
  <w:abstractNum w:abstractNumId="9">
    <w:nsid w:val="109CF92E"/>
    <w:multiLevelType w:val="hybridMultilevel"/>
    <w:lvl w:ilvl="0">
      <w:lvlJc w:val="left"/>
      <w:lvlText w:val="(%1)"/>
      <w:numFmt w:val="lowerLetter"/>
      <w:start w:val="2"/>
    </w:lvl>
  </w:abstractNum>
  <w:abstractNum w:abstractNumId="10">
    <w:nsid w:val="DED7263"/>
    <w:multiLevelType w:val="hybridMultilevel"/>
    <w:lvl w:ilvl="0">
      <w:lvlJc w:val="left"/>
      <w:lvlText w:val="(%1)"/>
      <w:numFmt w:val="lowerLetter"/>
      <w:start w:val="5"/>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1)"/>
      <w:numFmt w:val="lowerLetter"/>
      <w:start w:val="3"/>
    </w:lvl>
    <w:lvl w:ilvl="1">
      <w:lvlJc w:val="left"/>
      <w:lvlText w:val="(%2)"/>
      <w:numFmt w:val="lowerLetter"/>
      <w:start w:val="9"/>
    </w:lvl>
  </w:abstractNum>
  <w:abstractNum w:abstractNumId="14">
    <w:nsid w:val="6B68079A"/>
    <w:multiLevelType w:val="hybridMultilevel"/>
    <w:lvl w:ilvl="0">
      <w:lvlJc w:val="left"/>
      <w:lvlText w:val="(%1)"/>
      <w:numFmt w:val="lowerRoman"/>
      <w:start w:val="2"/>
    </w:lvl>
  </w:abstractNum>
  <w:abstractNum w:abstractNumId="15">
    <w:nsid w:val="4E6AFB66"/>
    <w:multiLevelType w:val="hybridMultilevel"/>
    <w:lvl w:ilvl="0">
      <w:lvlJc w:val="left"/>
      <w:lvlText w:val="(%1)"/>
      <w:numFmt w:val="lowerRoman"/>
      <w:start w:val="2"/>
    </w:lvl>
    <w:lvl w:ilvl="1">
      <w:lvlJc w:val="left"/>
      <w:lvlText w:val="0"/>
      <w:numFmt w:val="bullet"/>
      <w:start w:val="1"/>
    </w:lvl>
  </w:abstractNum>
  <w:abstractNum w:abstractNumId="16">
    <w:nsid w:val="25E45D3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2020-02-22T10:38:14Z</dcterms:created>
  <dcterms:modified xsi:type="dcterms:W3CDTF">2020-02-22T10:38:14Z</dcterms:modified>
</cp:coreProperties>
</file>