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163195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113665</wp:posOffset>
            </wp:positionV>
            <wp:extent cx="2168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21"/>
          <w:szCs w:val="21"/>
          <w:b w:val="1"/>
          <w:bCs w:val="1"/>
          <w:color w:val="auto"/>
        </w:rPr>
        <w:t>of report (Date of earliest event reported):</w:t>
      </w:r>
    </w:p>
    <w:p>
      <w:pPr>
        <w:spacing w:after="0" w:line="1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February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184785</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175895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780" w:type="dxa"/>
        <w:tblCellMar>
          <w:top w:w="0" w:type="dxa"/>
          <w:left w:w="0" w:type="dxa"/>
          <w:bottom w:w="0" w:type="dxa"/>
          <w:right w:w="0" w:type="dxa"/>
        </w:tblCellMar>
      </w:tblPr>
      <w:tr>
        <w:trPr>
          <w:trHeight w:val="227"/>
        </w:trPr>
        <w:tc>
          <w:tcPr>
            <w:tcW w:w="234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4360" w:type="dxa"/>
            <w:vAlign w:val="bottom"/>
            <w:gridSpan w:val="2"/>
          </w:tcPr>
          <w:p>
            <w:pPr>
              <w:jc w:val="center"/>
              <w:ind w:left="516"/>
              <w:spacing w:after="0"/>
              <w:rPr>
                <w:sz w:val="20"/>
                <w:szCs w:val="20"/>
                <w:color w:val="auto"/>
              </w:rPr>
            </w:pPr>
            <w:r>
              <w:rPr>
                <w:rFonts w:ascii="Times New Roman" w:cs="Times New Roman" w:eastAsia="Times New Roman" w:hAnsi="Times New Roman"/>
                <w:sz w:val="18"/>
                <w:szCs w:val="18"/>
                <w:b w:val="1"/>
                <w:bCs w:val="1"/>
                <w:color w:val="auto"/>
                <w:w w:val="99"/>
              </w:rPr>
              <w:t>1-38962</w:t>
            </w:r>
          </w:p>
        </w:tc>
        <w:tc>
          <w:tcPr>
            <w:tcW w:w="760" w:type="dxa"/>
            <w:vAlign w:val="bottom"/>
          </w:tcPr>
          <w:p>
            <w:pPr>
              <w:spacing w:after="0"/>
              <w:rPr>
                <w:sz w:val="19"/>
                <w:szCs w:val="19"/>
                <w:color w:val="auto"/>
              </w:rPr>
            </w:pPr>
          </w:p>
        </w:tc>
        <w:tc>
          <w:tcPr>
            <w:tcW w:w="1880" w:type="dxa"/>
            <w:vAlign w:val="bottom"/>
          </w:tcPr>
          <w:p>
            <w:pPr>
              <w:jc w:val="center"/>
              <w:ind w:left="662"/>
              <w:spacing w:after="0"/>
              <w:rPr>
                <w:sz w:val="20"/>
                <w:szCs w:val="20"/>
                <w:color w:val="auto"/>
              </w:rPr>
            </w:pPr>
            <w:r>
              <w:rPr>
                <w:rFonts w:ascii="Times New Roman" w:cs="Times New Roman" w:eastAsia="Times New Roman" w:hAnsi="Times New Roman"/>
                <w:sz w:val="18"/>
                <w:szCs w:val="18"/>
                <w:b w:val="1"/>
                <w:bCs w:val="1"/>
                <w:color w:val="auto"/>
                <w:w w:val="98"/>
              </w:rPr>
              <w:t>39-1506125</w:t>
            </w:r>
          </w:p>
        </w:tc>
      </w:tr>
      <w:tr>
        <w:trPr>
          <w:trHeight w:val="149"/>
        </w:trPr>
        <w:tc>
          <w:tcPr>
            <w:tcW w:w="2340" w:type="dxa"/>
            <w:vAlign w:val="bottom"/>
          </w:tcPr>
          <w:p>
            <w:pPr>
              <w:jc w:val="center"/>
              <w:ind w:right="5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660" w:type="dxa"/>
            <w:vAlign w:val="bottom"/>
          </w:tcPr>
          <w:p>
            <w:pPr>
              <w:spacing w:after="0"/>
              <w:rPr>
                <w:sz w:val="12"/>
                <w:szCs w:val="12"/>
                <w:color w:val="auto"/>
              </w:rPr>
            </w:pPr>
          </w:p>
        </w:tc>
        <w:tc>
          <w:tcPr>
            <w:tcW w:w="44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80" w:type="dxa"/>
            <w:vAlign w:val="bottom"/>
          </w:tcPr>
          <w:p>
            <w:pPr>
              <w:jc w:val="center"/>
              <w:ind w:left="6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340" w:type="dxa"/>
            <w:vAlign w:val="bottom"/>
          </w:tcPr>
          <w:p>
            <w:pPr>
              <w:jc w:val="center"/>
              <w:ind w:right="5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660" w:type="dxa"/>
            <w:vAlign w:val="bottom"/>
          </w:tcPr>
          <w:p>
            <w:pPr>
              <w:spacing w:after="0"/>
              <w:rPr>
                <w:sz w:val="16"/>
                <w:szCs w:val="16"/>
                <w:color w:val="auto"/>
              </w:rPr>
            </w:pPr>
          </w:p>
        </w:tc>
        <w:tc>
          <w:tcPr>
            <w:tcW w:w="44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80" w:type="dxa"/>
            <w:vAlign w:val="bottom"/>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2"/>
        </w:trPr>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255 Fiserv Drive, Brookfield, Wisconsin 53045</w:t>
            </w:r>
          </w:p>
        </w:tc>
        <w:tc>
          <w:tcPr>
            <w:tcW w:w="1880" w:type="dxa"/>
            <w:vAlign w:val="bottom"/>
          </w:tcPr>
          <w:p>
            <w:pPr>
              <w:spacing w:after="0"/>
              <w:rPr>
                <w:sz w:val="24"/>
                <w:szCs w:val="24"/>
                <w:color w:val="auto"/>
              </w:rPr>
            </w:pPr>
          </w:p>
        </w:tc>
      </w:tr>
      <w:tr>
        <w:trPr>
          <w:trHeight w:val="190"/>
        </w:trPr>
        <w:tc>
          <w:tcPr>
            <w:tcW w:w="2340" w:type="dxa"/>
            <w:vAlign w:val="bottom"/>
          </w:tcPr>
          <w:p>
            <w:pPr>
              <w:spacing w:after="0"/>
              <w:rPr>
                <w:sz w:val="16"/>
                <w:szCs w:val="16"/>
                <w:color w:val="auto"/>
              </w:rPr>
            </w:pPr>
          </w:p>
        </w:tc>
        <w:tc>
          <w:tcPr>
            <w:tcW w:w="5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80" w:type="dxa"/>
            <w:vAlign w:val="bottom"/>
          </w:tcPr>
          <w:p>
            <w:pPr>
              <w:spacing w:after="0"/>
              <w:rPr>
                <w:sz w:val="16"/>
                <w:szCs w:val="16"/>
                <w:color w:val="auto"/>
              </w:rPr>
            </w:pPr>
          </w:p>
        </w:tc>
      </w:tr>
      <w:tr>
        <w:trPr>
          <w:trHeight w:val="417"/>
        </w:trPr>
        <w:tc>
          <w:tcPr>
            <w:tcW w:w="2340" w:type="dxa"/>
            <w:vAlign w:val="bottom"/>
          </w:tcPr>
          <w:p>
            <w:pPr>
              <w:spacing w:after="0"/>
              <w:rPr>
                <w:sz w:val="24"/>
                <w:szCs w:val="24"/>
                <w:color w:val="auto"/>
              </w:rPr>
            </w:pPr>
          </w:p>
        </w:tc>
        <w:tc>
          <w:tcPr>
            <w:tcW w:w="4360" w:type="dxa"/>
            <w:vAlign w:val="bottom"/>
            <w:gridSpan w:val="2"/>
          </w:tcPr>
          <w:p>
            <w:pPr>
              <w:jc w:val="center"/>
              <w:ind w:left="556"/>
              <w:spacing w:after="0"/>
              <w:rPr>
                <w:sz w:val="20"/>
                <w:szCs w:val="20"/>
                <w:color w:val="auto"/>
              </w:rPr>
            </w:pPr>
            <w:r>
              <w:rPr>
                <w:rFonts w:ascii="Times New Roman" w:cs="Times New Roman" w:eastAsia="Times New Roman" w:hAnsi="Times New Roman"/>
                <w:sz w:val="18"/>
                <w:szCs w:val="18"/>
                <w:b w:val="1"/>
                <w:bCs w:val="1"/>
                <w:color w:val="auto"/>
                <w:w w:val="99"/>
              </w:rPr>
              <w:t>(262) 879-5000</w:t>
            </w: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0"/>
        </w:trPr>
        <w:tc>
          <w:tcPr>
            <w:tcW w:w="2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80" w:type="dxa"/>
            <w:vAlign w:val="bottom"/>
          </w:tcPr>
          <w:p>
            <w:pPr>
              <w:spacing w:after="0"/>
              <w:rPr>
                <w:sz w:val="16"/>
                <w:szCs w:val="16"/>
                <w:color w:val="auto"/>
              </w:rPr>
            </w:pPr>
          </w:p>
        </w:tc>
      </w:tr>
      <w:tr>
        <w:trPr>
          <w:trHeight w:val="266"/>
        </w:trPr>
        <w:tc>
          <w:tcPr>
            <w:tcW w:w="2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700" w:type="dxa"/>
            <w:vAlign w:val="bottom"/>
            <w:tcBorders>
              <w:bottom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880" w:type="dxa"/>
            <w:vAlign w:val="bottom"/>
          </w:tcPr>
          <w:p>
            <w:pPr>
              <w:spacing w:after="0"/>
              <w:rPr>
                <w:sz w:val="23"/>
                <w:szCs w:val="23"/>
                <w:color w:val="auto"/>
              </w:rPr>
            </w:pPr>
          </w:p>
        </w:tc>
      </w:tr>
    </w:tbl>
    <w:p>
      <w:pPr>
        <w:spacing w:after="0" w:line="29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02"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0.375% Senior Notes due 2023</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9"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99695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65405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sectPr>
      </w:pPr>
    </w:p>
    <w:bookmarkStart w:id="2" w:name="page3"/>
    <w:bookmarkEnd w:id="2"/>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7, 2023, Fiserv, Inc. issued a press release announcing its financial results for the quarter and year ended December 31, 2022. A copy of the press release is attached as Exhibit 99.1 to this Current Report on Form 8-K and is incorporated by reference herein.</w:t>
      </w:r>
    </w:p>
    <w:p>
      <w:pPr>
        <w:spacing w:after="0" w:line="32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0" w:type="dxa"/>
            <w:vAlign w:val="bottom"/>
          </w:tcPr>
          <w:p>
            <w:pPr>
              <w:spacing w:after="0"/>
              <w:rPr>
                <w:sz w:val="24"/>
                <w:szCs w:val="24"/>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spacing w:after="0"/>
              <w:rPr>
                <w:sz w:val="24"/>
                <w:szCs w:val="24"/>
                <w:color w:val="auto"/>
              </w:rPr>
            </w:pPr>
          </w:p>
        </w:tc>
        <w:tc>
          <w:tcPr>
            <w:tcW w:w="8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Fiserv, Inc., dated February 7, 2023 (furnished pursuant to Item 2.02 of this Current Report on Form 8-K)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1"/>
                <w:szCs w:val="21"/>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FISERV, INC.</w:t>
            </w: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7, 2023</w:t>
            </w:r>
          </w:p>
        </w:tc>
        <w:tc>
          <w:tcPr>
            <w:tcW w:w="26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87" w:right="35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19685</wp:posOffset>
            </wp:positionV>
            <wp:extent cx="1320165" cy="8312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62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940" w:type="dxa"/>
            <w:vAlign w:val="bottom"/>
          </w:tcPr>
          <w:p>
            <w:pPr>
              <w:spacing w:after="0"/>
              <w:rPr>
                <w:sz w:val="20"/>
                <w:szCs w:val="20"/>
                <w:color w:val="auto"/>
              </w:rPr>
            </w:pPr>
          </w:p>
        </w:tc>
      </w:tr>
      <w:tr>
        <w:trPr>
          <w:trHeight w:val="320"/>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194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r>
      <w:tr>
        <w:trPr>
          <w:trHeight w:val="211"/>
        </w:trPr>
        <w:tc>
          <w:tcPr>
            <w:tcW w:w="562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1940" w:type="dxa"/>
            <w:vAlign w:val="bottom"/>
          </w:tcPr>
          <w:p>
            <w:pPr>
              <w:spacing w:after="0"/>
              <w:rPr>
                <w:sz w:val="20"/>
                <w:szCs w:val="20"/>
                <w:color w:val="auto"/>
              </w:rPr>
            </w:pPr>
            <w:r>
              <w:rPr>
                <w:rFonts w:ascii="Arial" w:cs="Arial" w:eastAsia="Arial" w:hAnsi="Arial"/>
                <w:sz w:val="18"/>
                <w:szCs w:val="18"/>
                <w:color w:val="auto"/>
              </w:rPr>
              <w:t>Julie Chariell</w:t>
            </w:r>
          </w:p>
        </w:tc>
      </w:tr>
      <w:tr>
        <w:trPr>
          <w:trHeight w:val="208"/>
        </w:trPr>
        <w:tc>
          <w:tcPr>
            <w:tcW w:w="5620" w:type="dxa"/>
            <w:vAlign w:val="bottom"/>
            <w:gridSpan w:val="2"/>
          </w:tcPr>
          <w:p>
            <w:pPr>
              <w:spacing w:after="0"/>
              <w:rPr>
                <w:sz w:val="20"/>
                <w:szCs w:val="20"/>
                <w:color w:val="auto"/>
              </w:rPr>
            </w:pPr>
            <w:r>
              <w:rPr>
                <w:rFonts w:ascii="Arial" w:cs="Arial" w:eastAsia="Arial" w:hAnsi="Arial"/>
                <w:sz w:val="18"/>
                <w:szCs w:val="18"/>
                <w:color w:val="auto"/>
              </w:rPr>
              <w:t>Corporate Communications</w:t>
            </w:r>
          </w:p>
        </w:tc>
        <w:tc>
          <w:tcPr>
            <w:tcW w:w="1940" w:type="dxa"/>
            <w:vAlign w:val="bottom"/>
          </w:tcPr>
          <w:p>
            <w:pPr>
              <w:spacing w:after="0"/>
              <w:rPr>
                <w:sz w:val="20"/>
                <w:szCs w:val="20"/>
                <w:color w:val="auto"/>
              </w:rPr>
            </w:pPr>
            <w:r>
              <w:rPr>
                <w:rFonts w:ascii="Arial" w:cs="Arial" w:eastAsia="Arial" w:hAnsi="Arial"/>
                <w:sz w:val="18"/>
                <w:szCs w:val="18"/>
                <w:color w:val="auto"/>
              </w:rPr>
              <w:t>Investor Relations</w:t>
            </w: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1940" w:type="dxa"/>
            <w:vAlign w:val="bottom"/>
          </w:tcPr>
          <w:p>
            <w:pPr>
              <w:spacing w:after="0" w:line="202" w:lineRule="exact"/>
              <w:rPr>
                <w:sz w:val="20"/>
                <w:szCs w:val="20"/>
                <w:color w:val="auto"/>
              </w:rPr>
            </w:pPr>
            <w:r>
              <w:rPr>
                <w:rFonts w:ascii="Arial" w:cs="Arial" w:eastAsia="Arial" w:hAnsi="Arial"/>
                <w:sz w:val="18"/>
                <w:szCs w:val="18"/>
                <w:color w:val="auto"/>
              </w:rPr>
              <w:t>Fiserv, Inc.</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414-526-3107</w:t>
            </w:r>
          </w:p>
        </w:tc>
        <w:tc>
          <w:tcPr>
            <w:tcW w:w="37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212-515-0278</w:t>
            </w:r>
          </w:p>
        </w:tc>
      </w:tr>
      <w:tr>
        <w:trPr>
          <w:trHeight w:val="201"/>
        </w:trPr>
        <w:tc>
          <w:tcPr>
            <w:tcW w:w="1880" w:type="dxa"/>
            <w:vAlign w:val="bottom"/>
            <w:tcBorders>
              <w:bottom w:val="single" w:sz="8" w:color="0000FF"/>
            </w:tcBorders>
          </w:tcPr>
          <w:p>
            <w:pPr>
              <w:spacing w:after="0" w:line="175" w:lineRule="exact"/>
              <w:rPr>
                <w:sz w:val="20"/>
                <w:szCs w:val="20"/>
                <w:color w:val="auto"/>
              </w:rPr>
            </w:pPr>
            <w:r>
              <w:rPr>
                <w:rFonts w:ascii="Arial" w:cs="Arial" w:eastAsia="Arial" w:hAnsi="Arial"/>
                <w:sz w:val="18"/>
                <w:szCs w:val="18"/>
                <w:color w:val="0000FF"/>
                <w:w w:val="98"/>
              </w:rPr>
              <w:t>britt.zarling@fiserv.com</w:t>
            </w:r>
          </w:p>
        </w:tc>
        <w:tc>
          <w:tcPr>
            <w:tcW w:w="3740" w:type="dxa"/>
            <w:vAlign w:val="bottom"/>
          </w:tcPr>
          <w:p>
            <w:pPr>
              <w:spacing w:after="0"/>
              <w:rPr>
                <w:sz w:val="17"/>
                <w:szCs w:val="17"/>
                <w:color w:val="auto"/>
              </w:rPr>
            </w:pPr>
          </w:p>
        </w:tc>
        <w:tc>
          <w:tcPr>
            <w:tcW w:w="1940" w:type="dxa"/>
            <w:vAlign w:val="bottom"/>
            <w:tcBorders>
              <w:bottom w:val="single" w:sz="8" w:color="0000FF"/>
            </w:tcBorders>
          </w:tcPr>
          <w:p>
            <w:pPr>
              <w:spacing w:after="0" w:line="175" w:lineRule="exact"/>
              <w:rPr>
                <w:sz w:val="20"/>
                <w:szCs w:val="20"/>
                <w:color w:val="auto"/>
              </w:rPr>
            </w:pPr>
            <w:r>
              <w:rPr>
                <w:rFonts w:ascii="Arial" w:cs="Arial" w:eastAsia="Arial" w:hAnsi="Arial"/>
                <w:sz w:val="18"/>
                <w:szCs w:val="18"/>
                <w:color w:val="0000FF"/>
                <w:w w:val="98"/>
              </w:rPr>
              <w:t>julie.chariell@fiserv.com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Fiserv Reports Fourth Quarter and Full Year 2022 Results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revenue growth of 9% both in the quarter and for the full year;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EPS increased 146% in the quarter and 96% for the full year;</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Organic revenue growth of 12% in the quarter and 11% for the full year;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Adjusted EPS increased 22% in the quarter and 16% for the full year;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expects 2023 organic revenue growth of 7% to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 adjusted EPS of $7.25 to $7.40, or growth of 12% to 14%</w:t>
      </w:r>
    </w:p>
    <w:p>
      <w:pPr>
        <w:spacing w:after="0" w:line="263" w:lineRule="exact"/>
        <w:rPr>
          <w:sz w:val="20"/>
          <w:szCs w:val="20"/>
          <w:color w:val="auto"/>
        </w:rPr>
      </w:pPr>
    </w:p>
    <w:p>
      <w:pPr>
        <w:ind w:right="420"/>
        <w:spacing w:after="0" w:line="302" w:lineRule="auto"/>
        <w:rPr>
          <w:sz w:val="20"/>
          <w:szCs w:val="20"/>
          <w:color w:val="auto"/>
        </w:rPr>
      </w:pPr>
      <w:r>
        <w:rPr>
          <w:rFonts w:ascii="Arial" w:cs="Arial" w:eastAsia="Arial" w:hAnsi="Arial"/>
          <w:sz w:val="20"/>
          <w:szCs w:val="20"/>
          <w:b w:val="1"/>
          <w:bCs w:val="1"/>
          <w:color w:val="auto"/>
        </w:rPr>
        <w:t xml:space="preserve">BROOKFIELD, Wis., February 7, 2023 </w:t>
      </w:r>
      <w:r>
        <w:rPr>
          <w:rFonts w:ascii="Arial" w:cs="Arial" w:eastAsia="Arial" w:hAnsi="Arial"/>
          <w:sz w:val="20"/>
          <w:szCs w:val="20"/>
          <w:color w:val="auto"/>
        </w:rPr>
        <w:t>– Fiserv, Inc. (NASDAQ: FISV), a leading global provider of payments and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technology solutions, today reported financial results for the fourth quarter and full year 2022.</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2022 GAAP Results</w:t>
      </w:r>
    </w:p>
    <w:p>
      <w:pPr>
        <w:spacing w:after="0" w:line="43"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GAAP revenue for the company increased 9% to $4.63 billion in the fourth quarter of 2022 compared to the prior year period, with 9% growth in the Acceptance segment, 7% growth in the Fintech segment and 8% growth in the Payments segment. GAAP revenue for the company increased 9% to $17.74 billion for the full year 2022 compared to the prior year, with 13% growth in the Acceptance segment, 5% growth in the Fintech segment and 7% growth in the Payments segment. GAAP revenue for the fourth quarter and full year 2022 was unfavorably impacted by foreign currency fluctuations.</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GAAP earnings per share was $1.23 in the fourth quarter and $3.91 for the full year 2022, an increase of 146% and 96%, respectively, compared to the prior year periods. The fourth quarter and full year 2022 included lower merger and integration costs compared to the prior year periods. GAAP operating margin was 25.5% and 21.1% in the fourth quarter and full year 2022, respectively, compared to 12.5% and 14.1% in the fourth quarter and full year 2021, respectively. Net cash provided by operating activities was $4.62 billion for the full year 2022 compared to $4.03 billion in the prior year.</w:t>
      </w:r>
    </w:p>
    <w:p>
      <w:pPr>
        <w:sectPr>
          <w:pgSz w:w="11900" w:h="16838" w:orient="portrait"/>
          <w:cols w:equalWidth="0" w:num="1">
            <w:col w:w="11240"/>
          </w:cols>
          <w:pgMar w:left="320" w:top="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58" w:right="3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300"/>
        <w:spacing w:after="0" w:line="278" w:lineRule="auto"/>
        <w:rPr>
          <w:sz w:val="20"/>
          <w:szCs w:val="20"/>
          <w:color w:val="auto"/>
        </w:rPr>
      </w:pPr>
      <w:r>
        <w:rPr>
          <w:rFonts w:ascii="Arial" w:cs="Arial" w:eastAsia="Arial" w:hAnsi="Arial"/>
          <w:sz w:val="20"/>
          <w:szCs w:val="20"/>
          <w:color w:val="auto"/>
        </w:rPr>
        <w:t>“Fiserv posted a second consecutive year of double-digit organic revenue growth, outpacing expectations and demonstrating market leadership in a challenging environment,” said Frank Bisignano, Chairman, President and Chief Executive Officer of Fiserv. “Our ability to drive strong growth and margin improvement in a shifting economy is a testament to our commitment to clients, cost discipline and dedicated workforce.”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2022 Non-GAAP Results and Additional Information</w:t>
      </w:r>
    </w:p>
    <w:p>
      <w:pPr>
        <w:spacing w:after="0" w:line="43" w:lineRule="exact"/>
        <w:rPr>
          <w:sz w:val="20"/>
          <w:szCs w:val="20"/>
          <w:color w:val="auto"/>
        </w:rPr>
      </w:pPr>
    </w:p>
    <w:p>
      <w:pPr>
        <w:ind w:left="340" w:right="40" w:hanging="332"/>
        <w:spacing w:after="0" w:line="262"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revenue increased 8% to $4.36 billion in the fourth quarter and 9% to $16.77 billion for the full year 2022 compared to the prior year periods.</w:t>
      </w:r>
    </w:p>
    <w:p>
      <w:pPr>
        <w:ind w:left="34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Organic revenue growth was 12% in the fourth quarter of 2022, led by 16% growth in the Acceptance segment, 8% growth in the Fintech segment and 10% growth in the Payments segment.</w:t>
      </w:r>
    </w:p>
    <w:p>
      <w:pPr>
        <w:spacing w:after="0" w:line="1" w:lineRule="exact"/>
        <w:rPr>
          <w:rFonts w:ascii="Arial" w:cs="Arial" w:eastAsia="Arial" w:hAnsi="Arial"/>
          <w:sz w:val="20"/>
          <w:szCs w:val="20"/>
          <w:color w:val="auto"/>
        </w:rPr>
      </w:pPr>
    </w:p>
    <w:p>
      <w:pPr>
        <w:ind w:left="340" w:right="32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Organic revenue growth was 11% for the full year 2022, led by 17% growth in the Acceptance segment, 5% growth in the Fintech segment and 9% growth in the Payments segment.</w:t>
      </w:r>
    </w:p>
    <w:p>
      <w:pPr>
        <w:spacing w:after="0" w:line="1" w:lineRule="exact"/>
        <w:rPr>
          <w:rFonts w:ascii="Arial" w:cs="Arial" w:eastAsia="Arial" w:hAnsi="Arial"/>
          <w:sz w:val="20"/>
          <w:szCs w:val="20"/>
          <w:color w:val="auto"/>
        </w:rPr>
      </w:pPr>
    </w:p>
    <w:p>
      <w:pPr>
        <w:ind w:left="340" w:right="10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earnings per share increased 22% to $1.91 in the fourth quarter and 16% to $6.49 for the full year 2022 compared to the prior year periods.</w:t>
      </w:r>
    </w:p>
    <w:p>
      <w:pPr>
        <w:spacing w:after="0" w:line="1" w:lineRule="exact"/>
        <w:rPr>
          <w:rFonts w:ascii="Arial" w:cs="Arial" w:eastAsia="Arial" w:hAnsi="Arial"/>
          <w:sz w:val="20"/>
          <w:szCs w:val="20"/>
          <w:color w:val="auto"/>
        </w:rPr>
      </w:pPr>
    </w:p>
    <w:p>
      <w:pPr>
        <w:ind w:left="340" w:right="260" w:hanging="332"/>
        <w:spacing w:after="0" w:line="274"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margin increased 360 basis points to 39.2% in the fourth quarter and 120 basis points to 35.1% for the full year 2022 compared to the prior year periods.</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Free cash flow was $3.52 billion for the full year 2022 compared to $3.53 billion in the prior year.</w:t>
      </w:r>
    </w:p>
    <w:p>
      <w:pPr>
        <w:spacing w:after="0" w:line="26" w:lineRule="exact"/>
        <w:rPr>
          <w:rFonts w:ascii="Arial" w:cs="Arial" w:eastAsia="Arial" w:hAnsi="Arial"/>
          <w:sz w:val="20"/>
          <w:szCs w:val="20"/>
          <w:color w:val="auto"/>
        </w:rPr>
      </w:pPr>
    </w:p>
    <w:p>
      <w:pPr>
        <w:ind w:left="340" w:right="140" w:hanging="332"/>
        <w:spacing w:after="0" w:line="26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repurchased 7.6 million shares of common stock for $750 million in the fourth quarter and 25.4 million shares of common stock for $2.5 billion in the full year 2022.</w:t>
      </w:r>
    </w:p>
    <w:p>
      <w:pPr>
        <w:spacing w:after="0" w:line="1" w:lineRule="exact"/>
        <w:rPr>
          <w:rFonts w:ascii="Arial" w:cs="Arial" w:eastAsia="Arial" w:hAnsi="Arial"/>
          <w:sz w:val="20"/>
          <w:szCs w:val="20"/>
          <w:color w:val="auto"/>
        </w:rPr>
      </w:pPr>
    </w:p>
    <w:p>
      <w:pPr>
        <w:ind w:left="340" w:right="480" w:hanging="332"/>
        <w:spacing w:after="0" w:line="267"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In December 2022, the company acquired Merchant One, Inc., an independent sales organization focused on acquiring merchants in the restaurant, retail and e-commerce industries using an innovative mix of direct and digital marketing strategies.</w:t>
      </w:r>
    </w:p>
    <w:p>
      <w:pPr>
        <w:spacing w:after="0" w:line="1" w:lineRule="exact"/>
        <w:rPr>
          <w:rFonts w:ascii="Arial" w:cs="Arial" w:eastAsia="Arial" w:hAnsi="Arial"/>
          <w:sz w:val="20"/>
          <w:szCs w:val="20"/>
          <w:b w:val="1"/>
          <w:bCs w:val="1"/>
          <w:color w:val="auto"/>
        </w:rPr>
      </w:pPr>
    </w:p>
    <w:p>
      <w:pPr>
        <w:ind w:left="340" w:right="440" w:hanging="332"/>
        <w:spacing w:after="0" w:line="237"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In February 2023, Fiserv was named one of </w:t>
      </w:r>
      <w:r>
        <w:rPr>
          <w:rFonts w:ascii="Arial" w:cs="Arial" w:eastAsia="Arial" w:hAnsi="Arial"/>
          <w:sz w:val="20"/>
          <w:szCs w:val="20"/>
          <w:i w:val="1"/>
          <w:iCs w:val="1"/>
          <w:color w:val="auto"/>
        </w:rPr>
        <w:t>Fortune</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a recognition received by the company for 12 of the past 15 years.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2023</w:t>
      </w:r>
    </w:p>
    <w:p>
      <w:pPr>
        <w:spacing w:after="0" w:line="43" w:lineRule="exact"/>
        <w:rPr>
          <w:sz w:val="20"/>
          <w:szCs w:val="20"/>
          <w:color w:val="auto"/>
        </w:rPr>
      </w:pPr>
    </w:p>
    <w:p>
      <w:pPr>
        <w:ind w:right="180"/>
        <w:spacing w:after="0" w:line="284" w:lineRule="auto"/>
        <w:rPr>
          <w:sz w:val="20"/>
          <w:szCs w:val="20"/>
          <w:color w:val="auto"/>
        </w:rPr>
      </w:pPr>
      <w:r>
        <w:rPr>
          <w:rFonts w:ascii="Arial" w:cs="Arial" w:eastAsia="Arial" w:hAnsi="Arial"/>
          <w:sz w:val="20"/>
          <w:szCs w:val="20"/>
          <w:color w:val="auto"/>
        </w:rPr>
        <w:t>Fiserv expects organic revenue growth of 7% to 9% and adjusted earnings per share of $7.25 to $7.40, representing growth of 12% to 14%, for 2023.</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“Heading into an uncertain 2023, we remain confident in our role as a strategic provider and partner in the banking and payments ecosystem. We look forward to continuing to deliver market-leading products and services with quality, reliability and value,” said Bisignano. “Recent client wins, high recurring revenue and our focus on productivity position us well for our 38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consecutive year of double-digit adjusted earnings per share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325"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43"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 xml:space="preserve">The company will discuss its fourth quarter and full year 2022 results in a live webcast at 7 a.m. CT on Tuesday, February 7, 2023. The webcast, along with supplemental financial information, can be accessed on the investor relations section of the Fiserv website at </w:t>
      </w:r>
      <w:r>
        <w:rPr>
          <w:rFonts w:ascii="Arial" w:cs="Arial" w:eastAsia="Arial" w:hAnsi="Arial"/>
          <w:sz w:val="19"/>
          <w:szCs w:val="19"/>
          <w:u w:val="single" w:color="auto"/>
          <w:color w:val="0000FF"/>
        </w:rPr>
        <w:t>investors.fiserv.com</w:t>
      </w:r>
      <w:r>
        <w:rPr>
          <w:rFonts w:ascii="Arial" w:cs="Arial" w:eastAsia="Arial" w:hAnsi="Arial"/>
          <w:sz w:val="19"/>
          <w:szCs w:val="19"/>
          <w:color w:val="auto"/>
        </w:rPr>
        <w:t>. A replay will be available approximately one hour after the conclusion of the live webcast.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cloud-based point-of-sale and business management platform.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one of </w:t>
      </w:r>
      <w:r>
        <w:rPr>
          <w:rFonts w:ascii="Arial" w:cs="Arial" w:eastAsia="Arial" w:hAnsi="Arial"/>
          <w:sz w:val="20"/>
          <w:szCs w:val="20"/>
          <w:i w:val="1"/>
          <w:iCs w:val="1"/>
          <w:color w:val="auto"/>
        </w:rPr>
        <w:t>Fortune</w:t>
      </w:r>
      <w:r>
        <w:rPr>
          <w:rFonts w:ascii="Arial" w:cs="Arial" w:eastAsia="Arial" w:hAnsi="Arial"/>
          <w:sz w:val="25"/>
          <w:szCs w:val="25"/>
          <w:i w:val="1"/>
          <w:iCs w:val="1"/>
          <w:color w:val="auto"/>
          <w:vertAlign w:val="superscript"/>
        </w:rPr>
        <w:t>®</w:t>
      </w:r>
      <w:r>
        <w:rPr>
          <w:rFonts w:ascii="Arial" w:cs="Arial" w:eastAsia="Arial" w:hAnsi="Arial"/>
          <w:sz w:val="20"/>
          <w:szCs w:val="20"/>
          <w:color w:val="auto"/>
        </w:rPr>
        <w:t xml:space="preserve"> World’s Most Admired Companies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Visit </w:t>
      </w:r>
      <w:r>
        <w:rPr>
          <w:rFonts w:ascii="Arial" w:cs="Arial" w:eastAsia="Arial" w:hAnsi="Arial"/>
          <w:sz w:val="20"/>
          <w:szCs w:val="20"/>
          <w:u w:val="single" w:color="auto"/>
          <w:color w:val="0000FF"/>
        </w:rPr>
        <w:t>fiserv.com</w:t>
      </w:r>
      <w:r>
        <w:rPr>
          <w:rFonts w:ascii="Arial" w:cs="Arial" w:eastAsia="Arial" w:hAnsi="Arial"/>
          <w:sz w:val="20"/>
          <w:szCs w:val="20"/>
          <w:color w:val="0000FF"/>
        </w:rPr>
        <w:t xml:space="preserve"> </w:t>
      </w:r>
      <w:r>
        <w:rPr>
          <w:rFonts w:ascii="Arial" w:cs="Arial" w:eastAsia="Arial" w:hAnsi="Arial"/>
          <w:sz w:val="20"/>
          <w:szCs w:val="20"/>
          <w:color w:val="000000"/>
        </w:rPr>
        <w:t>and follow on social media for more information and the latest company news.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20"/>
          <w:szCs w:val="20"/>
          <w:color w:val="auto"/>
        </w:rPr>
        <w:t>In this news release, the company supplements its reporting of information determined in accordance with generally accepted accounting principles (“GAAP”), such as revenue, operating income, operating margin, net income attributable to Fiserv, earnings per share and net cash provided by operating activities, with “adjusted revenue,” “adjusted revenue growth,” “organic revenue,” “organic revenue growth,” “adjusted operating income,” “adjusted operating margin,” “adjusted net income,” “adjusted earnings per share,” “adjusted earnings per share growth,”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15 for additional information regarding the company’s forward-looking non-GAAP financial measures.</w:t>
      </w:r>
    </w:p>
    <w:p>
      <w:pPr>
        <w:spacing w:after="0" w:line="132" w:lineRule="exact"/>
        <w:rPr>
          <w:sz w:val="20"/>
          <w:szCs w:val="20"/>
          <w:color w:val="auto"/>
        </w:rPr>
      </w:pPr>
    </w:p>
    <w:p>
      <w:pPr>
        <w:ind w:right="120"/>
        <w:spacing w:after="0" w:line="276" w:lineRule="auto"/>
        <w:rPr>
          <w:sz w:val="20"/>
          <w:szCs w:val="20"/>
          <w:color w:val="auto"/>
        </w:rPr>
      </w:pPr>
      <w:r>
        <w:rPr>
          <w:rFonts w:ascii="Arial" w:cs="Arial" w:eastAsia="Arial" w:hAnsi="Arial"/>
          <w:sz w:val="20"/>
          <w:szCs w:val="20"/>
          <w:color w:val="auto"/>
        </w:rPr>
        <w:t>Examples of non-cash or other items may include, but are not limited to, non-cash intangible asset amortization expense associated with acquisitions; non-cash impairment charges; restructuring costs; severance costs; net charges associated with debt financing activities; merger and integration costs; gains or losses from the sale of businesses, certain assets or investments; certain discrete tax benefits and expenses; and non-cash deferred revenue adjustments arising from acquisitions. The company excludes these items to more clearly focus on the factors management believes are pertinent to the company’s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325"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300" w:lineRule="auto"/>
        <w:rPr>
          <w:sz w:val="20"/>
          <w:szCs w:val="20"/>
          <w:color w:val="auto"/>
        </w:rPr>
      </w:pPr>
      <w:r>
        <w:rPr>
          <w:rFonts w:ascii="Arial" w:cs="Arial" w:eastAsia="Arial" w:hAnsi="Arial"/>
          <w:sz w:val="20"/>
          <w:szCs w:val="20"/>
          <w:color w:val="auto"/>
        </w:rPr>
        <w:t>management uses this information to make operating decisions, including the allocation of resources to the company’s various businesses.</w:t>
      </w:r>
    </w:p>
    <w:p>
      <w:pPr>
        <w:spacing w:after="0" w:line="100"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26"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Management believes organic revenue growth is useful because it presents adjusted revenue growth excluding the impact of foreign currency fluctuations, acquisitions, dispositions and the company’s Output Solutions postage reimbursements and including deferred revenue purchase accounting adjustments.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39" w:lineRule="exact"/>
        <w:rPr>
          <w:sz w:val="20"/>
          <w:szCs w:val="20"/>
          <w:color w:val="auto"/>
        </w:rPr>
      </w:pPr>
    </w:p>
    <w:p>
      <w:pPr>
        <w:ind w:right="340"/>
        <w:spacing w:after="0" w:line="278" w:lineRule="auto"/>
        <w:rPr>
          <w:sz w:val="20"/>
          <w:szCs w:val="20"/>
          <w:color w:val="auto"/>
        </w:rPr>
      </w:pPr>
      <w:r>
        <w:rPr>
          <w:rFonts w:ascii="Arial" w:cs="Arial" w:eastAsia="Arial" w:hAnsi="Arial"/>
          <w:sz w:val="20"/>
          <w:szCs w:val="20"/>
          <w:color w:val="auto"/>
        </w:rPr>
        <w:t>These unaudited non-GAAP measures may not be comparable to similarly titled measures reported by other companies and should be considered in addition to, and not as a substitute for, revenue, operating income, operating margin, net income attributable to Fiserv, earnings per share and net cash provided by operating activities or any other amount determined in accordance with GAAP.</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43" w:lineRule="exact"/>
        <w:rPr>
          <w:sz w:val="20"/>
          <w:szCs w:val="20"/>
          <w:color w:val="auto"/>
        </w:rPr>
      </w:pPr>
    </w:p>
    <w:p>
      <w:pPr>
        <w:ind w:right="260"/>
        <w:spacing w:after="0" w:line="289"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organic revenue growth, adjusted earnings per share, adjusted earnings per share growth and other statements regarding our future financial performance.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325" w:right="359" w:bottom="1440" w:gutter="0" w:footer="0" w:header="0"/>
        </w:sectPr>
      </w:pPr>
    </w:p>
    <w:bookmarkStart w:id="8" w:name="page9"/>
    <w:bookmarkEnd w:id="8"/>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70" w:lineRule="auto"/>
        <w:rPr>
          <w:sz w:val="20"/>
          <w:szCs w:val="20"/>
          <w:color w:val="auto"/>
        </w:rPr>
      </w:pPr>
      <w:r>
        <w:rPr>
          <w:rFonts w:ascii="Arial" w:cs="Arial" w:eastAsia="Arial" w:hAnsi="Arial"/>
          <w:sz w:val="20"/>
          <w:szCs w:val="20"/>
          <w:i w:val="1"/>
          <w:iCs w:val="1"/>
          <w:color w:val="auto"/>
        </w:rPr>
        <w:t>success of the company’s merchant alliances, some of which are not controlled by the company; the continuing impact of the COVID-19 pandemic on the company’s employees, clients, vendors, supply chain, operations and sales; the impact of a security breach or operational failure on the company’s business, including disruptions caused by other participants in the global financial system; losses due to chargebacks, refunds or returns as a result of fraud or the failure of the company’s vendors and merchants to satisfy their obligations; changes in local, regional, national and international economic or political conditions, including those resulting from heightened inflation, rising interest rates, a recession, or intensified international hostilities, and the impact they may have on the company and its customers;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strategic initiatives; the company’s ability to attract and retain key personnel; volatility and disruptions in financial markets that may impact the company’s ability to access preferred sources of financing and the terms on which the company is able to obtain financing or increase its costs of borrowing; adverse impacts from currency exchange rates or currency controls; changes in corporate tax and interest rates; and other factors included in “Risk Factors” in the company’s Annual Report on Form 10-K for the year ended December 31, 2021, and in other documents that the company files with the Securities and Exchange Commission,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325" w:right="359" w:bottom="1440" w:gutter="0" w:footer="0" w:header="0"/>
        </w:sectPr>
      </w:pPr>
    </w:p>
    <w:bookmarkStart w:id="9" w:name="page10"/>
    <w:bookmarkEnd w:id="9"/>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165735</wp:posOffset>
            </wp:positionV>
            <wp:extent cx="1320165" cy="831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2"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(In millions, except per share amounts, 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Year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6"/>
                <w:szCs w:val="16"/>
                <w:color w:val="auto"/>
              </w:rPr>
              <w:t>December 31,</w:t>
            </w:r>
          </w:p>
        </w:tc>
        <w:tc>
          <w:tcPr>
            <w:tcW w:w="260" w:type="dxa"/>
            <w:vAlign w:val="bottom"/>
          </w:tcPr>
          <w:p>
            <w:pPr>
              <w:spacing w:after="0"/>
              <w:rPr>
                <w:sz w:val="18"/>
                <w:szCs w:val="18"/>
                <w:color w:val="auto"/>
              </w:rPr>
            </w:pPr>
          </w:p>
        </w:tc>
        <w:tc>
          <w:tcPr>
            <w:tcW w:w="2200" w:type="dxa"/>
            <w:vAlign w:val="bottom"/>
            <w:gridSpan w:val="4"/>
          </w:tcPr>
          <w:p>
            <w:pPr>
              <w:jc w:val="right"/>
              <w:ind w:right="6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62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6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3,722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3,485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14,460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13,307</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6"/>
                <w:szCs w:val="16"/>
                <w:color w:val="auto"/>
              </w:rPr>
              <w:t>Product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17,737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16,226</w:t>
            </w:r>
          </w:p>
        </w:tc>
        <w:tc>
          <w:tcPr>
            <w:tcW w:w="0" w:type="dxa"/>
            <w:vAlign w:val="bottom"/>
          </w:tcPr>
          <w:p>
            <w:pPr>
              <w:spacing w:after="0"/>
              <w:rPr>
                <w:sz w:val="1"/>
                <w:szCs w:val="1"/>
                <w:color w:val="auto"/>
              </w:rPr>
            </w:pPr>
          </w:p>
        </w:tc>
      </w:tr>
      <w:tr>
        <w:trPr>
          <w:trHeight w:val="357"/>
        </w:trPr>
        <w:tc>
          <w:tcPr>
            <w:tcW w:w="62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5,771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Cost of product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5,810</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6"/>
                <w:szCs w:val="16"/>
                <w:color w:val="auto"/>
              </w:rPr>
              <w:t>Net gain on sale of businesses and other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3,452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13,997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13,938</w:t>
            </w:r>
          </w:p>
        </w:tc>
        <w:tc>
          <w:tcPr>
            <w:tcW w:w="0" w:type="dxa"/>
            <w:vAlign w:val="bottom"/>
          </w:tcPr>
          <w:p>
            <w:pPr>
              <w:spacing w:after="0"/>
              <w:rPr>
                <w:sz w:val="1"/>
                <w:szCs w:val="1"/>
                <w:color w:val="auto"/>
              </w:rPr>
            </w:pPr>
          </w:p>
        </w:tc>
      </w:tr>
      <w:tr>
        <w:trPr>
          <w:trHeight w:val="357"/>
        </w:trPr>
        <w:tc>
          <w:tcPr>
            <w:tcW w:w="62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1,179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6"/>
                <w:szCs w:val="16"/>
                <w:color w:val="auto"/>
              </w:rPr>
              <w:t>Other (expense)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04"/>
        </w:trPr>
        <w:tc>
          <w:tcPr>
            <w:tcW w:w="620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(loss) from investments in</w:t>
            </w: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2,913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6"/>
                <w:szCs w:val="16"/>
                <w:b w:val="1"/>
                <w:bCs w:val="1"/>
                <w:color w:val="auto"/>
              </w:rPr>
              <w:t>unconsolidated affiliates</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6"/>
                <w:szCs w:val="16"/>
                <w:color w:val="auto"/>
              </w:rPr>
              <w:t>Income (loss) from investments in unconsolidated affiliates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57"/>
        </w:trPr>
        <w:tc>
          <w:tcPr>
            <w:tcW w:w="62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2,582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58"/>
        </w:trPr>
        <w:tc>
          <w:tcPr>
            <w:tcW w:w="620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2,530</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0"/>
        </w:trPr>
        <w:tc>
          <w:tcPr>
            <w:tcW w:w="620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638.6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647.9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671.6</w:t>
            </w:r>
          </w:p>
        </w:tc>
        <w:tc>
          <w:tcPr>
            <w:tcW w:w="0" w:type="dxa"/>
            <w:vAlign w:val="bottom"/>
          </w:tcPr>
          <w:p>
            <w:pPr>
              <w:spacing w:after="0"/>
              <w:rPr>
                <w:sz w:val="1"/>
                <w:szCs w:val="1"/>
                <w:color w:val="auto"/>
              </w:rPr>
            </w:pPr>
          </w:p>
        </w:tc>
      </w:tr>
      <w:tr>
        <w:trPr>
          <w:trHeight w:val="370"/>
        </w:trPr>
        <w:tc>
          <w:tcPr>
            <w:tcW w:w="6200" w:type="dxa"/>
            <w:vAlign w:val="bottom"/>
          </w:tcPr>
          <w:p>
            <w:pPr>
              <w:spacing w:after="0"/>
              <w:rPr>
                <w:sz w:val="20"/>
                <w:szCs w:val="20"/>
                <w:color w:val="auto"/>
              </w:rPr>
            </w:pPr>
            <w:r>
              <w:rPr>
                <w:rFonts w:ascii="Arial" w:cs="Arial" w:eastAsia="Arial" w:hAnsi="Arial"/>
                <w:sz w:val="16"/>
                <w:szCs w:val="16"/>
                <w:color w:val="auto"/>
              </w:rPr>
              <w:t>Earnings per share is calculated using actual, unrounded amounts.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00"/>
          </w:cols>
          <w:pgMar w:left="340" w:top="1325"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millions, except per share amounts, unaudited)</w:t>
      </w:r>
    </w:p>
    <w:p>
      <w:pPr>
        <w:spacing w:after="0" w:line="153" w:lineRule="exact"/>
        <w:rPr>
          <w:sz w:val="20"/>
          <w:szCs w:val="20"/>
          <w:color w:val="auto"/>
        </w:rPr>
      </w:pPr>
    </w:p>
    <w:tbl>
      <w:tblPr>
        <w:tblLayout w:type="fixed"/>
        <w:tblInd w:w="6200" w:type="dxa"/>
        <w:tblCellMar>
          <w:top w:w="0" w:type="dxa"/>
          <w:left w:w="0" w:type="dxa"/>
          <w:bottom w:w="0" w:type="dxa"/>
          <w:right w:w="0" w:type="dxa"/>
        </w:tblCellMar>
      </w:tblPr>
      <w:tr>
        <w:trPr>
          <w:trHeight w:val="184"/>
        </w:trPr>
        <w:tc>
          <w:tcPr>
            <w:tcW w:w="2400" w:type="dxa"/>
            <w:vAlign w:val="bottom"/>
            <w:gridSpan w:val="4"/>
          </w:tcPr>
          <w:p>
            <w:pPr>
              <w:ind w:left="400"/>
              <w:spacing w:after="0"/>
              <w:rPr>
                <w:sz w:val="20"/>
                <w:szCs w:val="20"/>
                <w:color w:val="auto"/>
              </w:rPr>
            </w:pPr>
            <w:r>
              <w:rPr>
                <w:rFonts w:ascii="Arial" w:cs="Arial" w:eastAsia="Arial" w:hAnsi="Arial"/>
                <w:sz w:val="16"/>
                <w:szCs w:val="16"/>
                <w:color w:val="auto"/>
              </w:rPr>
              <w:t>Three Months Ended</w:t>
            </w:r>
          </w:p>
        </w:tc>
        <w:tc>
          <w:tcPr>
            <w:tcW w:w="1580" w:type="dxa"/>
            <w:vAlign w:val="bottom"/>
            <w:gridSpan w:val="3"/>
          </w:tcPr>
          <w:p>
            <w:pPr>
              <w:jc w:val="center"/>
              <w:ind w:left="619"/>
              <w:spacing w:after="0"/>
              <w:rPr>
                <w:sz w:val="20"/>
                <w:szCs w:val="20"/>
                <w:color w:val="auto"/>
              </w:rPr>
            </w:pPr>
            <w:r>
              <w:rPr>
                <w:rFonts w:ascii="Arial" w:cs="Arial" w:eastAsia="Arial" w:hAnsi="Arial"/>
                <w:sz w:val="16"/>
                <w:szCs w:val="16"/>
                <w:color w:val="auto"/>
                <w:w w:val="99"/>
              </w:rPr>
              <w:t>Year Ended</w:t>
            </w:r>
          </w:p>
        </w:tc>
        <w:tc>
          <w:tcPr>
            <w:tcW w:w="740" w:type="dxa"/>
            <w:vAlign w:val="bottom"/>
          </w:tcPr>
          <w:p>
            <w:pPr>
              <w:spacing w:after="0"/>
              <w:rPr>
                <w:sz w:val="16"/>
                <w:szCs w:val="16"/>
                <w:color w:val="auto"/>
              </w:rPr>
            </w:pPr>
          </w:p>
        </w:tc>
      </w:tr>
      <w:tr>
        <w:trPr>
          <w:trHeight w:val="215"/>
        </w:trPr>
        <w:tc>
          <w:tcPr>
            <w:tcW w:w="2400" w:type="dxa"/>
            <w:vAlign w:val="bottom"/>
            <w:gridSpan w:val="4"/>
          </w:tcPr>
          <w:p>
            <w:pPr>
              <w:ind w:left="640"/>
              <w:spacing w:after="0"/>
              <w:rPr>
                <w:sz w:val="20"/>
                <w:szCs w:val="20"/>
                <w:color w:val="auto"/>
              </w:rPr>
            </w:pPr>
            <w:r>
              <w:rPr>
                <w:rFonts w:ascii="Arial" w:cs="Arial" w:eastAsia="Arial" w:hAnsi="Arial"/>
                <w:sz w:val="16"/>
                <w:szCs w:val="16"/>
                <w:color w:val="auto"/>
              </w:rPr>
              <w:t>December 31,</w:t>
            </w:r>
          </w:p>
        </w:tc>
        <w:tc>
          <w:tcPr>
            <w:tcW w:w="2320" w:type="dxa"/>
            <w:vAlign w:val="bottom"/>
            <w:gridSpan w:val="4"/>
          </w:tcPr>
          <w:p>
            <w:pPr>
              <w:jc w:val="center"/>
              <w:spacing w:after="0"/>
              <w:rPr>
                <w:sz w:val="20"/>
                <w:szCs w:val="20"/>
                <w:color w:val="auto"/>
              </w:rPr>
            </w:pPr>
            <w:r>
              <w:rPr>
                <w:rFonts w:ascii="Arial" w:cs="Arial" w:eastAsia="Arial" w:hAnsi="Arial"/>
                <w:sz w:val="16"/>
                <w:szCs w:val="16"/>
                <w:color w:val="auto"/>
              </w:rPr>
              <w:t>December 31,</w:t>
            </w:r>
          </w:p>
        </w:tc>
      </w:tr>
      <w:tr>
        <w:trPr>
          <w:trHeight w:val="217"/>
        </w:trPr>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r>
    </w:tbl>
    <w:p>
      <w:pPr>
        <w:spacing w:after="0" w:line="134" w:lineRule="exact"/>
        <w:rPr>
          <w:sz w:val="20"/>
          <w:szCs w:val="20"/>
          <w:color w:val="auto"/>
        </w:rPr>
      </w:pPr>
    </w:p>
    <w:p>
      <w:pPr>
        <w:sectPr>
          <w:pgSz w:w="11900" w:h="16838" w:orient="portrait"/>
          <w:cols w:equalWidth="0" w:num="1">
            <w:col w:w="11020"/>
          </w:cols>
          <w:pgMar w:left="320" w:top="1325" w:right="55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GAAP net income attributable to Fiserv</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p>
      <w:pPr>
        <w:ind w:left="140"/>
        <w:spacing w:after="0"/>
        <w:rPr>
          <w:sz w:val="20"/>
          <w:szCs w:val="20"/>
          <w:color w:val="auto"/>
        </w:rPr>
      </w:pPr>
      <w:r>
        <w:rPr>
          <w:rFonts w:ascii="Arial" w:cs="Arial" w:eastAsia="Arial" w:hAnsi="Arial"/>
          <w:sz w:val="16"/>
          <w:szCs w:val="16"/>
          <w:color w:val="auto"/>
        </w:rPr>
        <w:t>Severance costs</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2</w:t>
      </w:r>
    </w:p>
    <w:p>
      <w:pPr>
        <w:ind w:left="140"/>
        <w:spacing w:after="0" w:line="214" w:lineRule="auto"/>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3</w:t>
      </w:r>
    </w:p>
    <w:p>
      <w:pPr>
        <w:ind w:left="140"/>
        <w:spacing w:after="0" w:line="215" w:lineRule="auto"/>
        <w:rPr>
          <w:sz w:val="20"/>
          <w:szCs w:val="20"/>
          <w:color w:val="auto"/>
        </w:rPr>
      </w:pPr>
      <w:r>
        <w:rPr>
          <w:rFonts w:ascii="Arial" w:cs="Arial" w:eastAsia="Arial" w:hAnsi="Arial"/>
          <w:sz w:val="16"/>
          <w:szCs w:val="16"/>
          <w:color w:val="auto"/>
        </w:rPr>
        <w:t xml:space="preserve">Net gain on sale of businesses and other assets </w:t>
      </w:r>
      <w:r>
        <w:rPr>
          <w:rFonts w:ascii="Arial" w:cs="Arial" w:eastAsia="Arial" w:hAnsi="Arial"/>
          <w:sz w:val="21"/>
          <w:szCs w:val="21"/>
          <w:color w:val="auto"/>
          <w:vertAlign w:val="superscript"/>
        </w:rPr>
        <w:t>4</w:t>
      </w:r>
    </w:p>
    <w:p>
      <w:pPr>
        <w:ind w:left="140"/>
        <w:spacing w:after="0" w:line="215" w:lineRule="auto"/>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5</w:t>
      </w:r>
    </w:p>
    <w:p>
      <w:pPr>
        <w:ind w:left="140"/>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6</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net income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GAAP earnings per share attributable to Fiserv</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 net of income taxes: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p>
      <w:pPr>
        <w:ind w:left="140"/>
        <w:spacing w:after="0"/>
        <w:rPr>
          <w:sz w:val="20"/>
          <w:szCs w:val="20"/>
          <w:color w:val="auto"/>
        </w:rPr>
      </w:pPr>
      <w:r>
        <w:rPr>
          <w:rFonts w:ascii="Arial" w:cs="Arial" w:eastAsia="Arial" w:hAnsi="Arial"/>
          <w:sz w:val="16"/>
          <w:szCs w:val="16"/>
          <w:color w:val="auto"/>
        </w:rPr>
        <w:t>Severance costs</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2</w:t>
      </w:r>
    </w:p>
    <w:p>
      <w:pPr>
        <w:ind w:left="140"/>
        <w:spacing w:after="0" w:line="214" w:lineRule="auto"/>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3</w:t>
      </w:r>
    </w:p>
    <w:p>
      <w:pPr>
        <w:ind w:left="140"/>
        <w:spacing w:after="0" w:line="215" w:lineRule="auto"/>
        <w:rPr>
          <w:sz w:val="20"/>
          <w:szCs w:val="20"/>
          <w:color w:val="auto"/>
        </w:rPr>
      </w:pPr>
      <w:r>
        <w:rPr>
          <w:rFonts w:ascii="Arial" w:cs="Arial" w:eastAsia="Arial" w:hAnsi="Arial"/>
          <w:sz w:val="16"/>
          <w:szCs w:val="16"/>
          <w:color w:val="auto"/>
        </w:rPr>
        <w:t xml:space="preserve">Net gain on sale of businesses and other assets </w:t>
      </w:r>
      <w:r>
        <w:rPr>
          <w:rFonts w:ascii="Arial" w:cs="Arial" w:eastAsia="Arial" w:hAnsi="Arial"/>
          <w:sz w:val="21"/>
          <w:szCs w:val="21"/>
          <w:color w:val="auto"/>
          <w:vertAlign w:val="superscript"/>
        </w:rPr>
        <w:t>4</w:t>
      </w:r>
    </w:p>
    <w:p>
      <w:pPr>
        <w:ind w:left="140"/>
        <w:spacing w:after="0"/>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6</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earnings per share</w:t>
      </w:r>
    </w:p>
    <w:p>
      <w:pPr>
        <w:spacing w:after="0" w:line="178" w:lineRule="exact"/>
        <w:rPr>
          <w:sz w:val="20"/>
          <w:szCs w:val="20"/>
          <w:color w:val="auto"/>
        </w:rPr>
      </w:pPr>
    </w:p>
    <w:p>
      <w:pPr>
        <w:ind w:left="20" w:right="1960"/>
        <w:spacing w:after="0" w:line="321" w:lineRule="auto"/>
        <w:rPr>
          <w:sz w:val="20"/>
          <w:szCs w:val="20"/>
          <w:color w:val="auto"/>
        </w:rPr>
      </w:pPr>
      <w:r>
        <w:rPr>
          <w:rFonts w:ascii="Arial" w:cs="Arial" w:eastAsia="Arial" w:hAnsi="Arial"/>
          <w:sz w:val="16"/>
          <w:szCs w:val="16"/>
          <w:color w:val="auto"/>
        </w:rPr>
        <w:t>GAAP earnings per share attributable to Fiserv growth Adjusted earnings per share growth</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782</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2,530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425"/>
        </w:trPr>
        <w:tc>
          <w:tcPr>
            <w:tcW w:w="36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173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1,814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1,982</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(476)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17"/>
        </w:trPr>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0"/>
        </w:trPr>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4,205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37"/>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3.91</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425"/>
        </w:trPr>
        <w:tc>
          <w:tcPr>
            <w:tcW w:w="36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0.07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0.99</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216"/>
        </w:trPr>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10"/>
        </w:trPr>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1.91</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44"/>
        </w:trPr>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146 %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96 %</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3"/>
        </w:trPr>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22 %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890" w:lineRule="exact"/>
        <w:rPr>
          <w:sz w:val="20"/>
          <w:szCs w:val="20"/>
          <w:color w:val="auto"/>
        </w:rPr>
      </w:pPr>
    </w:p>
    <w:p>
      <w:pPr>
        <w:sectPr>
          <w:pgSz w:w="11900" w:h="16838" w:orient="portrait"/>
          <w:cols w:equalWidth="0" w:num="2">
            <w:col w:w="5880" w:space="320"/>
            <w:col w:w="4820"/>
          </w:cols>
          <w:pgMar w:left="320" w:top="1325" w:right="559" w:bottom="1440" w:gutter="0" w:footer="0" w:header="0"/>
          <w:type w:val="continuous"/>
        </w:sectPr>
      </w:pPr>
    </w:p>
    <w:p>
      <w:pPr>
        <w:spacing w:after="0" w:line="120" w:lineRule="exact"/>
        <w:rPr>
          <w:sz w:val="20"/>
          <w:szCs w:val="20"/>
          <w:color w:val="auto"/>
        </w:rPr>
      </w:pPr>
    </w:p>
    <w:p>
      <w:pPr>
        <w:ind w:left="340" w:hanging="332"/>
        <w:spacing w:after="0" w:line="248" w:lineRule="auto"/>
        <w:tabs>
          <w:tab w:leader="none" w:pos="338"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Represents acquisition and related integration costs incurred in connection with various acquisitions, including those in 2021 related to the First Data acquisition. Merger and integration costs in the fourth quarter and full year 2022 primarily include share-based compensation and third-party professional service fees attributable to various acquisitions. First Data integration costs in the fourth quarter and full year 2021 primarily include $160 million and $370 million, respectively, of third-party professional service fees associated with integration activities; $3 million and $44 million, respectively, of incremental share-based compensation, including the fair value of stock awards assumed by Fiserv; and $124 million and $277 million, respectively, of other integration-related compensation costs. The company completed the integration activities associated with the achievement of cost synergies related to the First Data acquisition as of December 31, 2021.</w:t>
      </w:r>
    </w:p>
    <w:p>
      <w:pPr>
        <w:spacing w:after="0" w:line="90" w:lineRule="exact"/>
        <w:rPr>
          <w:sz w:val="20"/>
          <w:szCs w:val="20"/>
          <w:color w:val="auto"/>
        </w:rPr>
      </w:pPr>
    </w:p>
    <w:p>
      <w:pPr>
        <w:ind w:left="340" w:right="340" w:hanging="332"/>
        <w:spacing w:after="0"/>
        <w:tabs>
          <w:tab w:leader="none" w:pos="338"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financing costs and debt discounts. See additional information on page 14 for an analysis of the company’s amortization expense.</w:t>
      </w:r>
    </w:p>
    <w:p>
      <w:pPr>
        <w:spacing w:after="0" w:line="81" w:lineRule="exact"/>
        <w:rPr>
          <w:sz w:val="20"/>
          <w:szCs w:val="20"/>
          <w:color w:val="auto"/>
        </w:rPr>
      </w:pPr>
    </w:p>
    <w:p>
      <w:pPr>
        <w:ind w:left="340" w:right="220" w:hanging="332"/>
        <w:spacing w:after="0" w:line="283" w:lineRule="auto"/>
        <w:tabs>
          <w:tab w:leader="none" w:pos="338"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the company’s share of amortization of acquisition-related intangible assets and, in 2022, expenses associated with debt refinancing activities at its unconsolidated affiliates, as well as the minority interest share of amortization of acquisition-related intangible assets at its subsidiaries in which the company holds a controlling financial interest. This</w:t>
      </w:r>
    </w:p>
    <w:p>
      <w:pPr>
        <w:sectPr>
          <w:pgSz w:w="11900" w:h="16838" w:orient="portrait"/>
          <w:cols w:equalWidth="0" w:num="1">
            <w:col w:w="11020"/>
          </w:cols>
          <w:pgMar w:left="320" w:top="13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020"/>
          </w:cols>
          <w:pgMar w:left="320" w:top="1325" w:right="559" w:bottom="1440" w:gutter="0" w:footer="0" w:header="0"/>
          <w:type w:val="continuous"/>
        </w:sectPr>
      </w:pPr>
    </w:p>
    <w:bookmarkStart w:id="11" w:name="page12"/>
    <w:bookmarkEnd w:id="11"/>
    <w:p>
      <w:pPr>
        <w:ind w:left="1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32" w:right="100"/>
        <w:spacing w:after="0" w:line="273" w:lineRule="auto"/>
        <w:rPr>
          <w:sz w:val="20"/>
          <w:szCs w:val="20"/>
          <w:color w:val="auto"/>
        </w:rPr>
      </w:pPr>
      <w:r>
        <w:rPr>
          <w:rFonts w:ascii="Arial" w:cs="Arial" w:eastAsia="Arial" w:hAnsi="Arial"/>
          <w:sz w:val="14"/>
          <w:szCs w:val="14"/>
          <w:color w:val="auto"/>
        </w:rPr>
        <w:t>adjustment for the full year 2022 also includes gains totaling $201 million related to certain equity investment transactions and other net expense of $43 million associated with joint venture debt guarantees. This adjustment for the fourth quarter and full year 2021 includes net gains totaling $23 million and $98 million, respectively, related to the fair value remeasurement and sale of certain equity investments.</w:t>
      </w:r>
    </w:p>
    <w:p>
      <w:pPr>
        <w:spacing w:after="0" w:line="72" w:lineRule="exact"/>
        <w:rPr>
          <w:sz w:val="20"/>
          <w:szCs w:val="20"/>
          <w:color w:val="auto"/>
        </w:rPr>
      </w:pPr>
    </w:p>
    <w:p>
      <w:pPr>
        <w:ind w:left="332" w:hanging="332"/>
        <w:spacing w:after="0"/>
        <w:tabs>
          <w:tab w:leader="none" w:pos="33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an aggregate net gain on the sale of Fiserv Costa Rica, S.A. and the company’s Systems Integration Services operations during the fourth quarter of 2022, and on the sale of the company’s Korea operations and certain merchant contracts in conjunction with the mutual termination of one of the company’s merchant alliance joint ventures during 2022.</w:t>
      </w:r>
    </w:p>
    <w:p>
      <w:pPr>
        <w:spacing w:after="0" w:line="81" w:lineRule="exact"/>
        <w:rPr>
          <w:sz w:val="20"/>
          <w:szCs w:val="20"/>
          <w:color w:val="auto"/>
        </w:rPr>
      </w:pPr>
    </w:p>
    <w:p>
      <w:pPr>
        <w:ind w:left="332" w:right="420" w:hanging="332"/>
        <w:spacing w:after="0" w:line="283" w:lineRule="auto"/>
        <w:tabs>
          <w:tab w:leader="none" w:pos="330" w:val="left"/>
        </w:tabs>
        <w:numPr>
          <w:ilvl w:val="0"/>
          <w:numId w:val="7"/>
        </w:numPr>
        <w:rPr>
          <w:rFonts w:ascii="Arial" w:cs="Arial" w:eastAsia="Arial" w:hAnsi="Arial"/>
          <w:sz w:val="9"/>
          <w:szCs w:val="9"/>
          <w:color w:val="auto"/>
        </w:rPr>
      </w:pPr>
      <w:r>
        <w:rPr>
          <w:rFonts w:ascii="Arial" w:cs="Arial" w:eastAsia="Arial" w:hAnsi="Arial"/>
          <w:sz w:val="14"/>
          <w:szCs w:val="14"/>
          <w:color w:val="auto"/>
        </w:rPr>
        <w:t>The tax impact of adjustments is calculated using a tax rate of 21% and 23% for the full year 2022 and 2021, respectively, which approximates the company's annual effective tax rates, exclusive of the $16 million actual tax impacts associated with the net gain on sale of businesses, other assets and certain equity investment transactions during 2022.</w:t>
      </w:r>
    </w:p>
    <w:p>
      <w:pPr>
        <w:spacing w:after="0" w:line="65" w:lineRule="exact"/>
        <w:rPr>
          <w:sz w:val="20"/>
          <w:szCs w:val="20"/>
          <w:color w:val="auto"/>
        </w:rPr>
      </w:pPr>
    </w:p>
    <w:p>
      <w:pPr>
        <w:ind w:left="332" w:right="100" w:hanging="332"/>
        <w:spacing w:after="0" w:line="231" w:lineRule="auto"/>
        <w:tabs>
          <w:tab w:leader="none" w:pos="33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certain discrete tax items, such as foreign derived intangible income tax benefits from a subsidiary restructuring and the revaluation of deferred taxes due to a change in the respective statutory tax rates in the United Kingdom and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12"/>
          </w:cols>
          <w:pgMar w:left="328" w:top="1325" w:right="359" w:bottom="1440" w:gutter="0" w:footer="0" w:header="0"/>
        </w:sectPr>
      </w:pPr>
    </w:p>
    <w:bookmarkStart w:id="12" w:name="page13"/>
    <w:bookmarkEnd w:id="12"/>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1220"/>
          </w:cols>
          <w:pgMar w:left="340" w:top="1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Company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Adjustments:</w:t>
      </w:r>
    </w:p>
    <w:p>
      <w:pPr>
        <w:spacing w:after="0" w:line="32" w:lineRule="exact"/>
        <w:rPr>
          <w:sz w:val="20"/>
          <w:szCs w:val="20"/>
          <w:color w:val="auto"/>
        </w:rPr>
      </w:pPr>
    </w:p>
    <w:p>
      <w:pPr>
        <w:ind w:left="120"/>
        <w:spacing w:after="0" w:line="308" w:lineRule="auto"/>
        <w:rPr>
          <w:sz w:val="20"/>
          <w:szCs w:val="20"/>
          <w:color w:val="auto"/>
        </w:rPr>
      </w:pPr>
      <w:r>
        <w:rPr>
          <w:rFonts w:ascii="Arial" w:cs="Arial" w:eastAsia="Arial" w:hAnsi="Arial"/>
          <w:sz w:val="16"/>
          <w:szCs w:val="16"/>
          <w:color w:val="auto"/>
        </w:rPr>
        <w:t>Output Solutions postage reimbursements Deferred revenue purchase accounting adjustments</w:t>
      </w:r>
    </w:p>
    <w:p>
      <w:pPr>
        <w:spacing w:after="0"/>
        <w:rPr>
          <w:sz w:val="20"/>
          <w:szCs w:val="20"/>
          <w:color w:val="auto"/>
        </w:rPr>
      </w:pPr>
      <w:r>
        <w:rPr>
          <w:rFonts w:ascii="Arial" w:cs="Arial" w:eastAsia="Arial" w:hAnsi="Arial"/>
          <w:sz w:val="16"/>
          <w:szCs w:val="16"/>
          <w:color w:val="auto"/>
        </w:rPr>
        <w:t>Adjusted revenue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p>
      <w:pPr>
        <w:ind w:left="120"/>
        <w:spacing w:after="0"/>
        <w:rPr>
          <w:sz w:val="20"/>
          <w:szCs w:val="20"/>
          <w:color w:val="auto"/>
        </w:rPr>
      </w:pPr>
      <w:r>
        <w:rPr>
          <w:rFonts w:ascii="Arial" w:cs="Arial" w:eastAsia="Arial" w:hAnsi="Arial"/>
          <w:sz w:val="16"/>
          <w:szCs w:val="16"/>
          <w:color w:val="auto"/>
        </w:rPr>
        <w:t>Severance costs</w:t>
      </w:r>
    </w:p>
    <w:p>
      <w:pPr>
        <w:spacing w:after="0" w:line="16" w:lineRule="exact"/>
        <w:rPr>
          <w:sz w:val="20"/>
          <w:szCs w:val="20"/>
          <w:color w:val="auto"/>
        </w:rPr>
      </w:pPr>
    </w:p>
    <w:p>
      <w:pPr>
        <w:ind w:left="120" w:right="20"/>
        <w:spacing w:after="0" w:line="308" w:lineRule="auto"/>
        <w:rPr>
          <w:sz w:val="20"/>
          <w:szCs w:val="20"/>
          <w:color w:val="auto"/>
        </w:rPr>
      </w:pPr>
      <w:r>
        <w:rPr>
          <w:rFonts w:ascii="Arial" w:cs="Arial" w:eastAsia="Arial" w:hAnsi="Arial"/>
          <w:sz w:val="16"/>
          <w:szCs w:val="16"/>
          <w:color w:val="auto"/>
        </w:rPr>
        <w:t>Amortization of acquisition-related intangible assets Net gain on sale of businesses and other assets</w:t>
      </w:r>
    </w:p>
    <w:p>
      <w:pPr>
        <w:spacing w:after="0"/>
        <w:rPr>
          <w:sz w:val="20"/>
          <w:szCs w:val="20"/>
          <w:color w:val="auto"/>
        </w:rPr>
      </w:pPr>
      <w:r>
        <w:rPr>
          <w:rFonts w:ascii="Arial" w:cs="Arial" w:eastAsia="Arial" w:hAnsi="Arial"/>
          <w:sz w:val="16"/>
          <w:szCs w:val="16"/>
          <w:color w:val="auto"/>
        </w:rPr>
        <w:t>Adjusted operating income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margin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Merchant Acceptance (“Acceptance”) </w:t>
      </w:r>
      <w:r>
        <w:rPr>
          <w:rFonts w:ascii="Arial" w:cs="Arial" w:eastAsia="Arial" w:hAnsi="Arial"/>
          <w:sz w:val="21"/>
          <w:szCs w:val="21"/>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46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4460"/>
        <w:spacing w:after="0"/>
        <w:rPr>
          <w:sz w:val="20"/>
          <w:szCs w:val="20"/>
          <w:color w:val="auto"/>
        </w:rPr>
      </w:pPr>
      <w:r>
        <w:rPr>
          <w:rFonts w:ascii="Arial" w:cs="Arial" w:eastAsia="Arial" w:hAnsi="Arial"/>
          <w:sz w:val="16"/>
          <w:szCs w:val="16"/>
          <w:b w:val="1"/>
          <w:bCs w:val="1"/>
          <w:color w:val="auto"/>
        </w:rPr>
        <w:t>Financial Results by Segment</w:t>
      </w:r>
    </w:p>
    <w:p>
      <w:pPr>
        <w:spacing w:after="0" w:line="32" w:lineRule="exact"/>
        <w:rPr>
          <w:sz w:val="20"/>
          <w:szCs w:val="20"/>
          <w:color w:val="auto"/>
        </w:rPr>
      </w:pPr>
    </w:p>
    <w:p>
      <w:pPr>
        <w:jc w:val="center"/>
        <w:ind w:right="4460"/>
        <w:spacing w:after="0"/>
        <w:rPr>
          <w:sz w:val="20"/>
          <w:szCs w:val="20"/>
          <w:color w:val="auto"/>
        </w:rPr>
      </w:pPr>
      <w:r>
        <w:rPr>
          <w:rFonts w:ascii="Arial" w:cs="Arial" w:eastAsia="Arial" w:hAnsi="Arial"/>
          <w:sz w:val="16"/>
          <w:szCs w:val="16"/>
          <w:color w:val="auto"/>
        </w:rPr>
        <w:t>(In millions, unaudited)</w:t>
      </w:r>
    </w:p>
    <w:p>
      <w:pPr>
        <w:spacing w:after="0" w:line="58"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2600" w:type="dxa"/>
            <w:vAlign w:val="bottom"/>
            <w:gridSpan w:val="5"/>
          </w:tcPr>
          <w:p>
            <w:pPr>
              <w:ind w:left="34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6"/>
                <w:szCs w:val="16"/>
                <w:color w:val="auto"/>
              </w:rPr>
            </w:pPr>
          </w:p>
        </w:tc>
        <w:tc>
          <w:tcPr>
            <w:tcW w:w="1620" w:type="dxa"/>
            <w:vAlign w:val="bottom"/>
            <w:gridSpan w:val="3"/>
          </w:tcPr>
          <w:p>
            <w:pPr>
              <w:jc w:val="right"/>
              <w:ind w:right="59"/>
              <w:spacing w:after="0"/>
              <w:rPr>
                <w:sz w:val="20"/>
                <w:szCs w:val="20"/>
                <w:color w:val="auto"/>
              </w:rPr>
            </w:pPr>
            <w:r>
              <w:rPr>
                <w:rFonts w:ascii="Arial" w:cs="Arial" w:eastAsia="Arial" w:hAnsi="Arial"/>
                <w:sz w:val="16"/>
                <w:szCs w:val="16"/>
                <w:color w:val="auto"/>
              </w:rPr>
              <w:t>Year Ended</w:t>
            </w:r>
          </w:p>
        </w:tc>
        <w:tc>
          <w:tcPr>
            <w:tcW w:w="860" w:type="dxa"/>
            <w:vAlign w:val="bottom"/>
          </w:tcPr>
          <w:p>
            <w:pPr>
              <w:spacing w:after="0"/>
              <w:rPr>
                <w:sz w:val="16"/>
                <w:szCs w:val="16"/>
                <w:color w:val="auto"/>
              </w:rPr>
            </w:pPr>
          </w:p>
        </w:tc>
      </w:tr>
      <w:tr>
        <w:trPr>
          <w:trHeight w:val="215"/>
        </w:trPr>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60" w:type="dxa"/>
            <w:vAlign w:val="bottom"/>
          </w:tcPr>
          <w:p>
            <w:pPr>
              <w:spacing w:after="0"/>
              <w:rPr>
                <w:sz w:val="18"/>
                <w:szCs w:val="18"/>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r>
      <w:tr>
        <w:trPr>
          <w:trHeight w:val="418"/>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4,631</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4,257</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17,737</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16,226</w:t>
            </w:r>
          </w:p>
        </w:tc>
      </w:tr>
      <w:tr>
        <w:trPr>
          <w:trHeight w:val="425"/>
        </w:trPr>
        <w:tc>
          <w:tcPr>
            <w:tcW w:w="30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(277)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(989)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(860)</w:t>
            </w:r>
          </w:p>
        </w:tc>
      </w:tr>
      <w:tr>
        <w:trPr>
          <w:trHeight w:val="217"/>
        </w:trPr>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09"/>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4,360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4,019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16,773</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15,393</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7"/>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1,179</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3,740</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2,288</w:t>
            </w:r>
          </w:p>
        </w:tc>
      </w:tr>
      <w:tr>
        <w:trPr>
          <w:trHeight w:val="425"/>
        </w:trPr>
        <w:tc>
          <w:tcPr>
            <w:tcW w:w="300" w:type="dxa"/>
            <w:vAlign w:val="bottom"/>
          </w:tcPr>
          <w:p>
            <w:pPr>
              <w:spacing w:after="0"/>
              <w:rPr>
                <w:sz w:val="24"/>
                <w:szCs w:val="24"/>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173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861</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81</w:t>
            </w:r>
          </w:p>
        </w:tc>
      </w:tr>
      <w:tr>
        <w:trPr>
          <w:trHeight w:val="216"/>
        </w:trPr>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1,814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1,982</w:t>
            </w:r>
          </w:p>
        </w:tc>
      </w:tr>
      <w:tr>
        <w:trPr>
          <w:trHeight w:val="217"/>
        </w:trPr>
        <w:tc>
          <w:tcPr>
            <w:tcW w:w="30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0"/>
        </w:trPr>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1,711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5,882</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5,212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0"/>
        </w:trPr>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25.5 %</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21.1 %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14.1 %</w:t>
            </w:r>
          </w:p>
        </w:tc>
      </w:tr>
      <w:tr>
        <w:trPr>
          <w:trHeight w:val="223"/>
        </w:trPr>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39.2 %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35.1 %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33.9 %</w:t>
            </w:r>
          </w:p>
        </w:tc>
      </w:tr>
    </w:tbl>
    <w:p>
      <w:pPr>
        <w:spacing w:after="0" w:line="442" w:lineRule="exact"/>
        <w:rPr>
          <w:sz w:val="20"/>
          <w:szCs w:val="20"/>
          <w:color w:val="auto"/>
        </w:rPr>
      </w:pPr>
    </w:p>
    <w:p>
      <w:pPr>
        <w:sectPr>
          <w:pgSz w:w="11900" w:h="16838" w:orient="portrait"/>
          <w:cols w:equalWidth="0" w:num="2">
            <w:col w:w="3840" w:space="620"/>
            <w:col w:w="6760"/>
          </w:cols>
          <w:pgMar w:left="340" w:top="1325"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5540" w:type="dxa"/>
            <w:vAlign w:val="bottom"/>
          </w:tcPr>
          <w:p>
            <w:pPr>
              <w:spacing w:after="0"/>
              <w:rPr>
                <w:sz w:val="20"/>
                <w:szCs w:val="20"/>
                <w:color w:val="auto"/>
              </w:rPr>
            </w:pPr>
            <w:r>
              <w:rPr>
                <w:rFonts w:ascii="Arial" w:cs="Arial" w:eastAsia="Arial" w:hAnsi="Arial"/>
                <w:sz w:val="16"/>
                <w:szCs w:val="16"/>
                <w:color w:val="auto"/>
              </w:rPr>
              <w:t>Revenue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1,860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7,292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6,479</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0"/>
        </w:trPr>
        <w:tc>
          <w:tcPr>
            <w:tcW w:w="5540" w:type="dxa"/>
            <w:vAlign w:val="bottom"/>
          </w:tcPr>
          <w:p>
            <w:pPr>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648</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2,321</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1,996</w:t>
            </w:r>
          </w:p>
        </w:tc>
      </w:tr>
      <w:tr>
        <w:trPr>
          <w:trHeight w:val="21"/>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6"/>
        </w:trPr>
        <w:tc>
          <w:tcPr>
            <w:tcW w:w="5540" w:type="dxa"/>
            <w:vAlign w:val="bottom"/>
          </w:tcPr>
          <w:p>
            <w:pPr>
              <w:spacing w:after="0"/>
              <w:rPr>
                <w:sz w:val="20"/>
                <w:szCs w:val="20"/>
                <w:color w:val="auto"/>
              </w:rPr>
            </w:pPr>
            <w:r>
              <w:rPr>
                <w:rFonts w:ascii="Arial" w:cs="Arial" w:eastAsia="Arial" w:hAnsi="Arial"/>
                <w:sz w:val="16"/>
                <w:szCs w:val="16"/>
                <w:color w:val="auto"/>
              </w:rPr>
              <w:t>Operating margin</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34.8 %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31.8 %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30.8 %</w:t>
            </w:r>
          </w:p>
        </w:tc>
      </w:tr>
      <w:tr>
        <w:trPr>
          <w:trHeight w:val="425"/>
        </w:trPr>
        <w:tc>
          <w:tcPr>
            <w:tcW w:w="5540" w:type="dxa"/>
            <w:vAlign w:val="bottom"/>
          </w:tcPr>
          <w:p>
            <w:pPr>
              <w:spacing w:after="0"/>
              <w:rPr>
                <w:sz w:val="20"/>
                <w:szCs w:val="20"/>
                <w:color w:val="auto"/>
              </w:rPr>
            </w:pPr>
            <w:r>
              <w:rPr>
                <w:rFonts w:ascii="Arial" w:cs="Arial" w:eastAsia="Arial" w:hAnsi="Arial"/>
                <w:sz w:val="16"/>
                <w:szCs w:val="16"/>
                <w:b w:val="1"/>
                <w:bCs w:val="1"/>
                <w:color w:val="auto"/>
              </w:rPr>
              <w:t xml:space="preserve">Financial Technology (“Fintech”) </w:t>
            </w:r>
            <w:r>
              <w:rPr>
                <w:rFonts w:ascii="Arial" w:cs="Arial" w:eastAsia="Arial" w:hAnsi="Arial"/>
                <w:sz w:val="21"/>
                <w:szCs w:val="21"/>
                <w:b w:val="1"/>
                <w:bCs w:val="1"/>
                <w:color w:val="auto"/>
                <w:vertAlign w:val="superscript"/>
              </w:rPr>
              <w:t>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5540" w:type="dxa"/>
            <w:vAlign w:val="bottom"/>
          </w:tcPr>
          <w:p>
            <w:pPr>
              <w:spacing w:after="0"/>
              <w:rPr>
                <w:sz w:val="20"/>
                <w:szCs w:val="20"/>
                <w:color w:val="auto"/>
              </w:rPr>
            </w:pPr>
            <w:r>
              <w:rPr>
                <w:rFonts w:ascii="Arial" w:cs="Arial" w:eastAsia="Arial" w:hAnsi="Arial"/>
                <w:sz w:val="16"/>
                <w:szCs w:val="16"/>
                <w:color w:val="auto"/>
              </w:rPr>
              <w:t>Revenue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823</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3,170</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3,022</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0"/>
        </w:trPr>
        <w:tc>
          <w:tcPr>
            <w:tcW w:w="5540" w:type="dxa"/>
            <w:vAlign w:val="bottom"/>
          </w:tcPr>
          <w:p>
            <w:pPr>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340</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1,157</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1,081</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7"/>
        </w:trPr>
        <w:tc>
          <w:tcPr>
            <w:tcW w:w="5540" w:type="dxa"/>
            <w:vAlign w:val="bottom"/>
          </w:tcPr>
          <w:p>
            <w:pPr>
              <w:spacing w:after="0"/>
              <w:rPr>
                <w:sz w:val="20"/>
                <w:szCs w:val="20"/>
                <w:color w:val="auto"/>
              </w:rPr>
            </w:pPr>
            <w:r>
              <w:rPr>
                <w:rFonts w:ascii="Arial" w:cs="Arial" w:eastAsia="Arial" w:hAnsi="Arial"/>
                <w:sz w:val="16"/>
                <w:szCs w:val="16"/>
                <w:color w:val="auto"/>
              </w:rPr>
              <w:t>Operating margin</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41.3 %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36.5 %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35.8 %</w:t>
            </w:r>
          </w:p>
        </w:tc>
      </w:tr>
      <w:tr>
        <w:trPr>
          <w:trHeight w:val="425"/>
        </w:trPr>
        <w:tc>
          <w:tcPr>
            <w:tcW w:w="5540" w:type="dxa"/>
            <w:vAlign w:val="bottom"/>
          </w:tcPr>
          <w:p>
            <w:pPr>
              <w:spacing w:after="0"/>
              <w:rPr>
                <w:sz w:val="20"/>
                <w:szCs w:val="20"/>
                <w:color w:val="auto"/>
              </w:rPr>
            </w:pPr>
            <w:r>
              <w:rPr>
                <w:rFonts w:ascii="Arial" w:cs="Arial" w:eastAsia="Arial" w:hAnsi="Arial"/>
                <w:sz w:val="16"/>
                <w:szCs w:val="16"/>
                <w:b w:val="1"/>
                <w:bCs w:val="1"/>
                <w:color w:val="auto"/>
              </w:rPr>
              <w:t>Payments and Network (“Payments”)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Revenue</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1,665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6,262</w:t>
            </w:r>
          </w:p>
        </w:tc>
        <w:tc>
          <w:tcPr>
            <w:tcW w:w="12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5,833</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Adjustments: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554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revenue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1,671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6,287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5,860</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0"/>
        </w:trPr>
        <w:tc>
          <w:tcPr>
            <w:tcW w:w="5540" w:type="dxa"/>
            <w:vAlign w:val="bottom"/>
          </w:tcPr>
          <w:p>
            <w:pPr>
              <w:spacing w:after="0"/>
              <w:rPr>
                <w:sz w:val="20"/>
                <w:szCs w:val="20"/>
                <w:color w:val="auto"/>
              </w:rPr>
            </w:pPr>
            <w:r>
              <w:rPr>
                <w:rFonts w:ascii="Arial" w:cs="Arial" w:eastAsia="Arial" w:hAnsi="Arial"/>
                <w:sz w:val="16"/>
                <w:szCs w:val="16"/>
                <w:color w:val="auto"/>
              </w:rPr>
              <w:t>Operating income</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rPr>
              <w:t>805</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2,823</w:t>
            </w:r>
          </w:p>
        </w:tc>
        <w:tc>
          <w:tcPr>
            <w:tcW w:w="12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2,557</w:t>
            </w:r>
          </w:p>
        </w:tc>
      </w:tr>
      <w:tr>
        <w:trPr>
          <w:trHeight w:val="215"/>
        </w:trPr>
        <w:tc>
          <w:tcPr>
            <w:tcW w:w="5540" w:type="dxa"/>
            <w:vAlign w:val="bottom"/>
          </w:tcPr>
          <w:p>
            <w:pPr>
              <w:spacing w:after="0"/>
              <w:rPr>
                <w:sz w:val="20"/>
                <w:szCs w:val="20"/>
                <w:color w:val="auto"/>
              </w:rPr>
            </w:pPr>
            <w:r>
              <w:rPr>
                <w:rFonts w:ascii="Arial" w:cs="Arial" w:eastAsia="Arial" w:hAnsi="Arial"/>
                <w:sz w:val="16"/>
                <w:szCs w:val="16"/>
                <w:color w:val="auto"/>
              </w:rPr>
              <w:t>Adjustments:</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554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811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2,848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2,584</w:t>
            </w: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0"/>
        </w:trPr>
        <w:tc>
          <w:tcPr>
            <w:tcW w:w="5540" w:type="dxa"/>
            <w:vAlign w:val="bottom"/>
          </w:tcPr>
          <w:p>
            <w:pPr>
              <w:spacing w:after="0"/>
              <w:rPr>
                <w:sz w:val="20"/>
                <w:szCs w:val="20"/>
                <w:color w:val="auto"/>
              </w:rPr>
            </w:pPr>
            <w:r>
              <w:rPr>
                <w:rFonts w:ascii="Arial" w:cs="Arial" w:eastAsia="Arial" w:hAnsi="Arial"/>
                <w:sz w:val="16"/>
                <w:szCs w:val="16"/>
                <w:color w:val="auto"/>
              </w:rPr>
              <w:t>Operating margin</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48.3 %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45.1 %</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43.8 %</w:t>
            </w:r>
          </w:p>
        </w:tc>
      </w:tr>
      <w:tr>
        <w:trPr>
          <w:trHeight w:val="223"/>
        </w:trPr>
        <w:tc>
          <w:tcPr>
            <w:tcW w:w="55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48.5 %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46.2 %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45.3 %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44.1 %</w:t>
            </w:r>
          </w:p>
        </w:tc>
      </w:tr>
    </w:tbl>
    <w:p>
      <w:pPr>
        <w:spacing w:after="0" w:line="200" w:lineRule="exact"/>
        <w:rPr>
          <w:sz w:val="20"/>
          <w:szCs w:val="20"/>
          <w:color w:val="auto"/>
        </w:rPr>
      </w:pPr>
    </w:p>
    <w:p>
      <w:pPr>
        <w:sectPr>
          <w:pgSz w:w="11900" w:h="16838" w:orient="portrait"/>
          <w:cols w:equalWidth="0" w:num="1">
            <w:col w:w="11220"/>
          </w:cols>
          <w:pgMar w:left="340" w:top="13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40" w:top="1325" w:right="33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Results by Segment (cont.)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160" w:type="dxa"/>
            <w:vAlign w:val="bottom"/>
            <w:gridSpan w:val="4"/>
          </w:tcPr>
          <w:p>
            <w:pPr>
              <w:jc w:val="right"/>
              <w:ind w:right="19"/>
              <w:spacing w:after="0"/>
              <w:rPr>
                <w:sz w:val="20"/>
                <w:szCs w:val="20"/>
                <w:color w:val="auto"/>
              </w:rPr>
            </w:pPr>
            <w:r>
              <w:rPr>
                <w:rFonts w:ascii="Arial" w:cs="Arial" w:eastAsia="Arial" w:hAnsi="Arial"/>
                <w:sz w:val="16"/>
                <w:szCs w:val="16"/>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Year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20" w:type="dxa"/>
            <w:vAlign w:val="bottom"/>
          </w:tcPr>
          <w:p>
            <w:pPr>
              <w:spacing w:after="0"/>
              <w:rPr>
                <w:sz w:val="18"/>
                <w:szCs w:val="18"/>
                <w:color w:val="auto"/>
              </w:rPr>
            </w:pPr>
          </w:p>
        </w:tc>
        <w:tc>
          <w:tcPr>
            <w:tcW w:w="2160" w:type="dxa"/>
            <w:vAlign w:val="bottom"/>
            <w:gridSpan w:val="4"/>
          </w:tcPr>
          <w:p>
            <w:pPr>
              <w:jc w:val="right"/>
              <w:ind w:right="279"/>
              <w:spacing w:after="0"/>
              <w:rPr>
                <w:sz w:val="20"/>
                <w:szCs w:val="20"/>
                <w:color w:val="auto"/>
              </w:rPr>
            </w:pPr>
            <w:r>
              <w:rPr>
                <w:rFonts w:ascii="Arial" w:cs="Arial" w:eastAsia="Arial" w:hAnsi="Arial"/>
                <w:sz w:val="16"/>
                <w:szCs w:val="16"/>
                <w:color w:val="auto"/>
              </w:rPr>
              <w:t>December 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69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920" w:type="dxa"/>
            <w:vAlign w:val="bottom"/>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59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Revenue</w:t>
            </w:r>
          </w:p>
        </w:tc>
        <w:tc>
          <w:tcPr>
            <w:tcW w:w="82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283</w:t>
            </w:r>
          </w:p>
        </w:tc>
        <w:tc>
          <w:tcPr>
            <w:tcW w:w="12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1,013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Adjustments: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2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(277)</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09"/>
        </w:trPr>
        <w:tc>
          <w:tcPr>
            <w:tcW w:w="5920" w:type="dxa"/>
            <w:vAlign w:val="bottom"/>
          </w:tcPr>
          <w:p>
            <w:pPr>
              <w:spacing w:after="0"/>
              <w:rPr>
                <w:sz w:val="20"/>
                <w:szCs w:val="20"/>
                <w:color w:val="auto"/>
              </w:rPr>
            </w:pPr>
            <w:r>
              <w:rPr>
                <w:rFonts w:ascii="Arial" w:cs="Arial" w:eastAsia="Arial" w:hAnsi="Arial"/>
                <w:sz w:val="16"/>
                <w:szCs w:val="16"/>
                <w:color w:val="auto"/>
              </w:rPr>
              <w:t>Adjusted revenue</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920" w:type="dxa"/>
            <w:vAlign w:val="bottom"/>
          </w:tcPr>
          <w:p>
            <w:pPr>
              <w:spacing w:after="0"/>
              <w:rPr>
                <w:sz w:val="20"/>
                <w:szCs w:val="20"/>
                <w:color w:val="auto"/>
              </w:rPr>
            </w:pPr>
            <w:r>
              <w:rPr>
                <w:rFonts w:ascii="Arial" w:cs="Arial" w:eastAsia="Arial" w:hAnsi="Arial"/>
                <w:sz w:val="16"/>
                <w:szCs w:val="16"/>
                <w:color w:val="auto"/>
              </w:rPr>
              <w:t>Operating loss</w:t>
            </w:r>
          </w:p>
        </w:tc>
        <w:tc>
          <w:tcPr>
            <w:tcW w:w="82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6"/>
              </w:rPr>
              <w:t>(614)</w:t>
            </w:r>
          </w:p>
        </w:tc>
        <w:tc>
          <w:tcPr>
            <w:tcW w:w="120" w:type="dxa"/>
            <w:vAlign w:val="bottom"/>
          </w:tcPr>
          <w:p>
            <w:pPr>
              <w:spacing w:after="0"/>
              <w:rPr>
                <w:sz w:val="24"/>
                <w:szCs w:val="24"/>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(2,561)</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Adjustments: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17"/>
        </w:trPr>
        <w:tc>
          <w:tcPr>
            <w:tcW w:w="5920" w:type="dxa"/>
            <w:vAlign w:val="bottom"/>
          </w:tcPr>
          <w:p>
            <w:pPr>
              <w:ind w:left="120"/>
              <w:spacing w:after="0"/>
              <w:rPr>
                <w:sz w:val="20"/>
                <w:szCs w:val="20"/>
                <w:color w:val="auto"/>
              </w:rPr>
            </w:pPr>
            <w:r>
              <w:rPr>
                <w:rFonts w:ascii="Arial" w:cs="Arial" w:eastAsia="Arial" w:hAnsi="Arial"/>
                <w:sz w:val="16"/>
                <w:szCs w:val="16"/>
                <w:color w:val="auto"/>
              </w:rPr>
              <w:t>Net gain on sale of businesses and other assets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(444)</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33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deferred revenue purchase accounting adjustments in the Payments segment.</w:t>
      </w:r>
    </w:p>
    <w:p>
      <w:pPr>
        <w:spacing w:after="0" w:line="93" w:lineRule="exact"/>
        <w:rPr>
          <w:sz w:val="20"/>
          <w:szCs w:val="20"/>
          <w:color w:val="auto"/>
        </w:rPr>
      </w:pPr>
    </w:p>
    <w:p>
      <w:pPr>
        <w:ind w:left="340" w:right="60" w:hanging="332"/>
        <w:spacing w:after="0" w:line="231" w:lineRule="auto"/>
        <w:tabs>
          <w:tab w:leader="none" w:pos="33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For all periods presented in the Acceptance and Fintech segments,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25" w:right="339" w:bottom="1440" w:gutter="0" w:footer="0" w:header="0"/>
        </w:sectPr>
      </w:pPr>
    </w:p>
    <w:bookmarkStart w:id="14" w:name="page15"/>
    <w:bookmarkEnd w:id="14"/>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1000"/>
          </w:cols>
          <w:pgMar w:left="340" w:top="132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00" w:type="dxa"/>
            <w:vAlign w:val="bottom"/>
          </w:tcPr>
          <w:p>
            <w:pPr>
              <w:jc w:val="center"/>
              <w:ind w:left="2808"/>
              <w:spacing w:after="0"/>
              <w:rPr>
                <w:sz w:val="20"/>
                <w:szCs w:val="20"/>
                <w:color w:val="auto"/>
              </w:rPr>
            </w:pPr>
            <w:r>
              <w:rPr>
                <w:rFonts w:ascii="Arial" w:cs="Arial" w:eastAsia="Arial" w:hAnsi="Arial"/>
                <w:sz w:val="14"/>
                <w:szCs w:val="14"/>
                <w:b w:val="1"/>
                <w:bCs w:val="1"/>
                <w:color w:val="auto"/>
              </w:rPr>
              <w:t>Fiserv, Inc.</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jc w:val="center"/>
              <w:ind w:left="2788"/>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100" w:type="dxa"/>
            <w:vAlign w:val="bottom"/>
          </w:tcPr>
          <w:p>
            <w:pPr>
              <w:jc w:val="center"/>
              <w:ind w:left="2788"/>
              <w:spacing w:after="0"/>
              <w:rPr>
                <w:sz w:val="20"/>
                <w:szCs w:val="20"/>
                <w:color w:val="auto"/>
              </w:rPr>
            </w:pPr>
            <w:r>
              <w:rPr>
                <w:rFonts w:ascii="Arial" w:cs="Arial" w:eastAsia="Arial" w:hAnsi="Arial"/>
                <w:sz w:val="14"/>
                <w:szCs w:val="14"/>
                <w:color w:val="auto"/>
              </w:rPr>
              <w:t>(In millions, unaudited)</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3"/>
          </w:tcPr>
          <w:p>
            <w:pPr>
              <w:jc w:val="right"/>
              <w:ind w:right="108"/>
              <w:spacing w:after="0"/>
              <w:rPr>
                <w:sz w:val="20"/>
                <w:szCs w:val="20"/>
                <w:color w:val="auto"/>
              </w:rPr>
            </w:pPr>
            <w:r>
              <w:rPr>
                <w:rFonts w:ascii="Arial" w:cs="Arial" w:eastAsia="Arial" w:hAnsi="Arial"/>
                <w:sz w:val="14"/>
                <w:szCs w:val="14"/>
                <w:color w:val="auto"/>
              </w:rPr>
              <w:t>Year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20" w:type="dxa"/>
            <w:vAlign w:val="bottom"/>
            <w:vMerge w:val="restart"/>
          </w:tcPr>
          <w:p>
            <w:pPr>
              <w:jc w:val="right"/>
              <w:ind w:right="4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2,582</w:t>
            </w:r>
          </w:p>
        </w:tc>
        <w:tc>
          <w:tcPr>
            <w:tcW w:w="16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7"/>
        </w:trPr>
        <w:tc>
          <w:tcPr>
            <w:tcW w:w="8100" w:type="dxa"/>
            <w:vAlign w:val="bottom"/>
          </w:tcPr>
          <w:p>
            <w:pPr>
              <w:ind w:left="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00" w:type="dxa"/>
            <w:vAlign w:val="bottom"/>
          </w:tcPr>
          <w:p>
            <w:pPr>
              <w:ind w:left="200"/>
              <w:spacing w:after="0"/>
              <w:rPr>
                <w:sz w:val="20"/>
                <w:szCs w:val="20"/>
                <w:color w:val="auto"/>
              </w:rPr>
            </w:pPr>
            <w:r>
              <w:rPr>
                <w:rFonts w:ascii="Arial" w:cs="Arial" w:eastAsia="Arial" w:hAnsi="Arial"/>
                <w:sz w:val="14"/>
                <w:szCs w:val="14"/>
                <w:color w:val="auto"/>
              </w:rPr>
              <w:t>Depreciation and other amortization</w:t>
            </w:r>
          </w:p>
        </w:tc>
        <w:tc>
          <w:tcPr>
            <w:tcW w:w="840" w:type="dxa"/>
            <w:vAlign w:val="bottom"/>
          </w:tcPr>
          <w:p>
            <w:pPr>
              <w:spacing w:after="0"/>
              <w:rPr>
                <w:sz w:val="18"/>
                <w:szCs w:val="18"/>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1,320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Amortization of acquisition-related intangible assets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1,849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Amortization of financing costs and debt discounts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43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323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(558)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Net gain on sale of businesses and other assets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Income from investments in unconsolidated affiliates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Distributions from unconsolidated affiliates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73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Non-cash impairment charges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8100" w:type="dxa"/>
            <w:vAlign w:val="bottom"/>
          </w:tcPr>
          <w:p>
            <w:pPr>
              <w:ind w:left="200"/>
              <w:spacing w:after="0"/>
              <w:rPr>
                <w:sz w:val="20"/>
                <w:szCs w:val="20"/>
                <w:color w:val="auto"/>
              </w:rPr>
            </w:pPr>
            <w:r>
              <w:rPr>
                <w:rFonts w:ascii="Arial" w:cs="Arial" w:eastAsia="Arial" w:hAnsi="Arial"/>
                <w:sz w:val="14"/>
                <w:szCs w:val="14"/>
                <w:color w:val="auto"/>
              </w:rPr>
              <w:t>Other operating activities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7"/>
        </w:trPr>
        <w:tc>
          <w:tcPr>
            <w:tcW w:w="810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from acquisitions and dispositions: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00" w:type="dxa"/>
            <w:vAlign w:val="bottom"/>
          </w:tcPr>
          <w:p>
            <w:pPr>
              <w:ind w:left="460"/>
              <w:spacing w:after="0"/>
              <w:rPr>
                <w:sz w:val="20"/>
                <w:szCs w:val="20"/>
                <w:color w:val="auto"/>
              </w:rPr>
            </w:pPr>
            <w:r>
              <w:rPr>
                <w:rFonts w:ascii="Arial" w:cs="Arial" w:eastAsia="Arial" w:hAnsi="Arial"/>
                <w:sz w:val="14"/>
                <w:szCs w:val="14"/>
                <w:color w:val="auto"/>
              </w:rPr>
              <w:t>Trade accounts receivable</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(770)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3"/>
        </w:trPr>
        <w:tc>
          <w:tcPr>
            <w:tcW w:w="8100" w:type="dxa"/>
            <w:vAlign w:val="bottom"/>
          </w:tcPr>
          <w:p>
            <w:pPr>
              <w:ind w:left="460"/>
              <w:spacing w:after="0"/>
              <w:rPr>
                <w:sz w:val="20"/>
                <w:szCs w:val="20"/>
                <w:color w:val="auto"/>
              </w:rPr>
            </w:pPr>
            <w:r>
              <w:rPr>
                <w:rFonts w:ascii="Arial" w:cs="Arial" w:eastAsia="Arial" w:hAnsi="Arial"/>
                <w:sz w:val="14"/>
                <w:szCs w:val="14"/>
                <w:color w:val="auto"/>
              </w:rPr>
              <w:t>Prepaid expenses and other assets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(253)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3"/>
        </w:trPr>
        <w:tc>
          <w:tcPr>
            <w:tcW w:w="8100" w:type="dxa"/>
            <w:vAlign w:val="bottom"/>
          </w:tcPr>
          <w:p>
            <w:pPr>
              <w:ind w:left="460"/>
              <w:spacing w:after="0"/>
              <w:rPr>
                <w:sz w:val="20"/>
                <w:szCs w:val="20"/>
                <w:color w:val="auto"/>
              </w:rPr>
            </w:pPr>
            <w:r>
              <w:rPr>
                <w:rFonts w:ascii="Arial" w:cs="Arial" w:eastAsia="Arial" w:hAnsi="Arial"/>
                <w:sz w:val="14"/>
                <w:szCs w:val="14"/>
                <w:color w:val="auto"/>
              </w:rPr>
              <w:t>Contract costs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(290)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03"/>
        </w:trPr>
        <w:tc>
          <w:tcPr>
            <w:tcW w:w="8100" w:type="dxa"/>
            <w:vAlign w:val="bottom"/>
          </w:tcPr>
          <w:p>
            <w:pPr>
              <w:ind w:left="460"/>
              <w:spacing w:after="0"/>
              <w:rPr>
                <w:sz w:val="20"/>
                <w:szCs w:val="20"/>
                <w:color w:val="auto"/>
              </w:rPr>
            </w:pPr>
            <w:r>
              <w:rPr>
                <w:rFonts w:ascii="Arial" w:cs="Arial" w:eastAsia="Arial" w:hAnsi="Arial"/>
                <w:sz w:val="14"/>
                <w:szCs w:val="14"/>
                <w:color w:val="auto"/>
              </w:rPr>
              <w:t>Accounts payable and other liabilities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511</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3"/>
        </w:trPr>
        <w:tc>
          <w:tcPr>
            <w:tcW w:w="8100" w:type="dxa"/>
            <w:vAlign w:val="bottom"/>
          </w:tcPr>
          <w:p>
            <w:pPr>
              <w:ind w:left="460"/>
              <w:spacing w:after="0"/>
              <w:rPr>
                <w:sz w:val="20"/>
                <w:szCs w:val="20"/>
                <w:color w:val="auto"/>
              </w:rPr>
            </w:pPr>
            <w:r>
              <w:rPr>
                <w:rFonts w:ascii="Arial" w:cs="Arial" w:eastAsia="Arial" w:hAnsi="Arial"/>
                <w:sz w:val="14"/>
                <w:szCs w:val="14"/>
                <w:color w:val="auto"/>
              </w:rPr>
              <w:t>Contract liabilities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4,618</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290"/>
        </w:trPr>
        <w:tc>
          <w:tcPr>
            <w:tcW w:w="810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(1,479)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Net proceeds from sale of businesses and other assets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246</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Payments for acquisitions of businesses, net of cash acquired</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(988)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138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02"/>
        </w:trPr>
        <w:tc>
          <w:tcPr>
            <w:tcW w:w="810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(2,112)</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290"/>
        </w:trPr>
        <w:tc>
          <w:tcPr>
            <w:tcW w:w="810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Debt proceeds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1,624</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Debt repayments, including debt financing costs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(3,325)</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(7,881)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Net proceeds from commercial paper and short-term borrowings</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1,837</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8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149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(2,677)</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(2,786)</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Settlement activity, net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Distributions paid to noncontrolling interests and redeemable noncontrolling interests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Payments of acquisition-related contingent consideration</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(2,478)</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4"/>
        </w:trPr>
        <w:tc>
          <w:tcPr>
            <w:tcW w:w="8100" w:type="dxa"/>
            <w:vAlign w:val="bottom"/>
          </w:tcPr>
          <w:p>
            <w:pPr>
              <w:spacing w:after="0"/>
              <w:rPr>
                <w:sz w:val="20"/>
                <w:szCs w:val="20"/>
                <w:color w:val="auto"/>
              </w:rPr>
            </w:pPr>
            <w:r>
              <w:rPr>
                <w:rFonts w:ascii="Arial" w:cs="Arial" w:eastAsia="Arial" w:hAnsi="Arial"/>
                <w:sz w:val="14"/>
                <w:szCs w:val="14"/>
                <w:color w:val="auto"/>
              </w:rPr>
              <w:t>Cash and cash equivalents, beginning balance</w:t>
            </w: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3,205</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97"/>
        </w:trPr>
        <w:tc>
          <w:tcPr>
            <w:tcW w:w="8100" w:type="dxa"/>
            <w:vAlign w:val="bottom"/>
          </w:tcPr>
          <w:p>
            <w:pPr>
              <w:spacing w:after="0"/>
              <w:rPr>
                <w:sz w:val="20"/>
                <w:szCs w:val="20"/>
                <w:color w:val="auto"/>
              </w:rPr>
            </w:pPr>
            <w:r>
              <w:rPr>
                <w:rFonts w:ascii="Arial" w:cs="Arial" w:eastAsia="Arial" w:hAnsi="Arial"/>
                <w:sz w:val="14"/>
                <w:szCs w:val="14"/>
                <w:b w:val="1"/>
                <w:bCs w:val="1"/>
                <w:color w:val="auto"/>
              </w:rPr>
              <w:t>Cash and cash equivalents, ending balance</w:t>
            </w: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3,192</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00"/>
          </w:cols>
          <w:pgMar w:left="340" w:top="1325" w:right="5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3"/>
          </w:tcPr>
          <w:p>
            <w:pPr>
              <w:jc w:val="right"/>
              <w:ind w:right="39"/>
              <w:spacing w:after="0"/>
              <w:rPr>
                <w:sz w:val="20"/>
                <w:szCs w:val="20"/>
                <w:color w:val="auto"/>
              </w:rPr>
            </w:pPr>
            <w:r>
              <w:rPr>
                <w:rFonts w:ascii="Arial" w:cs="Arial" w:eastAsia="Arial" w:hAnsi="Arial"/>
                <w:sz w:val="16"/>
                <w:szCs w:val="16"/>
                <w:color w:val="auto"/>
              </w:rPr>
              <w:t>December 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76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100" w:type="dxa"/>
            <w:vAlign w:val="bottom"/>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902</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3,585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1,575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Settlement assets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27,544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18,870</w:t>
            </w:r>
          </w:p>
        </w:tc>
        <w:tc>
          <w:tcPr>
            <w:tcW w:w="0" w:type="dxa"/>
            <w:vAlign w:val="bottom"/>
          </w:tcPr>
          <w:p>
            <w:pPr>
              <w:spacing w:after="0"/>
              <w:rPr>
                <w:sz w:val="1"/>
                <w:szCs w:val="1"/>
                <w:color w:val="auto"/>
              </w:rPr>
            </w:pPr>
          </w:p>
        </w:tc>
      </w:tr>
      <w:tr>
        <w:trPr>
          <w:trHeight w:val="371"/>
        </w:trPr>
        <w:tc>
          <w:tcPr>
            <w:tcW w:w="762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1,958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8,424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3,991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Goodwill</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36,811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36,433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Contract costs – net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905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2,403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1,833</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83,869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1100" w:type="dxa"/>
            <w:vAlign w:val="bottom"/>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3,883</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Contract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Settlement obligations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21,482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26,458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18,295</w:t>
            </w:r>
          </w:p>
        </w:tc>
        <w:tc>
          <w:tcPr>
            <w:tcW w:w="0" w:type="dxa"/>
            <w:vAlign w:val="bottom"/>
          </w:tcPr>
          <w:p>
            <w:pPr>
              <w:spacing w:after="0"/>
              <w:rPr>
                <w:sz w:val="1"/>
                <w:szCs w:val="1"/>
                <w:color w:val="auto"/>
              </w:rPr>
            </w:pPr>
          </w:p>
        </w:tc>
      </w:tr>
      <w:tr>
        <w:trPr>
          <w:trHeight w:val="371"/>
        </w:trPr>
        <w:tc>
          <w:tcPr>
            <w:tcW w:w="7620" w:type="dxa"/>
            <w:vAlign w:val="bottom"/>
          </w:tcPr>
          <w:p>
            <w:pPr>
              <w:spacing w:after="0"/>
              <w:rPr>
                <w:sz w:val="20"/>
                <w:szCs w:val="20"/>
                <w:color w:val="auto"/>
              </w:rPr>
            </w:pPr>
            <w:r>
              <w:rPr>
                <w:rFonts w:ascii="Arial" w:cs="Arial" w:eastAsia="Arial" w:hAnsi="Arial"/>
                <w:sz w:val="16"/>
                <w:szCs w:val="16"/>
                <w:color w:val="auto"/>
              </w:rPr>
              <w:t>Long-term debt</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20,950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20,729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3,602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936</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52,181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44,299</w:t>
            </w:r>
          </w:p>
        </w:tc>
        <w:tc>
          <w:tcPr>
            <w:tcW w:w="0" w:type="dxa"/>
            <w:vAlign w:val="bottom"/>
          </w:tcPr>
          <w:p>
            <w:pPr>
              <w:spacing w:after="0"/>
              <w:rPr>
                <w:sz w:val="1"/>
                <w:szCs w:val="1"/>
                <w:color w:val="auto"/>
              </w:rPr>
            </w:pPr>
          </w:p>
        </w:tc>
      </w:tr>
      <w:tr>
        <w:trPr>
          <w:trHeight w:val="377"/>
        </w:trPr>
        <w:tc>
          <w:tcPr>
            <w:tcW w:w="762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71"/>
        </w:trPr>
        <w:tc>
          <w:tcPr>
            <w:tcW w:w="762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1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30,828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30,952</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31,527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31,672</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83,869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40" w:top="1325"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 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6"/>
          </w:tcPr>
          <w:p>
            <w:pPr>
              <w:ind w:left="720"/>
              <w:spacing w:after="0" w:line="175" w:lineRule="exact"/>
              <w:rPr>
                <w:sz w:val="20"/>
                <w:szCs w:val="20"/>
                <w:color w:val="auto"/>
              </w:rPr>
            </w:pPr>
            <w:r>
              <w:rPr>
                <w:rFonts w:ascii="Arial" w:cs="Arial" w:eastAsia="Arial" w:hAnsi="Arial"/>
                <w:sz w:val="16"/>
                <w:szCs w:val="16"/>
                <w:color w:val="auto"/>
              </w:rPr>
              <w:t>Three Months Ended</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99"/>
              <w:spacing w:after="0" w:line="175" w:lineRule="exact"/>
              <w:rPr>
                <w:sz w:val="20"/>
                <w:szCs w:val="20"/>
                <w:color w:val="auto"/>
              </w:rPr>
            </w:pPr>
            <w:r>
              <w:rPr>
                <w:rFonts w:ascii="Arial" w:cs="Arial" w:eastAsia="Arial" w:hAnsi="Arial"/>
                <w:sz w:val="16"/>
                <w:szCs w:val="16"/>
                <w:color w:val="auto"/>
              </w:rPr>
              <w:t>Year Ended</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40"/>
              <w:spacing w:after="0" w:line="230" w:lineRule="exact"/>
              <w:rPr>
                <w:sz w:val="20"/>
                <w:szCs w:val="20"/>
                <w:color w:val="auto"/>
              </w:rPr>
            </w:pPr>
            <w:r>
              <w:rPr>
                <w:rFonts w:ascii="Arial" w:cs="Arial" w:eastAsia="Arial" w:hAnsi="Arial"/>
                <w:sz w:val="16"/>
                <w:szCs w:val="16"/>
                <w:b w:val="1"/>
                <w:bCs w:val="1"/>
                <w:color w:val="auto"/>
              </w:rPr>
              <w:t xml:space="preserve">Organic Revenue Growth </w:t>
            </w:r>
            <w:r>
              <w:rPr>
                <w:rFonts w:ascii="Arial" w:cs="Arial" w:eastAsia="Arial" w:hAnsi="Arial"/>
                <w:sz w:val="21"/>
                <w:szCs w:val="21"/>
                <w:b w:val="1"/>
                <w:bCs w:val="1"/>
                <w:color w:val="auto"/>
                <w:vertAlign w:val="superscript"/>
              </w:rPr>
              <w:t>1</w:t>
            </w:r>
          </w:p>
        </w:tc>
        <w:tc>
          <w:tcPr>
            <w:tcW w:w="240" w:type="dxa"/>
            <w:vAlign w:val="bottom"/>
          </w:tcPr>
          <w:p>
            <w:pPr>
              <w:spacing w:after="0"/>
              <w:rPr>
                <w:sz w:val="19"/>
                <w:szCs w:val="19"/>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color w:val="auto"/>
              </w:rPr>
              <w:t>December 31,</w:t>
            </w:r>
          </w:p>
        </w:tc>
        <w:tc>
          <w:tcPr>
            <w:tcW w:w="1000" w:type="dxa"/>
            <w:vAlign w:val="bottom"/>
            <w:gridSpan w:val="2"/>
            <w:vMerge w:val="restart"/>
          </w:tcPr>
          <w:p>
            <w:pPr>
              <w:ind w:left="80"/>
              <w:spacing w:after="0"/>
              <w:rPr>
                <w:sz w:val="20"/>
                <w:szCs w:val="20"/>
                <w:color w:val="auto"/>
              </w:rPr>
            </w:pPr>
            <w:r>
              <w:rPr>
                <w:rFonts w:ascii="Arial" w:cs="Arial" w:eastAsia="Arial" w:hAnsi="Arial"/>
                <w:sz w:val="16"/>
                <w:szCs w:val="16"/>
                <w:color w:val="auto"/>
              </w:rPr>
              <w:t>Growth</w:t>
            </w:r>
          </w:p>
        </w:tc>
        <w:tc>
          <w:tcPr>
            <w:tcW w:w="220" w:type="dxa"/>
            <w:vAlign w:val="bottom"/>
          </w:tcPr>
          <w:p>
            <w:pPr>
              <w:spacing w:after="0"/>
              <w:rPr>
                <w:sz w:val="19"/>
                <w:szCs w:val="19"/>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December 31,</w:t>
            </w:r>
          </w:p>
        </w:tc>
        <w:tc>
          <w:tcPr>
            <w:tcW w:w="100" w:type="dxa"/>
            <w:vAlign w:val="bottom"/>
          </w:tcPr>
          <w:p>
            <w:pPr>
              <w:spacing w:after="0"/>
              <w:rPr>
                <w:sz w:val="19"/>
                <w:szCs w:val="19"/>
                <w:color w:val="auto"/>
              </w:rPr>
            </w:pPr>
          </w:p>
        </w:tc>
        <w:tc>
          <w:tcPr>
            <w:tcW w:w="1060" w:type="dxa"/>
            <w:vAlign w:val="bottom"/>
            <w:vMerge w:val="restart"/>
          </w:tcPr>
          <w:p>
            <w:pPr>
              <w:ind w:left="260"/>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Total Company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4,360</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16,773</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15,393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Organic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4,448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17,002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w:t>
            </w:r>
          </w:p>
        </w:tc>
        <w:tc>
          <w:tcPr>
            <w:tcW w:w="116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Acceptance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1,860</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7,292</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6,479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6,411</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Fintech</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823</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3,170</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822</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color w:val="auto"/>
                <w:w w:val="94"/>
              </w:rPr>
              <w:t>8%</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3,015</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Payments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1,671</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6,287</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5,860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line="217"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6,360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5,860</w:t>
            </w: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ind w:left="200"/>
              <w:spacing w:after="0"/>
              <w:rPr>
                <w:sz w:val="20"/>
                <w:szCs w:val="20"/>
                <w:color w:val="auto"/>
              </w:rPr>
            </w:pPr>
            <w:r>
              <w:rPr>
                <w:rFonts w:ascii="Arial" w:cs="Arial" w:eastAsia="Arial" w:hAnsi="Arial"/>
                <w:sz w:val="16"/>
                <w:szCs w:val="16"/>
                <w:color w:val="auto"/>
              </w:rPr>
              <w:t>Organic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Organic revenue growth is calculated using actual, unrounded amounts.</w:t>
      </w:r>
    </w:p>
    <w:p>
      <w:pPr>
        <w:spacing w:after="0" w:line="113" w:lineRule="exact"/>
        <w:rPr>
          <w:sz w:val="20"/>
          <w:szCs w:val="20"/>
          <w:color w:val="auto"/>
        </w:rPr>
      </w:pPr>
    </w:p>
    <w:p>
      <w:pPr>
        <w:jc w:val="both"/>
        <w:ind w:left="340" w:hanging="332"/>
        <w:spacing w:after="0" w:line="238" w:lineRule="auto"/>
        <w:tabs>
          <w:tab w:leader="none" w:pos="33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Organic revenue growth is measured as the change in adjusted revenue (see pages 9-10) for the current period excluding the impact of foreign currency fluctuations and revenue attributable to acquisitions and dispositions, divided by adjusted revenue from the prior period excluding revenue attributable to dispositions.</w:t>
      </w:r>
    </w:p>
    <w:p>
      <w:pPr>
        <w:spacing w:after="0" w:line="84" w:lineRule="exact"/>
        <w:rPr>
          <w:sz w:val="20"/>
          <w:szCs w:val="20"/>
          <w:color w:val="auto"/>
        </w:rPr>
      </w:pPr>
    </w:p>
    <w:p>
      <w:pPr>
        <w:ind w:left="340" w:right="60" w:hanging="332"/>
        <w:spacing w:after="0" w:line="227" w:lineRule="auto"/>
        <w:tabs>
          <w:tab w:leader="none" w:pos="33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320" w:top="1325"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79375</wp:posOffset>
            </wp:positionV>
            <wp:extent cx="6986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100"/>
          </w:cols>
          <w:pgMar w:left="320" w:top="1325" w:right="479" w:bottom="1440" w:gutter="0" w:footer="0" w:header="0"/>
        </w:sect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132080</wp:posOffset>
            </wp:positionV>
            <wp:extent cx="51860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expenditures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Distributions from unconsolidated affiliates included in cash flows from investing activities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Severance, merger and integration payments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Tax payments on adjustments</w:t>
      </w:r>
    </w:p>
    <w:p>
      <w:pPr>
        <w:spacing w:after="0" w:line="46" w:lineRule="exact"/>
        <w:rPr>
          <w:sz w:val="20"/>
          <w:szCs w:val="20"/>
          <w:color w:val="auto"/>
        </w:rPr>
      </w:pPr>
    </w:p>
    <w:p>
      <w:pPr>
        <w:ind w:left="300" w:right="1460"/>
        <w:spacing w:after="0" w:line="299" w:lineRule="auto"/>
        <w:rPr>
          <w:sz w:val="20"/>
          <w:szCs w:val="20"/>
          <w:color w:val="auto"/>
        </w:rPr>
      </w:pPr>
      <w:r>
        <w:rPr>
          <w:rFonts w:ascii="Arial" w:cs="Arial" w:eastAsia="Arial" w:hAnsi="Arial"/>
          <w:sz w:val="16"/>
          <w:szCs w:val="16"/>
          <w:color w:val="auto"/>
        </w:rPr>
        <w:t>Tax payments on gain on sale of assets and investments in unconsolidated affiliates Other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381000</wp:posOffset>
            </wp:positionV>
            <wp:extent cx="6909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Year Ended</w:t>
      </w:r>
    </w:p>
    <w:p>
      <w:pPr>
        <w:ind w:left="800"/>
        <w:spacing w:after="0"/>
        <w:rPr>
          <w:sz w:val="20"/>
          <w:szCs w:val="20"/>
          <w:color w:val="auto"/>
        </w:rPr>
      </w:pPr>
      <w:r>
        <w:rPr>
          <w:rFonts w:ascii="Arial" w:cs="Arial" w:eastAsia="Arial" w:hAnsi="Arial"/>
          <w:sz w:val="16"/>
          <w:szCs w:val="16"/>
          <w:color w:val="auto"/>
        </w:rPr>
        <w:t>December 31,</w:t>
      </w:r>
    </w:p>
    <w:p>
      <w:pPr>
        <w:spacing w:after="0" w:line="16" w:lineRule="exact"/>
        <w:rPr>
          <w:sz w:val="20"/>
          <w:szCs w:val="20"/>
          <w:color w:val="auto"/>
        </w:rPr>
      </w:pPr>
    </w:p>
    <w:p>
      <w:pPr>
        <w:ind w:left="420"/>
        <w:spacing w:after="0"/>
        <w:tabs>
          <w:tab w:leader="none" w:pos="182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688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4,618</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4,034</w:t>
            </w:r>
          </w:p>
        </w:tc>
      </w:tr>
      <w:tr>
        <w:trPr>
          <w:trHeight w:val="229"/>
        </w:trPr>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(1,479)</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(1,160)</w:t>
            </w:r>
          </w:p>
        </w:tc>
      </w:tr>
    </w:tbl>
    <w:p>
      <w:pPr>
        <w:spacing w:after="0" w:line="236" w:lineRule="exact"/>
        <w:rPr>
          <w:sz w:val="20"/>
          <w:szCs w:val="20"/>
          <w:color w:val="auto"/>
        </w:rPr>
      </w:pPr>
    </w:p>
    <w:p>
      <w:pPr>
        <w:ind w:left="2340" w:hanging="1427"/>
        <w:spacing w:after="0"/>
        <w:tabs>
          <w:tab w:leader="none" w:pos="234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(62)</w:t>
      </w:r>
    </w:p>
    <w:p>
      <w:pPr>
        <w:spacing w:after="0" w:line="57" w:lineRule="exact"/>
        <w:rPr>
          <w:sz w:val="20"/>
          <w:szCs w:val="20"/>
          <w:color w:val="auto"/>
        </w:rPr>
      </w:pPr>
    </w:p>
    <w:p>
      <w:pPr>
        <w:ind w:left="2320" w:hanging="1434"/>
        <w:spacing w:after="0"/>
        <w:tabs>
          <w:tab w:leader="none" w:pos="232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115</w:t>
      </w:r>
    </w:p>
    <w:p>
      <w:pPr>
        <w:spacing w:after="0" w:line="46" w:lineRule="exact"/>
        <w:rPr>
          <w:sz w:val="20"/>
          <w:szCs w:val="20"/>
          <w:color w:val="auto"/>
        </w:rPr>
      </w:pPr>
    </w:p>
    <w:p>
      <w:pPr>
        <w:ind w:left="2300" w:hanging="1414"/>
        <w:spacing w:after="0"/>
        <w:tabs>
          <w:tab w:leader="none" w:pos="230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712</w:t>
      </w:r>
    </w:p>
    <w:p>
      <w:pPr>
        <w:spacing w:after="0" w:line="45" w:lineRule="exact"/>
        <w:rPr>
          <w:rFonts w:ascii="Arial" w:cs="Arial" w:eastAsia="Arial" w:hAnsi="Arial"/>
          <w:sz w:val="16"/>
          <w:szCs w:val="16"/>
          <w:b w:val="1"/>
          <w:bCs w:val="1"/>
          <w:color w:val="auto"/>
        </w:rPr>
      </w:pPr>
    </w:p>
    <w:p>
      <w:pPr>
        <w:ind w:left="2240" w:hanging="1327"/>
        <w:spacing w:after="0"/>
        <w:tabs>
          <w:tab w:leader="none" w:pos="2240"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(161)</w:t>
      </w:r>
    </w:p>
    <w:p>
      <w:pPr>
        <w:spacing w:after="0" w:line="46" w:lineRule="exact"/>
        <w:rPr>
          <w:sz w:val="20"/>
          <w:szCs w:val="20"/>
          <w:color w:val="auto"/>
        </w:rPr>
      </w:pPr>
    </w:p>
    <w:p>
      <w:pPr>
        <w:ind w:left="2400" w:hanging="1424"/>
        <w:spacing w:after="0"/>
        <w:tabs>
          <w:tab w:leader="none" w:pos="24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54</w:t>
      </w:r>
    </w:p>
    <w:p>
      <w:pPr>
        <w:spacing w:after="0" w:line="39" w:lineRule="exact"/>
        <w:rPr>
          <w:sz w:val="20"/>
          <w:szCs w:val="20"/>
          <w:color w:val="auto"/>
        </w:rPr>
      </w:pPr>
    </w:p>
    <w:p>
      <w:pPr>
        <w:ind w:left="2420" w:hanging="1498"/>
        <w:spacing w:after="0"/>
        <w:tabs>
          <w:tab w:leader="none" w:pos="242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168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19" w:lineRule="exact"/>
        <w:rPr>
          <w:sz w:val="20"/>
          <w:szCs w:val="20"/>
          <w:color w:val="auto"/>
        </w:rPr>
      </w:pPr>
    </w:p>
    <w:p>
      <w:pPr>
        <w:spacing w:after="0"/>
        <w:tabs>
          <w:tab w:leader="none" w:pos="740" w:val="left"/>
          <w:tab w:leader="none" w:pos="1400" w:val="left"/>
          <w:tab w:leader="none" w:pos="2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3,515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168846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8465" cy="342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60" w:space="720"/>
            <w:col w:w="2620"/>
          </w:cols>
          <w:pgMar w:left="320" w:top="1325" w:right="47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79"/>
              <w:spacing w:after="0"/>
              <w:rPr>
                <w:sz w:val="20"/>
                <w:szCs w:val="20"/>
                <w:color w:val="auto"/>
              </w:rPr>
            </w:pPr>
            <w:r>
              <w:rPr>
                <w:rFonts w:ascii="Arial" w:cs="Arial" w:eastAsia="Arial" w:hAnsi="Arial"/>
                <w:sz w:val="16"/>
                <w:szCs w:val="16"/>
                <w:color w:val="auto"/>
              </w:rPr>
              <w:t>Three Months Ended</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color w:val="auto"/>
              </w:rPr>
              <w:t>Year Ended</w:t>
            </w:r>
          </w:p>
        </w:tc>
        <w:tc>
          <w:tcPr>
            <w:tcW w:w="800" w:type="dxa"/>
            <w:vAlign w:val="bottom"/>
          </w:tcPr>
          <w:p>
            <w:pPr>
              <w:spacing w:after="0"/>
              <w:rPr>
                <w:sz w:val="16"/>
                <w:szCs w:val="16"/>
                <w:color w:val="auto"/>
              </w:rPr>
            </w:pPr>
          </w:p>
        </w:tc>
      </w:tr>
      <w:tr>
        <w:trPr>
          <w:trHeight w:val="269"/>
        </w:trPr>
        <w:tc>
          <w:tcPr>
            <w:tcW w:w="544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800" w:type="dxa"/>
            <w:vAlign w:val="bottom"/>
          </w:tcPr>
          <w:p>
            <w:pPr>
              <w:spacing w:after="0"/>
              <w:rPr>
                <w:sz w:val="23"/>
                <w:szCs w:val="23"/>
                <w:color w:val="auto"/>
              </w:rPr>
            </w:pPr>
          </w:p>
        </w:tc>
        <w:tc>
          <w:tcPr>
            <w:tcW w:w="1440" w:type="dxa"/>
            <w:vAlign w:val="bottom"/>
            <w:gridSpan w:val="3"/>
          </w:tcPr>
          <w:p>
            <w:pPr>
              <w:jc w:val="right"/>
              <w:ind w:right="339"/>
              <w:spacing w:after="0"/>
              <w:rPr>
                <w:sz w:val="20"/>
                <w:szCs w:val="20"/>
                <w:color w:val="auto"/>
              </w:rPr>
            </w:pPr>
            <w:r>
              <w:rPr>
                <w:rFonts w:ascii="Arial" w:cs="Arial" w:eastAsia="Arial" w:hAnsi="Arial"/>
                <w:sz w:val="16"/>
                <w:szCs w:val="16"/>
                <w:color w:val="auto"/>
                <w:w w:val="99"/>
              </w:rPr>
              <w:t>December 31,</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December 31,</w:t>
            </w:r>
          </w:p>
        </w:tc>
        <w:tc>
          <w:tcPr>
            <w:tcW w:w="800" w:type="dxa"/>
            <w:vAlign w:val="bottom"/>
          </w:tcPr>
          <w:p>
            <w:pPr>
              <w:spacing w:after="0"/>
              <w:rPr>
                <w:sz w:val="23"/>
                <w:szCs w:val="23"/>
                <w:color w:val="auto"/>
              </w:rPr>
            </w:pPr>
          </w:p>
        </w:tc>
      </w:tr>
      <w:tr>
        <w:trPr>
          <w:trHeight w:val="217"/>
        </w:trPr>
        <w:tc>
          <w:tcPr>
            <w:tcW w:w="5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r>
      <w:tr>
        <w:trPr>
          <w:trHeight w:val="249"/>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 assets</w:t>
            </w:r>
          </w:p>
        </w:tc>
        <w:tc>
          <w:tcPr>
            <w:tcW w:w="80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433</w:t>
            </w:r>
          </w:p>
        </w:tc>
        <w:tc>
          <w:tcPr>
            <w:tcW w:w="160" w:type="dxa"/>
            <w:vAlign w:val="bottom"/>
          </w:tcPr>
          <w:p>
            <w:pPr>
              <w:spacing w:after="0"/>
              <w:rPr>
                <w:sz w:val="21"/>
                <w:szCs w:val="21"/>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484</w:t>
            </w:r>
          </w:p>
        </w:tc>
        <w:tc>
          <w:tcPr>
            <w:tcW w:w="18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1,849</w:t>
            </w:r>
          </w:p>
        </w:tc>
        <w:tc>
          <w:tcPr>
            <w:tcW w:w="1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2,038</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Capitalized software and other intangibles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Purchased software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Financing costs and debt discounts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Sales commissions</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Deferred conversion costs</w:t>
            </w: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Total amortization</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2,657</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w:t>
            </w:r>
          </w:p>
        </w:tc>
      </w:tr>
      <w:tr>
        <w:trPr>
          <w:trHeight w:val="21"/>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253" w:lineRule="exact"/>
        <w:rPr>
          <w:sz w:val="20"/>
          <w:szCs w:val="20"/>
          <w:color w:val="auto"/>
        </w:rPr>
      </w:pPr>
    </w:p>
    <w:p>
      <w:pPr>
        <w:ind w:left="340" w:right="240" w:hanging="332"/>
        <w:spacing w:after="0" w:line="267" w:lineRule="auto"/>
        <w:tabs>
          <w:tab w:leader="none" w:pos="338"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00"/>
          </w:cols>
          <w:pgMar w:left="320" w:top="1325" w:right="47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5977255</wp:posOffset>
            </wp:positionH>
            <wp:positionV relativeFrom="page">
              <wp:posOffset>166370</wp:posOffset>
            </wp:positionV>
            <wp:extent cx="1320165" cy="831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3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2023, including organic revenue growth, adjusted earnings per share and adjusted earnings per share growth, are designed to enhance shareholders’ ability to evaluate the company’s performance by excluding certain items to focus on factors and trends affecting its business.</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Organic Revenue Growth </w:t>
      </w:r>
      <w:r>
        <w:rPr>
          <w:rFonts w:ascii="Arial" w:cs="Arial" w:eastAsia="Arial" w:hAnsi="Arial"/>
          <w:sz w:val="18"/>
          <w:szCs w:val="18"/>
          <w:color w:val="auto"/>
        </w:rPr>
        <w:t>- The company’s organic revenue growth outlook for 2023 excludes the impact of foreign currency fluctuations,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dispositions and the impact of the company’s Output Solutions postage reimbursements. The currency impact is measured as the increase or decrease in the expected adjusted revenue for the period by applying prior period foreign currency exchange rates to present a constant currency comparison to prior periods.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200" w:type="dxa"/>
            <w:vAlign w:val="bottom"/>
            <w:vMerge w:val="restart"/>
          </w:tcPr>
          <w:p>
            <w:pPr>
              <w:spacing w:after="0"/>
              <w:rPr>
                <w:sz w:val="20"/>
                <w:szCs w:val="20"/>
                <w:color w:val="auto"/>
              </w:rPr>
            </w:pPr>
            <w:r>
              <w:rPr>
                <w:rFonts w:ascii="Arial" w:cs="Arial" w:eastAsia="Arial" w:hAnsi="Arial"/>
                <w:sz w:val="18"/>
                <w:szCs w:val="18"/>
                <w:color w:val="auto"/>
              </w:rPr>
              <w:t>2023 Revenue</w:t>
            </w:r>
          </w:p>
        </w:tc>
        <w:tc>
          <w:tcPr>
            <w:tcW w:w="20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218"/>
        </w:trPr>
        <w:tc>
          <w:tcPr>
            <w:tcW w:w="9200" w:type="dxa"/>
            <w:vAlign w:val="bottom"/>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- 7%</w:t>
            </w:r>
          </w:p>
        </w:tc>
        <w:tc>
          <w:tcPr>
            <w:tcW w:w="0" w:type="dxa"/>
            <w:vAlign w:val="bottom"/>
          </w:tcPr>
          <w:p>
            <w:pPr>
              <w:spacing w:after="0"/>
              <w:rPr>
                <w:sz w:val="1"/>
                <w:szCs w:val="1"/>
                <w:color w:val="auto"/>
              </w:rPr>
            </w:pPr>
          </w:p>
        </w:tc>
      </w:tr>
      <w:tr>
        <w:trPr>
          <w:trHeight w:val="235"/>
        </w:trPr>
        <w:tc>
          <w:tcPr>
            <w:tcW w:w="9200" w:type="dxa"/>
            <w:vAlign w:val="bottom"/>
          </w:tcPr>
          <w:p>
            <w:pPr>
              <w:ind w:left="120"/>
              <w:spacing w:after="0"/>
              <w:rPr>
                <w:sz w:val="20"/>
                <w:szCs w:val="20"/>
                <w:color w:val="auto"/>
              </w:rPr>
            </w:pPr>
            <w:r>
              <w:rPr>
                <w:rFonts w:ascii="Arial" w:cs="Arial" w:eastAsia="Arial" w:hAnsi="Arial"/>
                <w:sz w:val="18"/>
                <w:szCs w:val="18"/>
                <w:color w:val="auto"/>
              </w:rPr>
              <w:t>Output Solutions postage reimbursements</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2023 Adjusted revenue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- 6.5%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9200" w:type="dxa"/>
            <w:vAlign w:val="bottom"/>
          </w:tcPr>
          <w:p>
            <w:pPr>
              <w:ind w:left="120"/>
              <w:spacing w:after="0"/>
              <w:rPr>
                <w:sz w:val="20"/>
                <w:szCs w:val="20"/>
                <w:color w:val="auto"/>
              </w:rPr>
            </w:pPr>
            <w:r>
              <w:rPr>
                <w:rFonts w:ascii="Arial" w:cs="Arial" w:eastAsia="Arial" w:hAnsi="Arial"/>
                <w:sz w:val="18"/>
                <w:szCs w:val="18"/>
                <w:color w:val="auto"/>
              </w:rPr>
              <w:t>Currency impact</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9200" w:type="dxa"/>
            <w:vAlign w:val="bottom"/>
          </w:tcPr>
          <w:p>
            <w:pPr>
              <w:ind w:left="80"/>
              <w:spacing w:after="0"/>
              <w:rPr>
                <w:sz w:val="20"/>
                <w:szCs w:val="20"/>
                <w:color w:val="auto"/>
              </w:rPr>
            </w:pPr>
            <w:r>
              <w:rPr>
                <w:rFonts w:ascii="Arial" w:cs="Arial" w:eastAsia="Arial" w:hAnsi="Arial"/>
                <w:sz w:val="18"/>
                <w:szCs w:val="18"/>
                <w:color w:val="auto"/>
              </w:rPr>
              <w:t>Acquisition adjustments</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5"/>
        </w:trPr>
        <w:tc>
          <w:tcPr>
            <w:tcW w:w="9200" w:type="dxa"/>
            <w:vAlign w:val="bottom"/>
          </w:tcPr>
          <w:p>
            <w:pPr>
              <w:ind w:left="120"/>
              <w:spacing w:after="0"/>
              <w:rPr>
                <w:sz w:val="20"/>
                <w:szCs w:val="20"/>
                <w:color w:val="auto"/>
              </w:rPr>
            </w:pPr>
            <w:r>
              <w:rPr>
                <w:rFonts w:ascii="Arial" w:cs="Arial" w:eastAsia="Arial" w:hAnsi="Arial"/>
                <w:sz w:val="18"/>
                <w:szCs w:val="18"/>
                <w:color w:val="auto"/>
              </w:rPr>
              <w:t>Divestiture adjustments</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2023 Organic revenue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- 9%</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2023 excludes certain non-cash or other items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non-cash intangible asset amortization expense associated with acquisitions; non-cash impairment charges; merger and integration costs; severance costs; gains or losses from the sale of businesses, certain assets and investments; and certain discrete tax benefits and expenses. The company estimates that amortization expense in 2023 with respect to acquired intangible assets will decrease approximately 10% compared to the amount incurred in 2022.</w:t>
      </w:r>
    </w:p>
    <w:p>
      <w:pPr>
        <w:spacing w:after="0" w:line="1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Other adjustments to the company’s financial measures that were incurred in 2022 are presented in this news release; however, they are not necessarily indicative of adjustments that may be incurred throughout 2023 or beyond. Estimates of these impacts and adjustments on a forward-looking basis are not available due to the variability, complexity and limited visibility of these items.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FISV-E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sectPr>
      <w:pgSz w:w="11900" w:h="16838" w:orient="portrait"/>
      <w:cols w:equalWidth="0" w:num="1">
        <w:col w:w="11240"/>
      </w:cols>
      <w:pgMar w:left="320" w:top="13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3"/>
      <w:numFmt w:val="bullet"/>
      <w:start w:val="1"/>
    </w:lvl>
  </w:abstractNum>
  <w:abstractNum w:abstractNumId="5">
    <w:nsid w:val="66EF438D"/>
    <w:multiLevelType w:val="hybridMultilevel"/>
    <w:lvl w:ilvl="0">
      <w:lvlJc w:val="left"/>
      <w:lvlText w:val="4"/>
      <w:numFmt w:val="bullet"/>
      <w:start w:val="1"/>
    </w:lvl>
  </w:abstractNum>
  <w:abstractNum w:abstractNumId="6">
    <w:nsid w:val="140E0F76"/>
    <w:multiLevelType w:val="hybridMultilevel"/>
    <w:lvl w:ilvl="0">
      <w:lvlJc w:val="left"/>
      <w:lvlText w:val="5"/>
      <w:numFmt w:val="bullet"/>
      <w:start w:val="1"/>
    </w:lvl>
  </w:abstractNum>
  <w:abstractNum w:abstractNumId="7">
    <w:nsid w:val="3352255A"/>
    <w:multiLevelType w:val="hybridMultilevel"/>
    <w:lvl w:ilvl="0">
      <w:lvlJc w:val="left"/>
      <w:lvlText w:val="6"/>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1"/>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1)"/>
      <w:numFmt w:val="decimal"/>
      <w:start w:val="42"/>
    </w:lvl>
  </w:abstractNum>
  <w:abstractNum w:abstractNumId="13">
    <w:nsid w:val="6B68079A"/>
    <w:multiLevelType w:val="hybridMultilevel"/>
    <w:lvl w:ilvl="0">
      <w:lvlJc w:val="left"/>
      <w:lvlText w:val="%1"/>
      <w:numFmt w:val="decimal"/>
      <w:start w:val="138"/>
    </w:lvl>
  </w:abstractNum>
  <w:abstractNum w:abstractNumId="14">
    <w:nsid w:val="4E6AFB66"/>
    <w:multiLevelType w:val="hybridMultilevel"/>
    <w:lvl w:ilvl="0">
      <w:lvlJc w:val="left"/>
      <w:lvlText w:val="%1"/>
      <w:numFmt w:val="decimal"/>
      <w:start w:val="306"/>
    </w:lvl>
    <w:lvl w:ilvl="1">
      <w:lvlJc w:val="left"/>
      <w:lvlText w:val="(%2)"/>
      <w:numFmt w:val="decimal"/>
      <w:start w:val="64"/>
    </w:lvl>
  </w:abstractNum>
  <w:abstractNum w:abstractNumId="15">
    <w:nsid w:val="25E45D32"/>
    <w:multiLevelType w:val="hybridMultilevel"/>
    <w:lvl w:ilvl="0">
      <w:lvlJc w:val="left"/>
      <w:lvlText w:val="%1"/>
      <w:numFmt w:val="decimal"/>
      <w:start w:val="49"/>
    </w:lvl>
  </w:abstractNum>
  <w:abstractNum w:abstractNumId="16">
    <w:nsid w:val="519B500D"/>
    <w:multiLevelType w:val="hybridMultilevel"/>
    <w:lvl w:ilvl="0">
      <w:lvlJc w:val="left"/>
      <w:lvlText w:val="(%1)"/>
      <w:numFmt w:val="decimal"/>
      <w:start w:val="11"/>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2023-02-07T06:19:30Z</dcterms:created>
  <dcterms:modified xsi:type="dcterms:W3CDTF">2023-02-07T06:19:30Z</dcterms:modified>
</cp:coreProperties>
</file>