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4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-245745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2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27940</wp:posOffset>
            </wp:positionV>
            <wp:extent cx="7323455" cy="4852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203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340" w:space="340"/>
            <w:col w:w="884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NUTTALL SCOTT C</w:t>
        </w:r>
      </w:hyperlink>
    </w:p>
    <w:p>
      <w:pPr>
        <w:spacing w:after="0" w:line="30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12/31/2019</w:t>
      </w:r>
    </w:p>
    <w:p>
      <w:pPr>
        <w:spacing w:after="0" w:line="20" w:lineRule="exact"/>
        <w:rPr>
          <w:sz w:val="24"/>
          <w:szCs w:val="24"/>
          <w:color w:val="auto"/>
        </w:rPr>
      </w:pPr>
      <w:r>
        <w:rPr>
          <w:sz w:val="24"/>
          <w:szCs w:val="24"/>
          <w:color w:val="auto"/>
        </w:rPr>
        <w:br w:type="column"/>
      </w:r>
    </w:p>
    <w:p>
      <w:pPr>
        <w:ind w:left="6" w:right="680" w:hanging="6"/>
        <w:spacing w:after="0" w:line="269"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340" w:space="720"/>
            <w:col w:w="3254" w:space="720"/>
            <w:col w:w="3486"/>
          </w:cols>
          <w:pgMar w:left="240" w:top="219" w:right="13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BROOKFIELD</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53045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7" w:lineRule="exact"/>
        <w:rPr>
          <w:sz w:val="24"/>
          <w:szCs w:val="24"/>
          <w:color w:val="auto"/>
        </w:rPr>
      </w:pPr>
    </w:p>
    <w:p>
      <w:pPr>
        <w:ind w:left="4180"/>
        <w:spacing w:after="0"/>
        <w:tabs>
          <w:tab w:leader="none" w:pos="45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900" w:space="160"/>
            <w:col w:w="746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9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9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9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Compensation</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vMerge w:val="restart"/>
          </w:tcPr>
          <w:p>
            <w:pPr>
              <w:jc w:val="right"/>
              <w:ind w:right="178"/>
              <w:spacing w:after="0"/>
              <w:rPr>
                <w:sz w:val="20"/>
                <w:szCs w:val="20"/>
                <w:color w:val="auto"/>
              </w:rPr>
            </w:pPr>
            <w:r>
              <w:rPr>
                <w:rFonts w:ascii="Times New Roman" w:cs="Times New Roman" w:eastAsia="Times New Roman" w:hAnsi="Times New Roman"/>
                <w:sz w:val="13"/>
                <w:szCs w:val="13"/>
                <w:color w:val="0000FF"/>
              </w:rPr>
              <w:t>12/31/2019</w:t>
            </w:r>
          </w:p>
        </w:tc>
        <w:tc>
          <w:tcPr>
            <w:tcW w:w="1120" w:type="dxa"/>
            <w:vAlign w:val="bottom"/>
          </w:tcPr>
          <w:p>
            <w:pPr>
              <w:spacing w:after="0"/>
              <w:rPr>
                <w:sz w:val="12"/>
                <w:szCs w:val="12"/>
                <w:color w:val="auto"/>
              </w:rPr>
            </w:pP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223</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1"/>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223</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115.63</w:t>
            </w:r>
            <w:r>
              <w:rPr>
                <w:rFonts w:ascii="Times New Roman" w:cs="Times New Roman" w:eastAsia="Times New Roman" w:hAnsi="Times New Roman"/>
                <w:sz w:val="22"/>
                <w:szCs w:val="22"/>
                <w:color w:val="008000"/>
                <w:vertAlign w:val="superscript"/>
              </w:rPr>
              <w:t>(1)</w:t>
            </w:r>
          </w:p>
        </w:tc>
        <w:tc>
          <w:tcPr>
            <w:tcW w:w="98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223</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8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9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December 31, 2019 in respect of $25,750 of deferred compensation. The number of notional units credited is calculated by dividing the amount of compensation that is deferred by the closing price of the company's common stock on the date of deferral, or last business day prior. On December 31, 2019, the closing price of Fiserv's common stock was $115.63 per share. Following cessation of the reporting person's service to the company, each notional unit will be settled in shares of Fiserv common stock on a one-for-one basis.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1" w:lineRule="auto"/>
        <w:rPr>
          <w:sz w:val="20"/>
          <w:szCs w:val="20"/>
          <w:color w:val="auto"/>
        </w:rPr>
      </w:pPr>
      <w:r>
        <w:rPr>
          <w:rFonts w:ascii="Times New Roman" w:cs="Times New Roman" w:eastAsia="Times New Roman" w:hAnsi="Times New Roman"/>
          <w:sz w:val="17"/>
          <w:szCs w:val="17"/>
          <w:color w:val="0000FF"/>
        </w:rPr>
        <w:t xml:space="preserve">/s/ Lynn S. McCreary (attorney- </w:t>
      </w:r>
      <w:r>
        <w:rPr>
          <w:rFonts w:ascii="Times New Roman" w:cs="Times New Roman" w:eastAsia="Times New Roman" w:hAnsi="Times New Roman"/>
          <w:sz w:val="34"/>
          <w:szCs w:val="34"/>
          <w:color w:val="0000FF"/>
          <w:vertAlign w:val="subscript"/>
        </w:rPr>
        <w:t>01/03/2020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409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323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29"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7606"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2020-01-03T16:48:04Z</dcterms:created>
  <dcterms:modified xsi:type="dcterms:W3CDTF">2020-01-03T16:48:04Z</dcterms:modified>
</cp:coreProperties>
</file>