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14605</wp:posOffset>
            </wp:positionV>
            <wp:extent cx="7046595" cy="4665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2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Simons Doyle</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FISERV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FISV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03/31/2022</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 w:right="660" w:firstLine="1"/>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3" w:lineRule="exact"/>
        <w:rPr>
          <w:sz w:val="24"/>
          <w:szCs w:val="24"/>
          <w:color w:val="auto"/>
        </w:rPr>
      </w:pPr>
    </w:p>
    <w:p>
      <w:pPr>
        <w:sectPr>
          <w:pgSz w:w="11900" w:h="16838" w:orient="portrait"/>
          <w:cols w:equalWidth="0" w:num="3">
            <w:col w:w="3180" w:space="720"/>
            <w:col w:w="3101" w:space="720"/>
            <w:col w:w="3359"/>
          </w:cols>
          <w:pgMar w:left="460" w:top="221" w:right="359" w:bottom="1440" w:gutter="0" w:footer="0" w:header="0"/>
          <w:type w:val="continuous"/>
        </w:sectPr>
      </w:pPr>
    </w:p>
    <w:p>
      <w:pPr>
        <w:spacing w:after="0" w:line="23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BROOKFIELD</w:t>
            </w:r>
          </w:p>
        </w:tc>
        <w:tc>
          <w:tcPr>
            <w:tcW w:w="880" w:type="dxa"/>
            <w:vAlign w:val="bottom"/>
          </w:tcPr>
          <w:p>
            <w:pPr>
              <w:ind w:left="80"/>
              <w:spacing w:after="0"/>
              <w:rPr>
                <w:sz w:val="20"/>
                <w:szCs w:val="20"/>
                <w:color w:val="auto"/>
              </w:rPr>
            </w:pPr>
            <w:r>
              <w:rPr>
                <w:rFonts w:ascii="Arial" w:cs="Arial" w:eastAsia="Arial" w:hAnsi="Arial"/>
                <w:sz w:val="17"/>
                <w:szCs w:val="17"/>
                <w:color w:val="0000FF"/>
              </w:rPr>
              <w:t>WI</w:t>
            </w:r>
          </w:p>
        </w:tc>
        <w:tc>
          <w:tcPr>
            <w:tcW w:w="1600" w:type="dxa"/>
            <w:vAlign w:val="bottom"/>
          </w:tcPr>
          <w:p>
            <w:pPr>
              <w:ind w:left="420"/>
              <w:spacing w:after="0"/>
              <w:rPr>
                <w:sz w:val="20"/>
                <w:szCs w:val="20"/>
                <w:color w:val="auto"/>
              </w:rPr>
            </w:pPr>
            <w:r>
              <w:rPr>
                <w:rFonts w:ascii="Arial" w:cs="Arial" w:eastAsia="Arial" w:hAnsi="Arial"/>
                <w:sz w:val="17"/>
                <w:szCs w:val="17"/>
                <w:color w:val="0000FF"/>
              </w:rPr>
              <w:t>53045</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2"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Arial" w:cs="Arial" w:eastAsia="Arial" w:hAnsi="Arial"/>
                <w:sz w:val="13"/>
                <w:szCs w:val="13"/>
                <w:color w:val="0000FF"/>
                <w:w w:val="93"/>
              </w:rPr>
              <w:t>Compensation</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right"/>
              <w:ind w:right="201"/>
              <w:spacing w:after="0"/>
              <w:rPr>
                <w:sz w:val="20"/>
                <w:szCs w:val="20"/>
                <w:color w:val="auto"/>
              </w:rPr>
            </w:pPr>
            <w:r>
              <w:rPr>
                <w:rFonts w:ascii="Arial" w:cs="Arial" w:eastAsia="Arial" w:hAnsi="Arial"/>
                <w:sz w:val="13"/>
                <w:szCs w:val="13"/>
                <w:color w:val="0000FF"/>
              </w:rPr>
              <w:t>03/31/2022</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rPr>
                <w:sz w:val="20"/>
                <w:szCs w:val="20"/>
                <w:color w:val="auto"/>
              </w:rPr>
            </w:pPr>
            <w:r>
              <w:rPr>
                <w:rFonts w:ascii="Arial" w:cs="Arial" w:eastAsia="Arial" w:hAnsi="Arial"/>
                <w:sz w:val="13"/>
                <w:szCs w:val="13"/>
                <w:color w:val="0000FF"/>
              </w:rPr>
              <w:t>267</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44"/>
              <w:spacing w:after="0"/>
              <w:rPr>
                <w:sz w:val="20"/>
                <w:szCs w:val="20"/>
                <w:color w:val="auto"/>
              </w:rPr>
            </w:pPr>
            <w:r>
              <w:rPr>
                <w:rFonts w:ascii="Arial" w:cs="Arial" w:eastAsia="Arial" w:hAnsi="Arial"/>
                <w:sz w:val="11"/>
                <w:szCs w:val="11"/>
                <w:color w:val="008000"/>
              </w:rPr>
              <w:t>(1)</w:t>
            </w: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267</w:t>
            </w:r>
          </w:p>
        </w:tc>
        <w:tc>
          <w:tcPr>
            <w:tcW w:w="6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101.4</w:t>
            </w:r>
            <w:r>
              <w:rPr>
                <w:rFonts w:ascii="Arial" w:cs="Arial" w:eastAsia="Arial" w:hAnsi="Arial"/>
                <w:sz w:val="21"/>
                <w:szCs w:val="21"/>
                <w:color w:val="008000"/>
                <w:vertAlign w:val="superscript"/>
              </w:rPr>
              <w:t>(1)</w:t>
            </w:r>
          </w:p>
        </w:tc>
        <w:tc>
          <w:tcPr>
            <w:tcW w:w="920" w:type="dxa"/>
            <w:vAlign w:val="bottom"/>
            <w:vMerge w:val="restart"/>
          </w:tcPr>
          <w:p>
            <w:pPr>
              <w:ind w:left="280"/>
              <w:spacing w:after="0"/>
              <w:rPr>
                <w:sz w:val="20"/>
                <w:szCs w:val="20"/>
                <w:color w:val="auto"/>
              </w:rPr>
            </w:pPr>
            <w:r>
              <w:rPr>
                <w:rFonts w:ascii="Arial" w:cs="Arial" w:eastAsia="Arial" w:hAnsi="Arial"/>
                <w:sz w:val="13"/>
                <w:szCs w:val="13"/>
                <w:color w:val="0000FF"/>
              </w:rPr>
              <w:t>41,098</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60" w:type="dxa"/>
            <w:vAlign w:val="bottom"/>
            <w:vMerge w:val="restart"/>
          </w:tcPr>
          <w:p>
            <w:pPr>
              <w:ind w:left="60"/>
              <w:spacing w:after="0"/>
              <w:rPr>
                <w:sz w:val="20"/>
                <w:szCs w:val="20"/>
                <w:color w:val="auto"/>
              </w:rPr>
            </w:pPr>
            <w:r>
              <w:rPr>
                <w:rFonts w:ascii="Arial" w:cs="Arial" w:eastAsia="Arial" w:hAnsi="Arial"/>
                <w:sz w:val="13"/>
                <w:szCs w:val="13"/>
                <w:color w:val="0000FF"/>
              </w:rPr>
              <w:t>Notional</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160" w:firstLine="1"/>
        <w:spacing w:after="0" w:line="233"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March 31, 2022 in respect of $27,000 of deferred compensation. The number of notional units credited is calculated by dividing the amount of compensation that is deferred by the closing price of the company's common stock on the date of deferral, or last business day prior. On March 31, 2022, the closing price of Fiserv's common stock was $101.40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21" w:right="359" w:bottom="1440" w:gutter="0" w:footer="0" w:header="0"/>
          <w:type w:val="continuous"/>
        </w:sectPr>
      </w:pP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1905</wp:posOffset>
            </wp:positionV>
            <wp:extent cx="1313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2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42"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122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5"/>
          <w:szCs w:val="15"/>
          <w:color w:val="0000FF"/>
        </w:rPr>
        <w:t>04/04/2022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7" w:lineRule="exact"/>
        <w:rPr>
          <w:sz w:val="24"/>
          <w:szCs w:val="24"/>
          <w:color w:val="auto"/>
        </w:rPr>
      </w:pPr>
    </w:p>
    <w:p>
      <w:pPr>
        <w:sectPr>
          <w:pgSz w:w="11900" w:h="16838" w:orient="portrait"/>
          <w:cols w:equalWidth="0" w:num="2">
            <w:col w:w="8660" w:space="14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5922"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2022-04-04T16:13:30Z</dcterms:created>
  <dcterms:modified xsi:type="dcterms:W3CDTF">2022-04-04T16:13:30Z</dcterms:modified>
</cp:coreProperties>
</file>