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-595630</wp:posOffset>
            </wp:positionV>
            <wp:extent cx="8255" cy="5962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-603885</wp:posOffset>
            </wp:positionV>
            <wp:extent cx="8255" cy="6045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-579755</wp:posOffset>
            </wp:positionV>
            <wp:extent cx="1264920" cy="556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26035</wp:posOffset>
            </wp:positionV>
            <wp:extent cx="6970395" cy="1587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58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Chiarello Guy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FISV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02/09/2021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3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Administrative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BROOKFIELD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53045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147320</wp:posOffset>
            </wp:positionV>
            <wp:extent cx="6970395" cy="1281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28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02/09/2021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36.54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309,637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02/09/2021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112.65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289,637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07/11/2014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36.54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07/11/2023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379,292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-1853565</wp:posOffset>
            </wp:positionV>
            <wp:extent cx="7034530" cy="19900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9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exercise and sale was effected pursuant to a Rule 10b5-1 trading plan entered into by the reporting person for estate and financial planning purposes.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five equal installments on each anniversary of the grant date, July 11, 2013.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Lynn S. McCreary (attorney-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411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3079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7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54667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2021-02-10T15:24:32Z</dcterms:created>
  <dcterms:modified xsi:type="dcterms:W3CDTF">2021-02-10T15:24:32Z</dcterms:modified>
</cp:coreProperties>
</file>