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May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39-1506125</w:t>
      </w:r>
    </w:p>
    <w:p>
      <w:pPr>
        <w:spacing w:after="0" w:line="24"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255 Fiserv Drive, Brookfield, Wisconsin 53045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(262) 879-5000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FISV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0.375% Senior Notes due 2023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FISV23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1.125%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1.625%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2.250% Senior Notes due 2025</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FISV25</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3.000%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Fiserv, Inc. (the “Company”) held its annual meeting of shareholders on May 18, 2022. At that meeting, the Company’s shareholders voted on four matters as follows: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shareholders elected nine directors to serve until the next annual meeting of shareholders and until each of their successors is elected and qualified by the following votes: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Frank J. Bisignano</w:t>
            </w: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191"/>
        </w:trPr>
        <w:tc>
          <w:tcPr>
            <w:tcW w:w="5380" w:type="dxa"/>
            <w:vAlign w:val="bottom"/>
            <w:vMerge w:val="continue"/>
          </w:tcPr>
          <w:p>
            <w:pPr>
              <w:spacing w:after="0"/>
              <w:rPr>
                <w:sz w:val="16"/>
                <w:szCs w:val="16"/>
                <w:color w:val="auto"/>
              </w:rPr>
            </w:pP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527,938,055</w:t>
            </w:r>
          </w:p>
        </w:tc>
        <w:tc>
          <w:tcPr>
            <w:tcW w:w="400" w:type="dxa"/>
            <w:vAlign w:val="bottom"/>
          </w:tcPr>
          <w:p>
            <w:pPr>
              <w:spacing w:after="0"/>
              <w:rPr>
                <w:sz w:val="16"/>
                <w:szCs w:val="16"/>
                <w:color w:val="auto"/>
              </w:rPr>
            </w:pPr>
          </w:p>
        </w:tc>
        <w:tc>
          <w:tcPr>
            <w:tcW w:w="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26,421,905</w:t>
            </w:r>
          </w:p>
        </w:tc>
        <w:tc>
          <w:tcPr>
            <w:tcW w:w="4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Alison Davis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532,032,322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22,327,638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Henrique de Castro</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539,490,025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14,869,935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Harry F. DiSimone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536,104,416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18,255,544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Dylan G. Haggart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552,635,590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1,724,370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Wafaa Mamilli</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552,748,360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1,611,600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Heidi G. Miller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550,779,942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3,580,018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Doyle R. Simons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512,540,764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41,819,196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Kevin M. Warren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532,089,881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22,270,079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38,867,488</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Vote to Approve Named Executive Officer Compensation</w:t>
      </w:r>
    </w:p>
    <w:p>
      <w:pPr>
        <w:spacing w:after="0" w:line="1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on an advisory basis, the compensation of the Company’s named executive officers as disclosed in its 2022 proxy statement by the following votes: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2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44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487,328,214</w:t>
            </w:r>
          </w:p>
        </w:tc>
        <w:tc>
          <w:tcPr>
            <w:tcW w:w="120" w:type="dxa"/>
            <w:vAlign w:val="bottom"/>
          </w:tcPr>
          <w:p>
            <w:pPr>
              <w:spacing w:after="0"/>
              <w:rPr>
                <w:sz w:val="19"/>
                <w:szCs w:val="19"/>
                <w:color w:val="auto"/>
              </w:rPr>
            </w:pPr>
          </w:p>
        </w:tc>
        <w:tc>
          <w:tcPr>
            <w:tcW w:w="24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63,953,368</w:t>
            </w:r>
          </w:p>
        </w:tc>
        <w:tc>
          <w:tcPr>
            <w:tcW w:w="100" w:type="dxa"/>
            <w:vAlign w:val="bottom"/>
          </w:tcPr>
          <w:p>
            <w:pPr>
              <w:spacing w:after="0"/>
              <w:rPr>
                <w:sz w:val="19"/>
                <w:szCs w:val="19"/>
                <w:color w:val="auto"/>
              </w:rPr>
            </w:pPr>
          </w:p>
        </w:tc>
        <w:tc>
          <w:tcPr>
            <w:tcW w:w="25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3,078,378</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38,867,488</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Ratification of Independent Registered Public Accounting Firm</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shareholders ratified the appointment of Deloitte &amp; Touche LLP as the Company’s independent registered public accounting firm for the year ending December 31, 2022, by the following votes:</w:t>
      </w:r>
    </w:p>
    <w:p>
      <w:pPr>
        <w:spacing w:after="0" w:line="182" w:lineRule="exact"/>
        <w:rPr>
          <w:sz w:val="20"/>
          <w:szCs w:val="20"/>
          <w:color w:val="auto"/>
        </w:rPr>
      </w:pPr>
    </w:p>
    <w:tbl>
      <w:tblPr>
        <w:tblLayout w:type="fixed"/>
        <w:tblInd w:w="840" w:type="dxa"/>
        <w:tblCellMar>
          <w:top w:w="0" w:type="dxa"/>
          <w:left w:w="0" w:type="dxa"/>
          <w:bottom w:w="0" w:type="dxa"/>
          <w:right w:w="0" w:type="dxa"/>
        </w:tblCellMar>
      </w:tblPr>
      <w:tr>
        <w:trPr>
          <w:trHeight w:val="187"/>
        </w:trPr>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06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16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558,274,840</w:t>
            </w:r>
          </w:p>
        </w:tc>
        <w:tc>
          <w:tcPr>
            <w:tcW w:w="140" w:type="dxa"/>
            <w:vAlign w:val="bottom"/>
          </w:tcPr>
          <w:p>
            <w:pPr>
              <w:spacing w:after="0"/>
              <w:rPr>
                <w:sz w:val="19"/>
                <w:szCs w:val="19"/>
                <w:color w:val="auto"/>
              </w:rPr>
            </w:pPr>
          </w:p>
        </w:tc>
        <w:tc>
          <w:tcPr>
            <w:tcW w:w="298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34,380,182</w:t>
            </w:r>
          </w:p>
        </w:tc>
        <w:tc>
          <w:tcPr>
            <w:tcW w:w="80" w:type="dxa"/>
            <w:vAlign w:val="bottom"/>
          </w:tcPr>
          <w:p>
            <w:pPr>
              <w:spacing w:after="0"/>
              <w:rPr>
                <w:sz w:val="19"/>
                <w:szCs w:val="19"/>
                <w:color w:val="auto"/>
              </w:rPr>
            </w:pPr>
          </w:p>
        </w:tc>
        <w:tc>
          <w:tcPr>
            <w:tcW w:w="298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572,426</w:t>
            </w:r>
          </w:p>
        </w:tc>
      </w:tr>
    </w:tbl>
    <w:p>
      <w:pPr>
        <w:sectPr>
          <w:pgSz w:w="11900" w:h="16838" w:orient="portrait"/>
          <w:cols w:equalWidth="0" w:num="1">
            <w:col w:w="10760"/>
          </w:cols>
          <w:pgMar w:left="440" w:top="293"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Shareholder Proposal Requesting Shareholder Approval of Senior Manager Severance and Termination Payments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shareholders approved a shareholder proposal requesting the board seek shareholder approval of senior manager severance and termination payments by the following votes: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244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280,816,645</w:t>
            </w:r>
          </w:p>
        </w:tc>
        <w:tc>
          <w:tcPr>
            <w:tcW w:w="120" w:type="dxa"/>
            <w:vAlign w:val="bottom"/>
          </w:tcPr>
          <w:p>
            <w:pPr>
              <w:spacing w:after="0"/>
              <w:rPr>
                <w:sz w:val="19"/>
                <w:szCs w:val="19"/>
                <w:color w:val="auto"/>
              </w:rPr>
            </w:pPr>
          </w:p>
        </w:tc>
        <w:tc>
          <w:tcPr>
            <w:tcW w:w="242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272,826,480</w:t>
            </w:r>
          </w:p>
        </w:tc>
        <w:tc>
          <w:tcPr>
            <w:tcW w:w="100" w:type="dxa"/>
            <w:vAlign w:val="bottom"/>
          </w:tcPr>
          <w:p>
            <w:pPr>
              <w:spacing w:after="0"/>
              <w:rPr>
                <w:sz w:val="19"/>
                <w:szCs w:val="19"/>
                <w:color w:val="auto"/>
              </w:rPr>
            </w:pPr>
          </w:p>
        </w:tc>
        <w:tc>
          <w:tcPr>
            <w:tcW w:w="252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716,835</w:t>
            </w:r>
          </w:p>
        </w:tc>
        <w:tc>
          <w:tcPr>
            <w:tcW w:w="100" w:type="dxa"/>
            <w:vAlign w:val="bottom"/>
          </w:tcPr>
          <w:p>
            <w:pPr>
              <w:spacing w:after="0"/>
              <w:rPr>
                <w:sz w:val="19"/>
                <w:szCs w:val="19"/>
                <w:color w:val="auto"/>
              </w:rPr>
            </w:pPr>
          </w:p>
        </w:tc>
        <w:tc>
          <w:tcPr>
            <w:tcW w:w="24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38,867,488</w:t>
            </w:r>
          </w:p>
        </w:tc>
      </w:tr>
    </w:tbl>
    <w:p>
      <w:pPr>
        <w:sectPr>
          <w:pgSz w:w="11900" w:h="16838" w:orient="portrait"/>
          <w:cols w:equalWidth="0" w:num="1">
            <w:col w:w="10560"/>
          </w:cols>
          <w:pgMar w:left="440" w:top="295" w:right="8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FISERV,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20,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2022-05-20T15:33:00Z</dcterms:created>
  <dcterms:modified xsi:type="dcterms:W3CDTF">2022-05-20T15:33:00Z</dcterms:modified>
</cp:coreProperties>
</file>