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rPr>
          <w:sz w:val="20"/>
          <w:szCs w:val="20"/>
          <w:color w:val="auto"/>
        </w:rPr>
      </w:pPr>
      <w:r>
        <w:rPr>
          <w:rFonts w:ascii="Courier New" w:cs="Courier New" w:eastAsia="Courier New" w:hAnsi="Courier New"/>
          <w:sz w:val="18"/>
          <w:szCs w:val="18"/>
          <w:color w:val="auto"/>
        </w:rPr>
        <w:t>WASHINGTON, D. C. 20549</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FOR QUARTER ENDED JUNE 30, 1999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 0-14948</w:t>
      </w:r>
    </w:p>
    <w:p>
      <w:pPr>
        <w:spacing w:after="0" w:line="200" w:lineRule="exact"/>
        <w:rPr>
          <w:sz w:val="24"/>
          <w:szCs w:val="24"/>
          <w:color w:val="auto"/>
        </w:rPr>
      </w:pPr>
    </w:p>
    <w:p>
      <w:pPr>
        <w:sectPr>
          <w:pgSz w:w="11900" w:h="16838" w:orient="portrait"/>
          <w:cols w:equalWidth="0" w:num="2">
            <w:col w:w="4020" w:space="720"/>
            <w:col w:w="5479"/>
          </w:cols>
          <w:pgMar w:left="240" w:top="244" w:right="1440" w:bottom="144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FISERV, INC.</w:t>
      </w:r>
    </w:p>
    <w:p>
      <w:pPr>
        <w:spacing w:after="0" w:line="4"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39-1506125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(I. R. S. Employer</w:t>
      </w:r>
    </w:p>
    <w:p>
      <w:pPr>
        <w:ind w:left="220"/>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4760" w:space="720"/>
            <w:col w:w="4739"/>
          </w:cols>
          <w:pgMar w:left="240" w:top="244" w:right="1440" w:bottom="1440" w:gutter="0" w:footer="0" w:header="0"/>
          <w:type w:val="continuous"/>
        </w:sectPr>
      </w:pPr>
    </w:p>
    <w:p>
      <w:pPr>
        <w:spacing w:after="0" w:line="200" w:lineRule="exact"/>
        <w:rPr>
          <w:sz w:val="24"/>
          <w:szCs w:val="24"/>
          <w:color w:val="auto"/>
        </w:r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255 FISERV DRIVE, BROOKFIELD, WI</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(Address of principal executive office)</w:t>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53045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4760" w:space="720"/>
            <w:col w:w="4739"/>
          </w:cols>
          <w:pgMar w:left="240" w:top="244" w:right="1440" w:bottom="1440"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(414) 879 5000</w:t>
      </w:r>
    </w:p>
    <w:p>
      <w:pPr>
        <w:spacing w:after="0" w:line="200" w:lineRule="exact"/>
        <w:rPr>
          <w:sz w:val="24"/>
          <w:szCs w:val="24"/>
          <w:color w:val="auto"/>
        </w:rPr>
      </w:pPr>
    </w:p>
    <w:p>
      <w:pPr>
        <w:sectPr>
          <w:pgSz w:w="11900" w:h="16838" w:orient="portrait"/>
          <w:cols w:equalWidth="0" w:num="2">
            <w:col w:w="5920" w:space="720"/>
            <w:col w:w="3579"/>
          </w:cols>
          <w:pgMar w:left="240" w:top="244" w:right="1440" w:bottom="1440" w:gutter="0" w:footer="0" w:header="0"/>
          <w:type w:val="continuous"/>
        </w:sectPr>
      </w:pPr>
    </w:p>
    <w:p>
      <w:pPr>
        <w:spacing w:after="0" w:line="2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9"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As of July 16, 1999, there were 123,554,000 shares of common stock, $.01 par value, of the Registrant outstanding.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00"/>
        <w:spacing w:after="0"/>
        <w:rPr>
          <w:sz w:val="20"/>
          <w:szCs w:val="20"/>
          <w:color w:val="auto"/>
        </w:rPr>
      </w:pPr>
      <w:r>
        <w:rPr>
          <w:rFonts w:ascii="Courier New" w:cs="Courier New" w:eastAsia="Courier New" w:hAnsi="Courier New"/>
          <w:sz w:val="18"/>
          <w:szCs w:val="18"/>
          <w:color w:val="auto"/>
        </w:rPr>
        <w:t>FISERV, INC. AND SUBSIDIARIES</w:t>
      </w:r>
    </w:p>
    <w:p>
      <w:pPr>
        <w:ind w:left="2540"/>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ind w:left="2120"/>
        <w:spacing w:after="0"/>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280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Three Months Ended</w:t>
            </w:r>
          </w:p>
        </w:tc>
        <w:tc>
          <w:tcPr>
            <w:tcW w:w="278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960" w:type="dxa"/>
            <w:vAlign w:val="bottom"/>
          </w:tcPr>
          <w:p>
            <w:pPr>
              <w:spacing w:after="0"/>
              <w:rPr>
                <w:sz w:val="17"/>
                <w:szCs w:val="17"/>
                <w:color w:val="auto"/>
              </w:rPr>
            </w:pPr>
          </w:p>
        </w:tc>
        <w:tc>
          <w:tcPr>
            <w:tcW w:w="2800" w:type="dxa"/>
            <w:vAlign w:val="bottom"/>
            <w:gridSpan w:val="2"/>
          </w:tcPr>
          <w:p>
            <w:pPr>
              <w:jc w:val="right"/>
              <w:ind w:right="1032"/>
              <w:spacing w:after="0" w:line="203" w:lineRule="exact"/>
              <w:rPr>
                <w:sz w:val="20"/>
                <w:szCs w:val="20"/>
                <w:color w:val="auto"/>
              </w:rPr>
            </w:pPr>
            <w:r>
              <w:rPr>
                <w:rFonts w:ascii="Courier New" w:cs="Courier New" w:eastAsia="Courier New" w:hAnsi="Courier New"/>
                <w:sz w:val="18"/>
                <w:szCs w:val="18"/>
                <w:color w:val="auto"/>
              </w:rPr>
              <w:t>June 30,</w:t>
            </w:r>
          </w:p>
        </w:tc>
        <w:tc>
          <w:tcPr>
            <w:tcW w:w="1260" w:type="dxa"/>
            <w:vAlign w:val="bottom"/>
          </w:tcPr>
          <w:p>
            <w:pPr>
              <w:spacing w:after="0"/>
              <w:rPr>
                <w:sz w:val="17"/>
                <w:szCs w:val="17"/>
                <w:color w:val="auto"/>
              </w:rPr>
            </w:pPr>
          </w:p>
        </w:tc>
        <w:tc>
          <w:tcPr>
            <w:tcW w:w="15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960" w:type="dxa"/>
            <w:vAlign w:val="bottom"/>
          </w:tcPr>
          <w:p>
            <w:pPr>
              <w:spacing w:after="0"/>
              <w:rPr>
                <w:sz w:val="17"/>
                <w:szCs w:val="17"/>
                <w:color w:val="auto"/>
              </w:rPr>
            </w:pPr>
          </w:p>
        </w:tc>
        <w:tc>
          <w:tcPr>
            <w:tcW w:w="28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1999</w:t>
            </w: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1998</w:t>
            </w:r>
          </w:p>
        </w:tc>
        <w:tc>
          <w:tcPr>
            <w:tcW w:w="12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1999</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9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$343,252</w:t>
            </w:r>
          </w:p>
        </w:tc>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$311,220</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$680,381</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$585,049</w:t>
            </w:r>
          </w:p>
        </w:tc>
      </w:tr>
      <w:tr>
        <w:trPr>
          <w:trHeight w:val="203"/>
        </w:trPr>
        <w:tc>
          <w:tcPr>
            <w:tcW w:w="49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Salaries, commissions and payroll</w:t>
            </w: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related costs</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163,619</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144,302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323,165</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272,485</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Data processing expenses, rentals</w:t>
            </w: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telecommunication costs</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26,904</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28,561</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57,524</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55,957</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operating expenses</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69,510</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68,908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133,483</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121,281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 of</w:t>
            </w: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property and equipment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14,891</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14,613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29,659</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28,811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intangible assets</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4,825</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3,867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9,373</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7,331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(capitalization) of internally</w:t>
            </w: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generated computer software-net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989</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(1,853)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4,040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(3,022)</w:t>
            </w:r>
          </w:p>
        </w:tc>
      </w:tr>
      <w:tr>
        <w:trPr>
          <w:trHeight w:val="203"/>
        </w:trPr>
        <w:tc>
          <w:tcPr>
            <w:tcW w:w="49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cost of revenues</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280,738</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258,398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557,244</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482,843</w:t>
            </w:r>
          </w:p>
        </w:tc>
      </w:tr>
      <w:tr>
        <w:trPr>
          <w:trHeight w:val="203"/>
        </w:trPr>
        <w:tc>
          <w:tcPr>
            <w:tcW w:w="49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62,514</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52,822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123,137</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102,206</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 net</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4,315</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4,228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8,300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7,595</w:t>
            </w:r>
          </w:p>
        </w:tc>
      </w:tr>
      <w:tr>
        <w:trPr>
          <w:trHeight w:val="203"/>
        </w:trPr>
        <w:tc>
          <w:tcPr>
            <w:tcW w:w="49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58,199</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48,594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114,837</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94,611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23,861</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19,924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47,083</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38,791</w:t>
            </w:r>
          </w:p>
        </w:tc>
      </w:tr>
      <w:tr>
        <w:trPr>
          <w:trHeight w:val="203"/>
        </w:trPr>
        <w:tc>
          <w:tcPr>
            <w:tcW w:w="49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$34,338</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$28,670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$67,754</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$55,820</w:t>
            </w:r>
          </w:p>
        </w:tc>
      </w:tr>
      <w:tr>
        <w:trPr>
          <w:trHeight w:val="203"/>
        </w:trPr>
        <w:tc>
          <w:tcPr>
            <w:tcW w:w="49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Basic</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$0.28</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$0.23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$0.55</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$0.45</w:t>
            </w:r>
          </w:p>
        </w:tc>
      </w:tr>
      <w:tr>
        <w:trPr>
          <w:trHeight w:val="203"/>
        </w:trPr>
        <w:tc>
          <w:tcPr>
            <w:tcW w:w="49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$0.27</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$0.22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$0.53</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$0.44</w:t>
            </w:r>
          </w:p>
        </w:tc>
      </w:tr>
      <w:tr>
        <w:trPr>
          <w:trHeight w:val="203"/>
        </w:trPr>
        <w:tc>
          <w:tcPr>
            <w:tcW w:w="49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w w:val="99"/>
              </w:rPr>
              <w:t>SHARES USED IN COMPUTING NET INCOME PER SHARE:</w:t>
            </w: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Basic</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123,498</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124,686</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123,364</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122,772</w:t>
            </w:r>
          </w:p>
        </w:tc>
      </w:tr>
      <w:tr>
        <w:trPr>
          <w:trHeight w:val="203"/>
        </w:trPr>
        <w:tc>
          <w:tcPr>
            <w:tcW w:w="49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Diluted</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127,302</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128,895</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127,591</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126,846</w:t>
            </w:r>
          </w:p>
        </w:tc>
      </w:tr>
      <w:tr>
        <w:trPr>
          <w:trHeight w:val="203"/>
        </w:trPr>
        <w:tc>
          <w:tcPr>
            <w:tcW w:w="49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540"/>
          </w:cols>
          <w:pgMar w:left="240" w:top="312" w:right="111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FISERV, INC. AND SUBSIDIARIES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CONSOLIDATED BALANCE SHEETS</w:t>
      </w:r>
    </w:p>
    <w:p>
      <w:pPr>
        <w:jc w:val="center"/>
        <w:ind w:right="2099"/>
        <w:spacing w:after="0"/>
        <w:rPr>
          <w:sz w:val="20"/>
          <w:szCs w:val="20"/>
          <w:color w:val="auto"/>
        </w:rPr>
      </w:pPr>
      <w:r>
        <w:rPr>
          <w:rFonts w:ascii="Courier New" w:cs="Courier New" w:eastAsia="Courier New" w:hAnsi="Courier New"/>
          <w:sz w:val="18"/>
          <w:szCs w:val="18"/>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5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7"/>
              </w:rPr>
              <w:t>June 30,</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1999</w:t>
            </w:r>
          </w:p>
        </w:tc>
        <w:tc>
          <w:tcPr>
            <w:tcW w:w="320" w:type="dxa"/>
            <w:vAlign w:val="bottom"/>
          </w:tcPr>
          <w:p>
            <w:pPr>
              <w:spacing w:after="0"/>
              <w:rPr>
                <w:sz w:val="17"/>
                <w:szCs w:val="17"/>
                <w:color w:val="auto"/>
              </w:rPr>
            </w:pP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000" w:type="dxa"/>
            <w:vAlign w:val="bottom"/>
          </w:tcPr>
          <w:p>
            <w:pPr>
              <w:spacing w:after="0"/>
              <w:rPr>
                <w:sz w:val="17"/>
                <w:szCs w:val="17"/>
                <w:color w:val="auto"/>
              </w:rPr>
            </w:pPr>
          </w:p>
        </w:tc>
        <w:tc>
          <w:tcPr>
            <w:tcW w:w="2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0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62,439</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71,558</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6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224,411</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246,851</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processing receivables</w:t>
            </w:r>
          </w:p>
        </w:tc>
        <w:tc>
          <w:tcPr>
            <w:tcW w:w="6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2,381,622</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1,402,650</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6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83,337</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83,453</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 account investments</w:t>
            </w:r>
          </w:p>
        </w:tc>
        <w:tc>
          <w:tcPr>
            <w:tcW w:w="6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1,246,310</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1,098,773</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investments</w:t>
            </w:r>
          </w:p>
        </w:tc>
        <w:tc>
          <w:tcPr>
            <w:tcW w:w="6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413,000</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180,099</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680" w:type="dxa"/>
            <w:vAlign w:val="bottom"/>
          </w:tcPr>
          <w:p>
            <w:pPr>
              <w:spacing w:after="0"/>
              <w:rPr>
                <w:sz w:val="17"/>
                <w:szCs w:val="17"/>
                <w:color w:val="auto"/>
              </w:rPr>
            </w:pPr>
          </w:p>
        </w:tc>
        <w:tc>
          <w:tcPr>
            <w:tcW w:w="1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14,545</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equipment-net</w:t>
            </w:r>
          </w:p>
        </w:tc>
        <w:tc>
          <w:tcPr>
            <w:tcW w:w="6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186,875</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179,434</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Internally generated computer software-net</w:t>
            </w:r>
          </w:p>
        </w:tc>
        <w:tc>
          <w:tcPr>
            <w:tcW w:w="6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83,159</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85,821</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assets-net</w:t>
            </w:r>
          </w:p>
        </w:tc>
        <w:tc>
          <w:tcPr>
            <w:tcW w:w="6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652,401</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595,154</w:t>
            </w:r>
          </w:p>
        </w:tc>
      </w:tr>
      <w:tr>
        <w:trPr>
          <w:trHeight w:val="203"/>
        </w:trPr>
        <w:tc>
          <w:tcPr>
            <w:tcW w:w="5000" w:type="dxa"/>
            <w:vAlign w:val="bottom"/>
          </w:tcPr>
          <w:p>
            <w:pPr>
              <w:spacing w:after="0"/>
              <w:rPr>
                <w:sz w:val="17"/>
                <w:szCs w:val="17"/>
                <w:color w:val="auto"/>
              </w:rPr>
            </w:pPr>
          </w:p>
        </w:tc>
        <w:tc>
          <w:tcPr>
            <w:tcW w:w="2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2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$ 5,333,554</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$ 3,958,338</w:t>
            </w:r>
          </w:p>
        </w:tc>
      </w:tr>
      <w:tr>
        <w:trPr>
          <w:trHeight w:val="203"/>
        </w:trPr>
        <w:tc>
          <w:tcPr>
            <w:tcW w:w="5000" w:type="dxa"/>
            <w:vAlign w:val="bottom"/>
          </w:tcPr>
          <w:p>
            <w:pPr>
              <w:spacing w:after="0"/>
              <w:rPr>
                <w:sz w:val="17"/>
                <w:szCs w:val="17"/>
                <w:color w:val="auto"/>
              </w:rPr>
            </w:pPr>
          </w:p>
        </w:tc>
        <w:tc>
          <w:tcPr>
            <w:tcW w:w="2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0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54,614</w:t>
            </w:r>
          </w:p>
        </w:tc>
        <w:tc>
          <w:tcPr>
            <w:tcW w:w="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65,385</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processing payables</w:t>
            </w:r>
          </w:p>
        </w:tc>
        <w:tc>
          <w:tcPr>
            <w:tcW w:w="6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2,060,096</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1,207,838</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borrowings</w:t>
            </w:r>
          </w:p>
        </w:tc>
        <w:tc>
          <w:tcPr>
            <w:tcW w:w="6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156,189</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38,350</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6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156,868</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150,519</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income taxes</w:t>
            </w:r>
          </w:p>
        </w:tc>
        <w:tc>
          <w:tcPr>
            <w:tcW w:w="6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14,937</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14,768</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revenues</w:t>
            </w:r>
          </w:p>
        </w:tc>
        <w:tc>
          <w:tcPr>
            <w:tcW w:w="6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108,798</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107,286</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 account deposits</w:t>
            </w:r>
          </w:p>
        </w:tc>
        <w:tc>
          <w:tcPr>
            <w:tcW w:w="6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1,247,348</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1,098,773</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6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69,648</w:t>
            </w:r>
          </w:p>
        </w:tc>
        <w:tc>
          <w:tcPr>
            <w:tcW w:w="32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6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390,859</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389,622</w:t>
            </w:r>
          </w:p>
        </w:tc>
      </w:tr>
      <w:tr>
        <w:trPr>
          <w:trHeight w:val="203"/>
        </w:trPr>
        <w:tc>
          <w:tcPr>
            <w:tcW w:w="5000" w:type="dxa"/>
            <w:vAlign w:val="bottom"/>
          </w:tcPr>
          <w:p>
            <w:pPr>
              <w:spacing w:after="0"/>
              <w:rPr>
                <w:sz w:val="17"/>
                <w:szCs w:val="17"/>
                <w:color w:val="auto"/>
              </w:rPr>
            </w:pPr>
          </w:p>
        </w:tc>
        <w:tc>
          <w:tcPr>
            <w:tcW w:w="2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w:t>
            </w:r>
          </w:p>
        </w:tc>
        <w:tc>
          <w:tcPr>
            <w:tcW w:w="6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4,259,357</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3,072,541</w:t>
            </w:r>
          </w:p>
        </w:tc>
      </w:tr>
      <w:tr>
        <w:trPr>
          <w:trHeight w:val="203"/>
        </w:trPr>
        <w:tc>
          <w:tcPr>
            <w:tcW w:w="5000" w:type="dxa"/>
            <w:vAlign w:val="bottom"/>
          </w:tcPr>
          <w:p>
            <w:pPr>
              <w:spacing w:after="0"/>
              <w:rPr>
                <w:sz w:val="17"/>
                <w:szCs w:val="17"/>
                <w:color w:val="auto"/>
              </w:rPr>
            </w:pPr>
          </w:p>
        </w:tc>
        <w:tc>
          <w:tcPr>
            <w:tcW w:w="2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0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issued, 125,350,000 and</w:t>
            </w: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124,880,000 shares, respectively</w:t>
            </w:r>
          </w:p>
        </w:tc>
        <w:tc>
          <w:tcPr>
            <w:tcW w:w="6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1,253</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1,249</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6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457,569</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448,461</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other comprehensive income</w:t>
            </w:r>
          </w:p>
        </w:tc>
        <w:tc>
          <w:tcPr>
            <w:tcW w:w="6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151,409</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39,875</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earnings</w:t>
            </w:r>
          </w:p>
        </w:tc>
        <w:tc>
          <w:tcPr>
            <w:tcW w:w="6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506,396</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438,642</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Treasury stock, at cost; 1,800,000 shares</w:t>
            </w: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 1999 and 1998</w:t>
            </w:r>
          </w:p>
        </w:tc>
        <w:tc>
          <w:tcPr>
            <w:tcW w:w="6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(42,430)</w:t>
            </w:r>
          </w:p>
        </w:tc>
        <w:tc>
          <w:tcPr>
            <w:tcW w:w="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(42,430)</w:t>
            </w:r>
          </w:p>
        </w:tc>
      </w:tr>
      <w:tr>
        <w:trPr>
          <w:trHeight w:val="203"/>
        </w:trPr>
        <w:tc>
          <w:tcPr>
            <w:tcW w:w="5000" w:type="dxa"/>
            <w:vAlign w:val="bottom"/>
          </w:tcPr>
          <w:p>
            <w:pPr>
              <w:spacing w:after="0"/>
              <w:rPr>
                <w:sz w:val="17"/>
                <w:szCs w:val="17"/>
                <w:color w:val="auto"/>
              </w:rPr>
            </w:pPr>
          </w:p>
        </w:tc>
        <w:tc>
          <w:tcPr>
            <w:tcW w:w="2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68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1,074,197</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885,797</w:t>
            </w:r>
          </w:p>
        </w:tc>
      </w:tr>
      <w:tr>
        <w:trPr>
          <w:trHeight w:val="203"/>
        </w:trPr>
        <w:tc>
          <w:tcPr>
            <w:tcW w:w="5000" w:type="dxa"/>
            <w:vAlign w:val="bottom"/>
          </w:tcPr>
          <w:p>
            <w:pPr>
              <w:spacing w:after="0"/>
              <w:rPr>
                <w:sz w:val="17"/>
                <w:szCs w:val="17"/>
                <w:color w:val="auto"/>
              </w:rPr>
            </w:pPr>
          </w:p>
        </w:tc>
        <w:tc>
          <w:tcPr>
            <w:tcW w:w="2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2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$ 5,333,554</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$ 3,958,338</w:t>
            </w:r>
          </w:p>
        </w:tc>
      </w:tr>
      <w:tr>
        <w:trPr>
          <w:trHeight w:val="203"/>
        </w:trPr>
        <w:tc>
          <w:tcPr>
            <w:tcW w:w="5000" w:type="dxa"/>
            <w:vAlign w:val="bottom"/>
          </w:tcPr>
          <w:p>
            <w:pPr>
              <w:spacing w:after="0"/>
              <w:rPr>
                <w:sz w:val="17"/>
                <w:szCs w:val="17"/>
                <w:color w:val="auto"/>
              </w:rPr>
            </w:pPr>
          </w:p>
        </w:tc>
        <w:tc>
          <w:tcPr>
            <w:tcW w:w="20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jc w:val="center"/>
        <w:ind w:right="2220"/>
        <w:spacing w:after="0"/>
        <w:rPr>
          <w:sz w:val="20"/>
          <w:szCs w:val="20"/>
          <w:color w:val="auto"/>
        </w:rPr>
      </w:pPr>
      <w:r>
        <w:rPr>
          <w:rFonts w:ascii="Courier New" w:cs="Courier New" w:eastAsia="Courier New" w:hAnsi="Courier New"/>
          <w:sz w:val="18"/>
          <w:szCs w:val="18"/>
          <w:color w:val="auto"/>
        </w:rPr>
        <w:t>FISERV, INC. AND SUBSIDIARIES</w:t>
      </w:r>
    </w:p>
    <w:p>
      <w:pPr>
        <w:ind w:left="2000"/>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ind w:left="2740"/>
        <w:spacing w:after="0"/>
        <w:rPr>
          <w:sz w:val="20"/>
          <w:szCs w:val="20"/>
          <w:color w:val="auto"/>
        </w:rPr>
      </w:pPr>
      <w:r>
        <w:rPr>
          <w:rFonts w:ascii="Courier New" w:cs="Courier New" w:eastAsia="Courier New" w:hAnsi="Courier New"/>
          <w:sz w:val="18"/>
          <w:szCs w:val="18"/>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6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6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6740" w:type="dxa"/>
            <w:vAlign w:val="bottom"/>
          </w:tcPr>
          <w:p>
            <w:pPr>
              <w:spacing w:after="0"/>
              <w:rPr>
                <w:sz w:val="17"/>
                <w:szCs w:val="17"/>
                <w:color w:val="auto"/>
              </w:rPr>
            </w:pPr>
          </w:p>
        </w:tc>
        <w:tc>
          <w:tcPr>
            <w:tcW w:w="30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1999</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6740" w:type="dxa"/>
            <w:vAlign w:val="bottom"/>
          </w:tcPr>
          <w:p>
            <w:pPr>
              <w:spacing w:after="0"/>
              <w:rPr>
                <w:sz w:val="17"/>
                <w:szCs w:val="17"/>
                <w:color w:val="auto"/>
              </w:rPr>
            </w:pPr>
          </w:p>
        </w:tc>
        <w:tc>
          <w:tcPr>
            <w:tcW w:w="1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67,754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55,820</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to net cash provided</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 operating activities:</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7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6,111</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5,170</w:t>
            </w:r>
          </w:p>
        </w:tc>
      </w:tr>
      <w:tr>
        <w:trPr>
          <w:trHeight w:val="203"/>
        </w:trPr>
        <w:tc>
          <w:tcPr>
            <w:tcW w:w="6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Depreciation and amortization of property and equipment</w:t>
            </w:r>
          </w:p>
        </w:tc>
        <w:tc>
          <w:tcPr>
            <w:tcW w:w="7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29,659</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28,811</w:t>
            </w:r>
          </w:p>
        </w:tc>
      </w:tr>
      <w:tr>
        <w:trPr>
          <w:trHeight w:val="203"/>
        </w:trPr>
        <w:tc>
          <w:tcPr>
            <w:tcW w:w="6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Amortization of intangible assets</w:t>
            </w:r>
          </w:p>
        </w:tc>
        <w:tc>
          <w:tcPr>
            <w:tcW w:w="7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9,373</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7,331</w:t>
            </w:r>
          </w:p>
        </w:tc>
      </w:tr>
      <w:tr>
        <w:trPr>
          <w:trHeight w:val="203"/>
        </w:trPr>
        <w:tc>
          <w:tcPr>
            <w:tcW w:w="6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Amortization (capitalization) of internally generated</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computer software-net</w:t>
            </w:r>
          </w:p>
        </w:tc>
        <w:tc>
          <w:tcPr>
            <w:tcW w:w="7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4,040</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(3,022)</w:t>
            </w:r>
          </w:p>
        </w:tc>
      </w:tr>
      <w:tr>
        <w:trPr>
          <w:trHeight w:val="203"/>
        </w:trPr>
        <w:tc>
          <w:tcPr>
            <w:tcW w:w="6740" w:type="dxa"/>
            <w:vAlign w:val="bottom"/>
          </w:tcPr>
          <w:p>
            <w:pPr>
              <w:spacing w:after="0"/>
              <w:rPr>
                <w:sz w:val="17"/>
                <w:szCs w:val="17"/>
                <w:color w:val="auto"/>
              </w:rPr>
            </w:pPr>
          </w:p>
        </w:tc>
        <w:tc>
          <w:tcPr>
            <w:tcW w:w="1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116,937</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94,110</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provided (used) by changes in assets and liabilities,</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net of effects from acquisitions of businesses:</w:t>
            </w: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7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22,937</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(563)</w:t>
            </w:r>
          </w:p>
        </w:tc>
      </w:tr>
      <w:tr>
        <w:trPr>
          <w:trHeight w:val="203"/>
        </w:trPr>
        <w:tc>
          <w:tcPr>
            <w:tcW w:w="6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7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8,620</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(1,227)</w:t>
            </w:r>
          </w:p>
        </w:tc>
      </w:tr>
      <w:tr>
        <w:trPr>
          <w:trHeight w:val="203"/>
        </w:trPr>
        <w:tc>
          <w:tcPr>
            <w:tcW w:w="6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74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(11,499)</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(2,099)</w:t>
            </w:r>
          </w:p>
        </w:tc>
      </w:tr>
      <w:tr>
        <w:trPr>
          <w:trHeight w:val="203"/>
        </w:trPr>
        <w:tc>
          <w:tcPr>
            <w:tcW w:w="6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Deferred revenue</w:t>
            </w:r>
          </w:p>
        </w:tc>
        <w:tc>
          <w:tcPr>
            <w:tcW w:w="7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717</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16,245</w:t>
            </w:r>
          </w:p>
        </w:tc>
      </w:tr>
      <w:tr>
        <w:trPr>
          <w:trHeight w:val="203"/>
        </w:trPr>
        <w:tc>
          <w:tcPr>
            <w:tcW w:w="6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7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4,632</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4,013</w:t>
            </w:r>
          </w:p>
        </w:tc>
      </w:tr>
      <w:tr>
        <w:trPr>
          <w:trHeight w:val="203"/>
        </w:trPr>
        <w:tc>
          <w:tcPr>
            <w:tcW w:w="6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Securities processing receivables and payables - net</w:t>
            </w:r>
          </w:p>
        </w:tc>
        <w:tc>
          <w:tcPr>
            <w:tcW w:w="74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(36,201)</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(29,255)</w:t>
            </w:r>
          </w:p>
        </w:tc>
      </w:tr>
      <w:tr>
        <w:trPr>
          <w:trHeight w:val="203"/>
        </w:trPr>
        <w:tc>
          <w:tcPr>
            <w:tcW w:w="6740" w:type="dxa"/>
            <w:vAlign w:val="bottom"/>
          </w:tcPr>
          <w:p>
            <w:pPr>
              <w:spacing w:after="0"/>
              <w:rPr>
                <w:sz w:val="17"/>
                <w:szCs w:val="17"/>
                <w:color w:val="auto"/>
              </w:rPr>
            </w:pPr>
          </w:p>
        </w:tc>
        <w:tc>
          <w:tcPr>
            <w:tcW w:w="1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7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106,143</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81,224</w:t>
            </w:r>
          </w:p>
        </w:tc>
      </w:tr>
      <w:tr>
        <w:trPr>
          <w:trHeight w:val="203"/>
        </w:trPr>
        <w:tc>
          <w:tcPr>
            <w:tcW w:w="6740" w:type="dxa"/>
            <w:vAlign w:val="bottom"/>
          </w:tcPr>
          <w:p>
            <w:pPr>
              <w:spacing w:after="0"/>
              <w:rPr>
                <w:sz w:val="17"/>
                <w:szCs w:val="17"/>
                <w:color w:val="auto"/>
              </w:rPr>
            </w:pPr>
          </w:p>
        </w:tc>
        <w:tc>
          <w:tcPr>
            <w:tcW w:w="1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74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(35,808)</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(31,391)</w:t>
            </w:r>
          </w:p>
        </w:tc>
      </w:tr>
      <w:tr>
        <w:trPr>
          <w:trHeight w:val="203"/>
        </w:trPr>
        <w:tc>
          <w:tcPr>
            <w:tcW w:w="6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Other investments</w:t>
            </w:r>
          </w:p>
        </w:tc>
        <w:tc>
          <w:tcPr>
            <w:tcW w:w="74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(39,312)</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(3,583)</w:t>
            </w:r>
          </w:p>
        </w:tc>
      </w:tr>
      <w:tr>
        <w:trPr>
          <w:trHeight w:val="203"/>
        </w:trPr>
        <w:tc>
          <w:tcPr>
            <w:tcW w:w="6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Payment for acquisition of businesses</w:t>
            </w:r>
          </w:p>
        </w:tc>
        <w:tc>
          <w:tcPr>
            <w:tcW w:w="74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(87,250)</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(87,842)</w:t>
            </w:r>
          </w:p>
        </w:tc>
      </w:tr>
      <w:tr>
        <w:trPr>
          <w:trHeight w:val="203"/>
        </w:trPr>
        <w:tc>
          <w:tcPr>
            <w:tcW w:w="6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Trust account investments</w:t>
            </w:r>
          </w:p>
        </w:tc>
        <w:tc>
          <w:tcPr>
            <w:tcW w:w="74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(149,499)</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4,173</w:t>
            </w:r>
          </w:p>
        </w:tc>
      </w:tr>
      <w:tr>
        <w:trPr>
          <w:trHeight w:val="203"/>
        </w:trPr>
        <w:tc>
          <w:tcPr>
            <w:tcW w:w="6740" w:type="dxa"/>
            <w:vAlign w:val="bottom"/>
          </w:tcPr>
          <w:p>
            <w:pPr>
              <w:spacing w:after="0"/>
              <w:rPr>
                <w:sz w:val="17"/>
                <w:szCs w:val="17"/>
                <w:color w:val="auto"/>
              </w:rPr>
            </w:pPr>
          </w:p>
        </w:tc>
        <w:tc>
          <w:tcPr>
            <w:tcW w:w="1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(used) by investing activities</w:t>
            </w:r>
          </w:p>
        </w:tc>
        <w:tc>
          <w:tcPr>
            <w:tcW w:w="74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(311,869)</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(118,643)</w:t>
            </w:r>
          </w:p>
        </w:tc>
      </w:tr>
      <w:tr>
        <w:trPr>
          <w:trHeight w:val="203"/>
        </w:trPr>
        <w:tc>
          <w:tcPr>
            <w:tcW w:w="6740" w:type="dxa"/>
            <w:vAlign w:val="bottom"/>
          </w:tcPr>
          <w:p>
            <w:pPr>
              <w:spacing w:after="0"/>
              <w:rPr>
                <w:sz w:val="17"/>
                <w:szCs w:val="17"/>
                <w:color w:val="auto"/>
              </w:rPr>
            </w:pPr>
          </w:p>
        </w:tc>
        <w:tc>
          <w:tcPr>
            <w:tcW w:w="1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6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Increase in short-term obligations - net</w:t>
            </w:r>
          </w:p>
        </w:tc>
        <w:tc>
          <w:tcPr>
            <w:tcW w:w="7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40,240</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9,625</w:t>
            </w:r>
          </w:p>
        </w:tc>
      </w:tr>
      <w:tr>
        <w:trPr>
          <w:trHeight w:val="203"/>
        </w:trPr>
        <w:tc>
          <w:tcPr>
            <w:tcW w:w="6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Increase in long-term obligations - net</w:t>
            </w:r>
          </w:p>
        </w:tc>
        <w:tc>
          <w:tcPr>
            <w:tcW w:w="7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2,679</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49,577</w:t>
            </w:r>
          </w:p>
        </w:tc>
      </w:tr>
      <w:tr>
        <w:trPr>
          <w:trHeight w:val="203"/>
        </w:trPr>
        <w:tc>
          <w:tcPr>
            <w:tcW w:w="6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Issuance (purchases) of common stock - net</w:t>
            </w:r>
          </w:p>
        </w:tc>
        <w:tc>
          <w:tcPr>
            <w:tcW w:w="7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5,113</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(36,524)</w:t>
            </w:r>
          </w:p>
        </w:tc>
      </w:tr>
      <w:tr>
        <w:trPr>
          <w:trHeight w:val="203"/>
        </w:trPr>
        <w:tc>
          <w:tcPr>
            <w:tcW w:w="6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Trust account deposits</w:t>
            </w:r>
          </w:p>
        </w:tc>
        <w:tc>
          <w:tcPr>
            <w:tcW w:w="7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148,575</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(8,959)</w:t>
            </w:r>
          </w:p>
        </w:tc>
      </w:tr>
      <w:tr>
        <w:trPr>
          <w:trHeight w:val="203"/>
        </w:trPr>
        <w:tc>
          <w:tcPr>
            <w:tcW w:w="6740" w:type="dxa"/>
            <w:vAlign w:val="bottom"/>
          </w:tcPr>
          <w:p>
            <w:pPr>
              <w:spacing w:after="0"/>
              <w:rPr>
                <w:sz w:val="17"/>
                <w:szCs w:val="17"/>
                <w:color w:val="auto"/>
              </w:rPr>
            </w:pPr>
          </w:p>
        </w:tc>
        <w:tc>
          <w:tcPr>
            <w:tcW w:w="1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(used) by financing activities</w:t>
            </w:r>
          </w:p>
        </w:tc>
        <w:tc>
          <w:tcPr>
            <w:tcW w:w="7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196,607</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13,719</w:t>
            </w:r>
          </w:p>
        </w:tc>
      </w:tr>
      <w:tr>
        <w:trPr>
          <w:trHeight w:val="203"/>
        </w:trPr>
        <w:tc>
          <w:tcPr>
            <w:tcW w:w="6740" w:type="dxa"/>
            <w:vAlign w:val="bottom"/>
          </w:tcPr>
          <w:p>
            <w:pPr>
              <w:spacing w:after="0"/>
              <w:rPr>
                <w:sz w:val="17"/>
                <w:szCs w:val="17"/>
                <w:color w:val="auto"/>
              </w:rPr>
            </w:pPr>
          </w:p>
        </w:tc>
        <w:tc>
          <w:tcPr>
            <w:tcW w:w="1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Change in cash</w:t>
            </w:r>
          </w:p>
        </w:tc>
        <w:tc>
          <w:tcPr>
            <w:tcW w:w="74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(9,119)</w:t>
            </w: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(23,700)</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Beginning balance</w:t>
            </w:r>
          </w:p>
        </w:tc>
        <w:tc>
          <w:tcPr>
            <w:tcW w:w="74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71,558</w:t>
            </w:r>
          </w:p>
        </w:tc>
        <w:tc>
          <w:tcPr>
            <w:tcW w:w="26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89,377</w:t>
            </w:r>
          </w:p>
        </w:tc>
      </w:tr>
      <w:tr>
        <w:trPr>
          <w:trHeight w:val="203"/>
        </w:trPr>
        <w:tc>
          <w:tcPr>
            <w:tcW w:w="6740" w:type="dxa"/>
            <w:vAlign w:val="bottom"/>
          </w:tcPr>
          <w:p>
            <w:pPr>
              <w:spacing w:after="0"/>
              <w:rPr>
                <w:sz w:val="17"/>
                <w:szCs w:val="17"/>
                <w:color w:val="auto"/>
              </w:rPr>
            </w:pPr>
          </w:p>
        </w:tc>
        <w:tc>
          <w:tcPr>
            <w:tcW w:w="1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Ending balance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62,439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65,677</w:t>
            </w:r>
          </w:p>
        </w:tc>
      </w:tr>
      <w:tr>
        <w:trPr>
          <w:trHeight w:val="203"/>
        </w:trPr>
        <w:tc>
          <w:tcPr>
            <w:tcW w:w="6740" w:type="dxa"/>
            <w:vAlign w:val="bottom"/>
          </w:tcPr>
          <w:p>
            <w:pPr>
              <w:spacing w:after="0"/>
              <w:rPr>
                <w:sz w:val="17"/>
                <w:szCs w:val="17"/>
                <w:color w:val="auto"/>
              </w:rPr>
            </w:pPr>
          </w:p>
        </w:tc>
        <w:tc>
          <w:tcPr>
            <w:tcW w:w="18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120"/>
          </w:cols>
          <w:pgMar w:left="560" w:top="312" w:right="1219"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FISERV, INC. AND SUBSIDIARIES</w:t>
      </w:r>
    </w:p>
    <w:p>
      <w:pPr>
        <w:ind w:left="2740"/>
        <w:spacing w:after="0" w:line="238" w:lineRule="auto"/>
        <w:rPr>
          <w:sz w:val="20"/>
          <w:szCs w:val="20"/>
          <w:color w:val="auto"/>
        </w:rPr>
      </w:pPr>
      <w:r>
        <w:rPr>
          <w:rFonts w:ascii="Courier New" w:cs="Courier New" w:eastAsia="Courier New" w:hAnsi="Courier New"/>
          <w:sz w:val="18"/>
          <w:szCs w:val="18"/>
          <w:color w:val="auto"/>
        </w:rPr>
        <w:t>NOTES TO FINANCIAL STATEMENTS</w:t>
      </w:r>
    </w:p>
    <w:p>
      <w:pPr>
        <w:spacing w:after="0" w:line="202" w:lineRule="exact"/>
        <w:rPr>
          <w:sz w:val="20"/>
          <w:szCs w:val="20"/>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PRINCIPLES OF CONSOLIDATION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consolidated financial statements for the three and six-month periods ended June 30, 1999 and 1998 are unaudited. In the opinion of management, all adjustments necessary for a fair presentation of such financial statements have been included. Such adjustments consisted only of normal recurring items. Interim results are not necessarily indicative of results for a full year. The financial statements and notes are presented as permitted by Form 10-Q, and do not contain certain information included in the annual financial statements and notes of Fiserv, Inc. and subsidiaries (the Company).</w:t>
      </w:r>
    </w:p>
    <w:p>
      <w:pPr>
        <w:spacing w:after="0" w:line="207" w:lineRule="exact"/>
        <w:rPr>
          <w:sz w:val="20"/>
          <w:szCs w:val="20"/>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USED IN COMPUTING NET INCOME PER SHARE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24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Three Months Ended</w:t>
            </w:r>
          </w:p>
        </w:tc>
        <w:tc>
          <w:tcPr>
            <w:tcW w:w="2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3640" w:type="dxa"/>
            <w:vAlign w:val="bottom"/>
          </w:tcPr>
          <w:p>
            <w:pPr>
              <w:spacing w:after="0"/>
              <w:rPr>
                <w:sz w:val="17"/>
                <w:szCs w:val="17"/>
                <w:color w:val="auto"/>
              </w:rPr>
            </w:pPr>
          </w:p>
        </w:tc>
        <w:tc>
          <w:tcPr>
            <w:tcW w:w="2420" w:type="dxa"/>
            <w:vAlign w:val="bottom"/>
            <w:gridSpan w:val="2"/>
          </w:tcPr>
          <w:p>
            <w:pPr>
              <w:jc w:val="right"/>
              <w:ind w:right="692"/>
              <w:spacing w:after="0" w:line="203" w:lineRule="exact"/>
              <w:rPr>
                <w:sz w:val="20"/>
                <w:szCs w:val="20"/>
                <w:color w:val="auto"/>
              </w:rPr>
            </w:pPr>
            <w:r>
              <w:rPr>
                <w:rFonts w:ascii="Courier New" w:cs="Courier New" w:eastAsia="Courier New" w:hAnsi="Courier New"/>
                <w:sz w:val="18"/>
                <w:szCs w:val="18"/>
                <w:color w:val="auto"/>
              </w:rPr>
              <w:t>June 30,</w:t>
            </w:r>
          </w:p>
        </w:tc>
        <w:tc>
          <w:tcPr>
            <w:tcW w:w="21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3640" w:type="dxa"/>
            <w:vAlign w:val="bottom"/>
          </w:tcPr>
          <w:p>
            <w:pPr>
              <w:spacing w:after="0"/>
              <w:rPr>
                <w:sz w:val="17"/>
                <w:szCs w:val="17"/>
                <w:color w:val="auto"/>
              </w:rPr>
            </w:pPr>
          </w:p>
        </w:tc>
        <w:tc>
          <w:tcPr>
            <w:tcW w:w="2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1999</w:t>
            </w:r>
          </w:p>
        </w:tc>
        <w:tc>
          <w:tcPr>
            <w:tcW w:w="1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1999</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64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5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(In thousands)</w:t>
            </w:r>
          </w:p>
        </w:tc>
        <w:tc>
          <w:tcPr>
            <w:tcW w:w="900" w:type="dxa"/>
            <w:vAlign w:val="bottom"/>
          </w:tcPr>
          <w:p>
            <w:pPr>
              <w:spacing w:after="0"/>
              <w:rPr>
                <w:sz w:val="17"/>
                <w:szCs w:val="17"/>
                <w:color w:val="auto"/>
              </w:rPr>
            </w:pP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3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123,498</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124,686</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123,364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122,772</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equivalents</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3,804</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4,209</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4,227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4,074</w:t>
            </w:r>
          </w:p>
        </w:tc>
      </w:tr>
      <w:tr>
        <w:trPr>
          <w:trHeight w:val="203"/>
        </w:trPr>
        <w:tc>
          <w:tcPr>
            <w:tcW w:w="364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computing diluted</w:t>
            </w: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income per share</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127,302</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128,895</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127,591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126,846</w:t>
            </w:r>
          </w:p>
        </w:tc>
      </w:tr>
      <w:tr>
        <w:trPr>
          <w:trHeight w:val="203"/>
        </w:trPr>
        <w:tc>
          <w:tcPr>
            <w:tcW w:w="364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Basic income per share is computed using the weighted average number of common shares outstanding during the periods. Diluted income per share is computed using the weighted average number of common and dilutive common equivalent shares outstanding during the periods. The Company declared a 3-for-2 common stock split to shareholders of record as of April 16, 1999, payable on April 30, 1999. The financial and share information presented herein for all periods has been adjusted to reflect the stock split.</w:t>
      </w:r>
    </w:p>
    <w:p>
      <w:pPr>
        <w:spacing w:after="0" w:line="205"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FOR INCOME TAXES</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Deferred income taxes reflect the net tax effects of (a) temporary differences between the carrying amount of assets and liabilities for financial reporting purposes and the amounts used for income tax purposes, and (b) operating and tax credit carryforwards. Significant components of the Company's net deferred tax (liability) asset as of June 30, 1999 and December 31, 1998 are as follows: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19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June 30,</w:t>
            </w:r>
          </w:p>
        </w:tc>
        <w:tc>
          <w:tcPr>
            <w:tcW w:w="1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4640" w:type="dxa"/>
            <w:vAlign w:val="bottom"/>
          </w:tcPr>
          <w:p>
            <w:pPr>
              <w:spacing w:after="0"/>
              <w:rPr>
                <w:sz w:val="17"/>
                <w:szCs w:val="17"/>
                <w:color w:val="auto"/>
              </w:rPr>
            </w:pPr>
          </w:p>
        </w:tc>
        <w:tc>
          <w:tcPr>
            <w:tcW w:w="19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1999</w:t>
            </w:r>
          </w:p>
        </w:tc>
        <w:tc>
          <w:tcPr>
            <w:tcW w:w="64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640" w:type="dxa"/>
            <w:vAlign w:val="bottom"/>
          </w:tcPr>
          <w:p>
            <w:pPr>
              <w:spacing w:after="0"/>
              <w:rPr>
                <w:sz w:val="17"/>
                <w:szCs w:val="17"/>
                <w:color w:val="auto"/>
              </w:rPr>
            </w:pP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c>
          <w:tcPr>
            <w:tcW w:w="1040" w:type="dxa"/>
            <w:vAlign w:val="bottom"/>
          </w:tcPr>
          <w:p>
            <w:pPr>
              <w:spacing w:after="0"/>
              <w:rPr>
                <w:sz w:val="17"/>
                <w:szCs w:val="17"/>
                <w:color w:val="auto"/>
              </w:rPr>
            </w:pP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Purchased incomplete software technology</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49,970</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52,276</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 not currently deductible</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27,716</w:t>
            </w:r>
          </w:p>
        </w:tc>
        <w:tc>
          <w:tcPr>
            <w:tcW w:w="6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25,329</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revenues</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16,294</w:t>
            </w:r>
          </w:p>
        </w:tc>
        <w:tc>
          <w:tcPr>
            <w:tcW w:w="6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14,558</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(11,618)</w:t>
            </w: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(5,512)</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Internally generated capitalized software</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(34,095)</w:t>
            </w: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(35,188)</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tax over book depreciation and</w:t>
            </w:r>
          </w:p>
        </w:tc>
        <w:tc>
          <w:tcPr>
            <w:tcW w:w="1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(12,301)</w:t>
            </w: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(9,167)</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Unrealized gain on investments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(105,614)</w:t>
            </w:r>
          </w:p>
        </w:tc>
        <w:tc>
          <w:tcPr>
            <w:tcW w:w="6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(27,751)</w:t>
            </w:r>
          </w:p>
        </w:tc>
      </w:tr>
      <w:tr>
        <w:trPr>
          <w:trHeight w:val="203"/>
        </w:trPr>
        <w:tc>
          <w:tcPr>
            <w:tcW w:w="4640" w:type="dxa"/>
            <w:vAlign w:val="bottom"/>
          </w:tcPr>
          <w:p>
            <w:pPr>
              <w:spacing w:after="0"/>
              <w:rPr>
                <w:sz w:val="17"/>
                <w:szCs w:val="17"/>
                <w:color w:val="auto"/>
              </w:rPr>
            </w:pP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deferred income taxes</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($ 69,648)</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14,545</w:t>
            </w:r>
          </w:p>
        </w:tc>
      </w:tr>
      <w:tr>
        <w:trPr>
          <w:trHeight w:val="203"/>
        </w:trPr>
        <w:tc>
          <w:tcPr>
            <w:tcW w:w="4640" w:type="dxa"/>
            <w:vAlign w:val="bottom"/>
          </w:tcPr>
          <w:p>
            <w:pPr>
              <w:spacing w:after="0"/>
              <w:rPr>
                <w:sz w:val="17"/>
                <w:szCs w:val="17"/>
                <w:color w:val="auto"/>
              </w:rPr>
            </w:pP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362"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5480" w:type="dxa"/>
            <w:vAlign w:val="bottom"/>
          </w:tcPr>
          <w:p>
            <w:pPr>
              <w:ind w:left="320"/>
              <w:spacing w:after="0"/>
              <w:rPr>
                <w:sz w:val="20"/>
                <w:szCs w:val="20"/>
                <w:color w:val="auto"/>
              </w:rPr>
            </w:pPr>
            <w:r>
              <w:rPr>
                <w:rFonts w:ascii="Courier New" w:cs="Courier New" w:eastAsia="Courier New" w:hAnsi="Courier New"/>
                <w:sz w:val="18"/>
                <w:szCs w:val="18"/>
                <w:color w:val="auto"/>
              </w:rPr>
              <w:t>6</w:t>
            </w:r>
          </w:p>
        </w:tc>
        <w:tc>
          <w:tcPr>
            <w:tcW w:w="1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810"/>
        </w:trPr>
        <w:tc>
          <w:tcPr>
            <w:tcW w:w="5480" w:type="dxa"/>
            <w:vAlign w:val="bottom"/>
          </w:tcPr>
          <w:p>
            <w:pPr>
              <w:spacing w:after="0"/>
              <w:rPr>
                <w:sz w:val="20"/>
                <w:szCs w:val="20"/>
                <w:color w:val="auto"/>
              </w:rPr>
            </w:pPr>
            <w:r>
              <w:rPr>
                <w:rFonts w:ascii="Courier New" w:cs="Courier New" w:eastAsia="Courier New" w:hAnsi="Courier New"/>
                <w:sz w:val="18"/>
                <w:szCs w:val="18"/>
                <w:color w:val="auto"/>
              </w:rPr>
              <w:t>4.  SUPPLEMENTAL CASH FLOW INFORMATION</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810"/>
        </w:trPr>
        <w:tc>
          <w:tcPr>
            <w:tcW w:w="5480" w:type="dxa"/>
            <w:vAlign w:val="bottom"/>
          </w:tcPr>
          <w:p>
            <w:pPr>
              <w:spacing w:after="0"/>
              <w:rPr>
                <w:sz w:val="24"/>
                <w:szCs w:val="24"/>
                <w:color w:val="auto"/>
              </w:rPr>
            </w:pPr>
          </w:p>
        </w:tc>
        <w:tc>
          <w:tcPr>
            <w:tcW w:w="2860" w:type="dxa"/>
            <w:vAlign w:val="bottom"/>
            <w:gridSpan w:val="2"/>
          </w:tcPr>
          <w:p>
            <w:pPr>
              <w:jc w:val="center"/>
              <w:ind w:left="212"/>
              <w:spacing w:after="0"/>
              <w:rPr>
                <w:sz w:val="20"/>
                <w:szCs w:val="20"/>
                <w:color w:val="auto"/>
              </w:rPr>
            </w:pPr>
            <w:r>
              <w:rPr>
                <w:rFonts w:ascii="Courier New" w:cs="Courier New" w:eastAsia="Courier New" w:hAnsi="Courier New"/>
                <w:sz w:val="18"/>
                <w:szCs w:val="18"/>
                <w:color w:val="auto"/>
                <w:w w:val="97"/>
              </w:rPr>
              <w:t>Six Months Ended</w:t>
            </w:r>
          </w:p>
        </w:tc>
      </w:tr>
      <w:tr>
        <w:trPr>
          <w:trHeight w:val="203"/>
        </w:trPr>
        <w:tc>
          <w:tcPr>
            <w:tcW w:w="5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tcPr>
          <w:p>
            <w:pPr>
              <w:jc w:val="center"/>
              <w:ind w:right="772"/>
              <w:spacing w:after="0" w:line="203" w:lineRule="exact"/>
              <w:rPr>
                <w:sz w:val="20"/>
                <w:szCs w:val="20"/>
                <w:color w:val="auto"/>
              </w:rPr>
            </w:pPr>
            <w:r>
              <w:rPr>
                <w:rFonts w:ascii="Courier New" w:cs="Courier New" w:eastAsia="Courier New" w:hAnsi="Courier New"/>
                <w:sz w:val="18"/>
                <w:szCs w:val="18"/>
                <w:color w:val="auto"/>
                <w:w w:val="97"/>
              </w:rPr>
              <w:t>June 30,</w:t>
            </w:r>
          </w:p>
        </w:tc>
      </w:tr>
      <w:tr>
        <w:trPr>
          <w:trHeight w:val="203"/>
        </w:trPr>
        <w:tc>
          <w:tcPr>
            <w:tcW w:w="5480" w:type="dxa"/>
            <w:vAlign w:val="bottom"/>
          </w:tcPr>
          <w:p>
            <w:pPr>
              <w:spacing w:after="0"/>
              <w:rPr>
                <w:sz w:val="17"/>
                <w:szCs w:val="17"/>
                <w:color w:val="auto"/>
              </w:rPr>
            </w:pPr>
          </w:p>
        </w:tc>
        <w:tc>
          <w:tcPr>
            <w:tcW w:w="2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54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2860" w:type="dxa"/>
            <w:vAlign w:val="bottom"/>
            <w:gridSpan w:val="2"/>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(In thousands)</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Income taxes paid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$ 38,002</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$31,003</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paid</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11,828</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11,215</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assumed in acquisitions of businesses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199,878</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30,273</w:t>
            </w:r>
          </w:p>
        </w:tc>
      </w:tr>
    </w:tbl>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SHAREHOLDERS' EQUITY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Total comprehensive income for the six months ended June 30, 1999 and 1998 was $179.3 million and $55.8 million, respectively. The increase in comprehensive income during the six months ended June 30, 1999 is primarily due to unrealized gains on investments since December 31, 1998. The Company owns 3,404,930 shares of common stock of Knight/Trimark Group, Inc. and 900,000 shares of common stock of The BISYS Group, Inc. Common stock of both companies trade on the NASDAQ National Market System.</w:t>
      </w:r>
    </w:p>
    <w:p>
      <w:pPr>
        <w:spacing w:after="0" w:line="200" w:lineRule="exact"/>
        <w:rPr>
          <w:sz w:val="20"/>
          <w:szCs w:val="20"/>
          <w:color w:val="auto"/>
        </w:rPr>
      </w:pPr>
    </w:p>
    <w:p>
      <w:pPr>
        <w:spacing w:after="0" w:line="208"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SEGMENT INFORMATION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is a leading independent provider of financial data processing systems and related information management services and products to financial institutions and other financial intermediaries. The Company's operations have been classified into three business segments: financial institution data processing and software services, securities processing and trust services and other (including corporate). Summarized financial information by business segment is as follows: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23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Three Months Ended</w:t>
            </w:r>
          </w:p>
        </w:tc>
        <w:tc>
          <w:tcPr>
            <w:tcW w:w="22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020" w:type="dxa"/>
            <w:vAlign w:val="bottom"/>
          </w:tcPr>
          <w:p>
            <w:pPr>
              <w:spacing w:after="0"/>
              <w:rPr>
                <w:sz w:val="17"/>
                <w:szCs w:val="17"/>
                <w:color w:val="auto"/>
              </w:rPr>
            </w:pPr>
          </w:p>
        </w:tc>
        <w:tc>
          <w:tcPr>
            <w:tcW w:w="230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rPr>
              <w:t>June 30,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1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4020" w:type="dxa"/>
            <w:vAlign w:val="bottom"/>
          </w:tcPr>
          <w:p>
            <w:pPr>
              <w:spacing w:after="0"/>
              <w:rPr>
                <w:sz w:val="17"/>
                <w:szCs w:val="17"/>
                <w:color w:val="auto"/>
              </w:rPr>
            </w:pPr>
          </w:p>
        </w:tc>
        <w:tc>
          <w:tcPr>
            <w:tcW w:w="2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11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1999</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0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3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(In thousands)</w:t>
            </w:r>
          </w:p>
        </w:tc>
        <w:tc>
          <w:tcPr>
            <w:tcW w:w="1000" w:type="dxa"/>
            <w:vAlign w:val="bottom"/>
          </w:tcPr>
          <w:p>
            <w:pPr>
              <w:spacing w:after="0"/>
              <w:rPr>
                <w:sz w:val="17"/>
                <w:szCs w:val="17"/>
                <w:color w:val="auto"/>
              </w:rPr>
            </w:pP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institution data processing</w:t>
            </w: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software services</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$262,423</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$241,666</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$522,809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$450,754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processing and trust</w:t>
            </w: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services</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65,868</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59,242</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127,130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113,378</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14,961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10,312</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30,442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20,917</w:t>
            </w:r>
          </w:p>
        </w:tc>
      </w:tr>
      <w:tr>
        <w:trPr>
          <w:trHeight w:val="203"/>
        </w:trPr>
        <w:tc>
          <w:tcPr>
            <w:tcW w:w="40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$343,252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$311,220</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$680,381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$585,049</w:t>
            </w:r>
          </w:p>
        </w:tc>
      </w:tr>
      <w:tr>
        <w:trPr>
          <w:trHeight w:val="203"/>
        </w:trPr>
        <w:tc>
          <w:tcPr>
            <w:tcW w:w="40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institution data processing</w:t>
            </w: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software services</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$ 45,144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$ 37,371</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$ 89,415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$ 72,662</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processing and trust</w:t>
            </w: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services</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18,624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19,385</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36,000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36,126</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(3,934)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(2,278)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(6,582)</w:t>
            </w:r>
          </w:p>
        </w:tc>
      </w:tr>
      <w:tr>
        <w:trPr>
          <w:trHeight w:val="203"/>
        </w:trPr>
        <w:tc>
          <w:tcPr>
            <w:tcW w:w="40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$ 62,514</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$ 52,822</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$123,137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$102,206</w:t>
            </w:r>
          </w:p>
        </w:tc>
      </w:tr>
      <w:tr>
        <w:trPr>
          <w:trHeight w:val="203"/>
        </w:trPr>
        <w:tc>
          <w:tcPr>
            <w:tcW w:w="4020" w:type="dxa"/>
            <w:vAlign w:val="bottom"/>
          </w:tcPr>
          <w:p>
            <w:pPr>
              <w:spacing w:after="0"/>
              <w:rPr>
                <w:sz w:val="17"/>
                <w:szCs w:val="17"/>
                <w:color w:val="auto"/>
              </w:rPr>
            </w:pP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97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The following table sets forth, for the periods indicated, the relative percentage which certain items in the Company's consolidated statements of income bear to revenues and the percentage change in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2320" w:type="dxa"/>
            <w:vAlign w:val="bottom"/>
            <w:gridSpan w:val="2"/>
          </w:tcPr>
          <w:p>
            <w:pPr>
              <w:jc w:val="center"/>
              <w:ind w:right="12"/>
              <w:spacing w:after="0"/>
              <w:rPr>
                <w:sz w:val="20"/>
                <w:szCs w:val="20"/>
                <w:color w:val="auto"/>
              </w:rPr>
            </w:pPr>
            <w:r>
              <w:rPr>
                <w:rFonts w:ascii="Courier New" w:cs="Courier New" w:eastAsia="Courier New" w:hAnsi="Courier New"/>
                <w:sz w:val="18"/>
                <w:szCs w:val="18"/>
                <w:color w:val="auto"/>
                <w:w w:val="97"/>
              </w:rPr>
              <w:t>Three Months Ended</w:t>
            </w:r>
          </w:p>
        </w:tc>
        <w:tc>
          <w:tcPr>
            <w:tcW w:w="2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900" w:type="dxa"/>
            <w:vAlign w:val="bottom"/>
          </w:tcPr>
          <w:p>
            <w:pPr>
              <w:spacing w:after="0"/>
              <w:rPr>
                <w:sz w:val="17"/>
                <w:szCs w:val="17"/>
                <w:color w:val="auto"/>
              </w:rPr>
            </w:pPr>
          </w:p>
        </w:tc>
        <w:tc>
          <w:tcPr>
            <w:tcW w:w="23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June 30,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 30,</w:t>
            </w:r>
          </w:p>
        </w:tc>
        <w:tc>
          <w:tcPr>
            <w:tcW w:w="640" w:type="dxa"/>
            <w:vAlign w:val="bottom"/>
          </w:tcPr>
          <w:p>
            <w:pPr>
              <w:spacing w:after="0"/>
              <w:rPr>
                <w:sz w:val="17"/>
                <w:szCs w:val="17"/>
                <w:color w:val="auto"/>
              </w:rPr>
            </w:pPr>
          </w:p>
        </w:tc>
      </w:tr>
      <w:tr>
        <w:trPr>
          <w:trHeight w:val="203"/>
        </w:trPr>
        <w:tc>
          <w:tcPr>
            <w:tcW w:w="4900" w:type="dxa"/>
            <w:vAlign w:val="bottom"/>
          </w:tcPr>
          <w:p>
            <w:pPr>
              <w:spacing w:after="0"/>
              <w:rPr>
                <w:sz w:val="17"/>
                <w:szCs w:val="17"/>
                <w:color w:val="auto"/>
              </w:rPr>
            </w:pPr>
          </w:p>
        </w:tc>
        <w:tc>
          <w:tcPr>
            <w:tcW w:w="232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2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0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1999</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1998</w:t>
            </w: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1999</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490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7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(Percent of Revenues)</w:t>
            </w:r>
          </w:p>
        </w:tc>
        <w:tc>
          <w:tcPr>
            <w:tcW w:w="640" w:type="dxa"/>
            <w:vAlign w:val="bottom"/>
          </w:tcPr>
          <w:p>
            <w:pPr>
              <w:spacing w:after="0"/>
              <w:rPr>
                <w:sz w:val="17"/>
                <w:szCs w:val="17"/>
                <w:color w:val="auto"/>
              </w:rPr>
            </w:pP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100.0%</w:t>
            </w: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100.0%</w:t>
            </w:r>
          </w:p>
        </w:tc>
        <w:tc>
          <w:tcPr>
            <w:tcW w:w="1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100.0%</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100.0%</w:t>
            </w:r>
          </w:p>
        </w:tc>
      </w:tr>
      <w:tr>
        <w:trPr>
          <w:trHeight w:val="203"/>
        </w:trPr>
        <w:tc>
          <w:tcPr>
            <w:tcW w:w="490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Salaries and related costs</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47.7</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46.4</w:t>
            </w: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47.5</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Data processing costs</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7.8</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9.2</w:t>
            </w: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8.4</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operating expenses</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20.3</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22.1</w:t>
            </w: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19.6</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4.3</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4.7</w:t>
            </w: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4.4</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of intangible assets</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w:t>
            </w: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1.4</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Amortization (capitalization) of software-net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0.3</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(0.6)</w:t>
            </w: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0.6</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w:t>
            </w:r>
          </w:p>
        </w:tc>
      </w:tr>
      <w:tr>
        <w:trPr>
          <w:trHeight w:val="203"/>
        </w:trPr>
        <w:tc>
          <w:tcPr>
            <w:tcW w:w="490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cost of revenues</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81.8</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83.0</w:t>
            </w: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81.9</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82.5</w:t>
            </w:r>
          </w:p>
        </w:tc>
      </w:tr>
      <w:tr>
        <w:trPr>
          <w:trHeight w:val="203"/>
        </w:trPr>
        <w:tc>
          <w:tcPr>
            <w:tcW w:w="490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18.2</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17.0</w:t>
            </w: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18.1</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w:t>
            </w:r>
          </w:p>
        </w:tc>
      </w:tr>
      <w:tr>
        <w:trPr>
          <w:trHeight w:val="203"/>
        </w:trPr>
        <w:tc>
          <w:tcPr>
            <w:tcW w:w="4900" w:type="dxa"/>
            <w:vAlign w:val="bottom"/>
          </w:tcPr>
          <w:p>
            <w:pPr>
              <w:spacing w:after="0"/>
              <w:rPr>
                <w:sz w:val="17"/>
                <w:szCs w:val="17"/>
                <w:color w:val="auto"/>
              </w:rPr>
            </w:pP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Revenues increased 10.3% from $311.2 million in the second quarter of 1998 to $343.3 million in the current second quarter and 16.3% from $585.0 million in the first six months of 1998 to $680.4 million in the comparable current period. Approximately 40% of the year to date growth resulted from the inclusion of revenues from the date of purchase of acquired companies and approximately 60% from increases in revenue from the addition of new clients, growth in the transaction volume experienced by existing clients and price increases.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 OF REVENUES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Cost of revenues increased 8.6% from $258.4 million in the second quarter of 1998 to $280.7 million in the current second quarter, and 15.4% from $482.8 million in the first six months of 1998 to $557.2 million in the first six months of 1999. The make up of cost of revenues has been affected by changes in the mix of the Company's business as sales of software and related support activities and securities processing operations have enjoyed an increasing percentage of total revenues.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INCOME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Operating income increased 18.3% from $52.8 million in the second quarter of 1998 to $62.5 million in the current second quarter, and increased 20.5% from $102.2 million in the first six months of 1998 to $123.1 million in the first six months of 1999. As a percentage of revenues, operating margins were slightly higher during both the second quarter and first six months of 1999 when compared to the comparable prior year periods.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 PROVISION</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Income taxes were computed at 41% in both 1999 and 1998. The 41% rate is expected to apply throughout the current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INCOME</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Net income for the second quarter increased 19.8% from $28.7 million in 1998 to $34.3 million in 1999. Net income for the first six months increased 21.4% from $55.8 million in 1998 to $67.8 million in 1999. Net income per share-diluted for the second quarter was $.27 in 1999 compared to $.22 in 1998. Net income per share-diluted for the first six months of 1999 was $.53 compared to $.44 in the comparable 1998 period. The increases in net income per share-diluted for the</w:t>
      </w:r>
    </w:p>
    <w:p>
      <w:pPr>
        <w:sectPr>
          <w:pgSz w:w="11900" w:h="16838" w:orient="portrait"/>
          <w:cols w:equalWidth="0" w:num="1">
            <w:col w:w="10219"/>
          </w:cols>
          <w:pgMar w:left="240" w:top="312" w:right="1440" w:bottom="0" w:gutter="0" w:footer="0" w:header="0"/>
        </w:sectPr>
      </w:pPr>
    </w:p>
    <w:bookmarkStart w:id="7" w:name="page8"/>
    <w:bookmarkEnd w:id="7"/>
    <w:p>
      <w:pPr>
        <w:ind w:right="2199"/>
        <w:spacing w:after="0" w:line="235" w:lineRule="auto"/>
        <w:rPr>
          <w:sz w:val="20"/>
          <w:szCs w:val="20"/>
          <w:color w:val="auto"/>
        </w:rPr>
      </w:pPr>
      <w:r>
        <w:rPr>
          <w:rFonts w:ascii="Courier New" w:cs="Courier New" w:eastAsia="Courier New" w:hAnsi="Courier New"/>
          <w:sz w:val="18"/>
          <w:szCs w:val="18"/>
          <w:color w:val="auto"/>
        </w:rPr>
        <w:t>second quarter and first six months of 1999 over the comparable 1998 periods amounted to $.05 and $.09,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4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 SYSTEMS EVALUATION</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Company provides data processing and other related services to financial institutions of all kinds. The Company has substantially completed the Year 2000 renovation, testing and implementation of its mission critical proprietary systems used in providing service to its clients. Testing and implementation of the remaining non-mission critical systems, which are not material to the Company's business, are expected to be completed by the end of September 1999.</w:t>
      </w:r>
    </w:p>
    <w:p>
      <w:pPr>
        <w:spacing w:after="0" w:line="186"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Company has received Year 2000 disclosures prepared by its principal vendors indicating that they will be Year 2000 compliant in all material respects. The Company's contingency plans include actions required should any vendor experience Year 2000-related problems. In addition, the Company has no reason to believe that its clients will not be Year 2000 compliant in all material respects, and in many cases has assisted its clients in their Year 2000 efforts.</w:t>
      </w:r>
    </w:p>
    <w:p>
      <w:pPr>
        <w:spacing w:after="0" w:line="186"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Company has met and believes it will continue to meet its Year 2000 compliance commitments using existing resources, without incurring significant incremental expenses. Although the Company does not maintain accounting records that separately identify all of the costs associated with its Year 2000 activities, it has estimated that commencing with 1996 such costs have approximated $15 million annually. Estimated costs for 1999 when the entire project is scheduled for completion is approximately $10 to $12 million.</w:t>
      </w:r>
    </w:p>
    <w:p>
      <w:pPr>
        <w:spacing w:after="0" w:line="18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disclosure set forth above contains forward-looking statements. Specifically, such statements are contained in sentences including the words "will" or "expect" or "anticipate" or "could" or "should". Such forward-looking statements are subject to inherent risks and uncertainties that may cause actual results to differ materially from those contemplated by such forward-looking statements. The factors that may cause actual results to differ materially from those contemplated by the forward-looking statements include the failure by third parties to adequately remediate Year 2000 issues and the inability of the Company to test and implement remaining non-mission critical systems. Failure by the Company in making its proprietary systems Year 2000 compliant would have a material adverse effect on its business. However, the Company expects that its Year 2000 compliance efforts will be successful without any material adverse effects on its business.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following table summarizes the Company's primary sources of funds for the six months ended June 30, 1999 and 1998: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80" w:type="dxa"/>
            <w:vAlign w:val="bottom"/>
          </w:tcPr>
          <w:p>
            <w:pPr>
              <w:spacing w:after="0"/>
              <w:rPr>
                <w:sz w:val="17"/>
                <w:szCs w:val="17"/>
                <w:color w:val="auto"/>
              </w:rPr>
            </w:pPr>
          </w:p>
        </w:tc>
        <w:tc>
          <w:tcPr>
            <w:tcW w:w="1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1999</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6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rPr>
                <w:sz w:val="17"/>
                <w:szCs w:val="17"/>
                <w:color w:val="auto"/>
              </w:rPr>
            </w:pPr>
          </w:p>
        </w:tc>
        <w:tc>
          <w:tcPr>
            <w:tcW w:w="29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Cash provided by operating activities before changes</w:t>
            </w: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in securities processing receivables and payables - net</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$ 142,344</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$ 110,479</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processing receivables and payables - net</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(36,201)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(29,255)</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106,143</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81,224</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Issuance (purchases) of common stock - net</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5,113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(36,524)</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in investments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(40,236)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(8,369)</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in net borrowings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42,919</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59,202</w:t>
            </w:r>
          </w:p>
        </w:tc>
      </w:tr>
      <w:tr>
        <w:trPr>
          <w:trHeight w:val="203"/>
        </w:trPr>
        <w:tc>
          <w:tcPr>
            <w:tcW w:w="6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$ 113,939</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95,533</w:t>
            </w:r>
          </w:p>
        </w:tc>
      </w:tr>
      <w:tr>
        <w:trPr>
          <w:trHeight w:val="203"/>
        </w:trPr>
        <w:tc>
          <w:tcPr>
            <w:tcW w:w="628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obligations amounted to $390.9 million at June 30, 1999. The majority</w:t>
      </w:r>
    </w:p>
    <w:p>
      <w:pPr>
        <w:spacing w:after="0" w:line="238" w:lineRule="auto"/>
        <w:rPr>
          <w:sz w:val="20"/>
          <w:szCs w:val="20"/>
          <w:color w:val="auto"/>
        </w:rPr>
      </w:pPr>
      <w:r>
        <w:rPr>
          <w:rFonts w:ascii="Courier New" w:cs="Courier New" w:eastAsia="Courier New" w:hAnsi="Courier New"/>
          <w:sz w:val="18"/>
          <w:szCs w:val="18"/>
          <w:color w:val="auto"/>
        </w:rPr>
        <w:t>of this debt comprises $86.4 million of senior notes due 2000 to 2005 and $235.4</w:t>
      </w:r>
    </w:p>
    <w:p>
      <w:pPr>
        <w:spacing w:after="0"/>
        <w:rPr>
          <w:sz w:val="20"/>
          <w:szCs w:val="20"/>
          <w:color w:val="auto"/>
        </w:rPr>
      </w:pPr>
      <w:r>
        <w:rPr>
          <w:rFonts w:ascii="Courier New" w:cs="Courier New" w:eastAsia="Courier New" w:hAnsi="Courier New"/>
          <w:sz w:val="18"/>
          <w:szCs w:val="18"/>
          <w:color w:val="auto"/>
        </w:rPr>
        <w:t>million advanced under an aggregate of $500.0 million in revolving credit</w:t>
      </w:r>
    </w:p>
    <w:p>
      <w:pPr>
        <w:spacing w:after="0" w:line="237" w:lineRule="auto"/>
        <w:rPr>
          <w:sz w:val="20"/>
          <w:szCs w:val="20"/>
          <w:color w:val="auto"/>
        </w:rPr>
      </w:pPr>
      <w:r>
        <w:rPr>
          <w:rFonts w:ascii="Courier New" w:cs="Courier New" w:eastAsia="Courier New" w:hAnsi="Courier New"/>
          <w:sz w:val="18"/>
          <w:szCs w:val="18"/>
          <w:color w:val="auto"/>
        </w:rPr>
        <w:t>facilities. The credit facilities which expire in May 2004 are comprised of a</w:t>
      </w:r>
    </w:p>
    <w:p>
      <w:pPr>
        <w:spacing w:after="0" w:line="238" w:lineRule="auto"/>
        <w:rPr>
          <w:sz w:val="20"/>
          <w:szCs w:val="20"/>
          <w:color w:val="auto"/>
        </w:rPr>
      </w:pPr>
      <w:r>
        <w:rPr>
          <w:rFonts w:ascii="Courier New" w:cs="Courier New" w:eastAsia="Courier New" w:hAnsi="Courier New"/>
          <w:sz w:val="18"/>
          <w:szCs w:val="18"/>
          <w:color w:val="auto"/>
        </w:rPr>
        <w:t>$250.0 million five year revolving credit facility and a $250.0 million 364-day</w:t>
      </w:r>
    </w:p>
    <w:p>
      <w:pPr>
        <w:spacing w:after="0"/>
        <w:rPr>
          <w:sz w:val="20"/>
          <w:szCs w:val="20"/>
          <w:color w:val="auto"/>
        </w:rPr>
      </w:pPr>
      <w:r>
        <w:rPr>
          <w:rFonts w:ascii="Courier New" w:cs="Courier New" w:eastAsia="Courier New" w:hAnsi="Courier New"/>
          <w:sz w:val="18"/>
          <w:szCs w:val="18"/>
          <w:color w:val="auto"/>
        </w:rPr>
        <w:t>revolving credit facility. A facility fee of .1% to .2% per annum is required on</w:t>
      </w:r>
    </w:p>
    <w:p>
      <w:pPr>
        <w:spacing w:after="0" w:line="237" w:lineRule="auto"/>
        <w:rPr>
          <w:sz w:val="20"/>
          <w:szCs w:val="20"/>
          <w:color w:val="auto"/>
        </w:rPr>
      </w:pPr>
      <w:r>
        <w:rPr>
          <w:rFonts w:ascii="Courier New" w:cs="Courier New" w:eastAsia="Courier New" w:hAnsi="Courier New"/>
          <w:sz w:val="18"/>
          <w:szCs w:val="18"/>
          <w:color w:val="auto"/>
        </w:rPr>
        <w:t>the entire credit facility regardless of usage.</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Company has historically applied a significant portion of its cash flow from operating activities and long-term borrowings to acquisitions. The Company believes that its cash flow from operating activities together with other available sources of funds will be adequate to meet its funding requirements. However, in the event that the Company makes significant future acquisitions, it may raise funds through additional borrowings or issuance of securities.</w:t>
      </w:r>
    </w:p>
    <w:p>
      <w:pPr>
        <w:sectPr>
          <w:pgSz w:w="11900" w:h="16838" w:orient="portrait"/>
          <w:cols w:equalWidth="0" w:num="1">
            <w:col w:w="10219"/>
          </w:cols>
          <w:pgMar w:left="240" w:top="312" w:right="1440" w:bottom="0" w:gutter="0" w:footer="0" w:header="0"/>
        </w:sectPr>
      </w:pPr>
    </w:p>
    <w:bookmarkStart w:id="9" w:name="page10"/>
    <w:bookmarkEnd w:id="9"/>
    <w:p>
      <w:pPr>
        <w:ind w:left="30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95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74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4" w:lineRule="exact"/>
        <w:rPr>
          <w:rFonts w:ascii="Courier New" w:cs="Courier New" w:eastAsia="Courier New" w:hAnsi="Courier New"/>
          <w:sz w:val="18"/>
          <w:szCs w:val="18"/>
          <w:color w:val="auto"/>
        </w:rPr>
      </w:pPr>
    </w:p>
    <w:p>
      <w:pPr>
        <w:ind w:left="1580" w:right="3039" w:hanging="624"/>
        <w:spacing w:after="0" w:line="235" w:lineRule="auto"/>
        <w:tabs>
          <w:tab w:leader="none" w:pos="1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regarding computation of per share earnings (included on page 5, Part 1).</w:t>
      </w:r>
    </w:p>
    <w:p>
      <w:pPr>
        <w:ind w:left="1580" w:hanging="624"/>
        <w:spacing w:after="0"/>
        <w:tabs>
          <w:tab w:leader="none" w:pos="15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1" w:lineRule="exact"/>
        <w:rPr>
          <w:rFonts w:ascii="Courier New" w:cs="Courier New" w:eastAsia="Courier New" w:hAnsi="Courier New"/>
          <w:sz w:val="18"/>
          <w:szCs w:val="18"/>
          <w:color w:val="auto"/>
        </w:rPr>
      </w:pPr>
    </w:p>
    <w:p>
      <w:pPr>
        <w:ind w:left="960" w:hanging="74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4" w:lineRule="exact"/>
        <w:rPr>
          <w:rFonts w:ascii="Courier New" w:cs="Courier New" w:eastAsia="Courier New" w:hAnsi="Courier New"/>
          <w:sz w:val="18"/>
          <w:szCs w:val="18"/>
          <w:color w:val="auto"/>
        </w:rPr>
      </w:pPr>
    </w:p>
    <w:p>
      <w:pPr>
        <w:ind w:left="96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were filed during the quarter ended June 30,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60"/>
        <w:spacing w:after="0"/>
        <w:rPr>
          <w:sz w:val="20"/>
          <w:szCs w:val="20"/>
          <w:color w:val="auto"/>
        </w:rPr>
      </w:pPr>
      <w:r>
        <w:rPr>
          <w:rFonts w:ascii="Courier New" w:cs="Courier New" w:eastAsia="Courier New" w:hAnsi="Courier New"/>
          <w:sz w:val="18"/>
          <w:szCs w:val="18"/>
          <w:color w:val="auto"/>
        </w:rPr>
        <w:t>FISERV, INC.</w:t>
      </w:r>
    </w:p>
    <w:p>
      <w:pPr>
        <w:spacing w:after="0" w:line="4" w:lineRule="exact"/>
        <w:rPr>
          <w:sz w:val="20"/>
          <w:szCs w:val="20"/>
          <w:color w:val="auto"/>
        </w:rPr>
      </w:pPr>
    </w:p>
    <w:p>
      <w:pPr>
        <w:jc w:val="center"/>
        <w:ind w:righ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16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July</w:t>
        <w:tab/>
        <w:t>20, 1999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by /s/ Kenneth R. Jensen ---------------------------------------</w:t>
      </w:r>
    </w:p>
    <w:p>
      <w:pPr>
        <w:spacing w:after="0" w:line="1" w:lineRule="exact"/>
        <w:rPr>
          <w:sz w:val="20"/>
          <w:szCs w:val="20"/>
          <w:color w:val="auto"/>
        </w:rPr>
      </w:pPr>
    </w:p>
    <w:p>
      <w:pPr>
        <w:sectPr>
          <w:pgSz w:w="11900" w:h="16838" w:orient="portrait"/>
          <w:cols w:equalWidth="0" w:num="3">
            <w:col w:w="420" w:space="220"/>
            <w:col w:w="2340" w:space="720"/>
            <w:col w:w="6519"/>
          </w:cols>
          <w:pgMar w:left="240" w:top="312" w:right="1440" w:bottom="1440" w:gutter="0" w:footer="0" w:header="0"/>
          <w:type w:val="continuous"/>
        </w:sectPr>
      </w:pPr>
    </w:p>
    <w:p>
      <w:pPr>
        <w:ind w:left="3900"/>
        <w:spacing w:after="0"/>
        <w:rPr>
          <w:sz w:val="20"/>
          <w:szCs w:val="20"/>
          <w:color w:val="auto"/>
        </w:rPr>
      </w:pPr>
      <w:r>
        <w:rPr>
          <w:rFonts w:ascii="Courier New" w:cs="Courier New" w:eastAsia="Courier New" w:hAnsi="Courier New"/>
          <w:sz w:val="18"/>
          <w:szCs w:val="18"/>
          <w:color w:val="auto"/>
        </w:rPr>
        <w:t>KENNETH R. JENSEN</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Senior Executive Vice President, Chief</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Financial Officer, Treasurer and</w:t>
      </w:r>
    </w:p>
    <w:p>
      <w:pPr>
        <w:ind w:left="3900"/>
        <w:spacing w:after="0" w:line="238" w:lineRule="auto"/>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type w:val="continuous"/>
        </w:sectPr>
      </w:pPr>
    </w:p>
    <w:bookmarkStart w:id="11" w:name="page12"/>
    <w:bookmarkEnd w:id="11"/>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jc w:val="both"/>
        <w:ind w:right="2179"/>
        <w:spacing w:after="0" w:line="290" w:lineRule="auto"/>
        <w:rPr>
          <w:sz w:val="20"/>
          <w:szCs w:val="20"/>
          <w:color w:val="auto"/>
        </w:rPr>
      </w:pPr>
      <w:r>
        <w:rPr>
          <w:rFonts w:ascii="Courier New" w:cs="Courier New" w:eastAsia="Courier New" w:hAnsi="Courier New"/>
          <w:sz w:val="16"/>
          <w:szCs w:val="16"/>
          <w:color w:val="auto"/>
        </w:rPr>
        <w:t>This schedule contains summary financial information extracted form the June 1999 10-Q and is qualified in its entirety by reference to such information.</w:t>
      </w:r>
    </w:p>
    <w:p>
      <w:pPr>
        <w:spacing w:after="0" w:line="164"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6-MOS</w:t>
      </w:r>
    </w:p>
    <w:p>
      <w:pPr>
        <w:ind w:left="2700"/>
        <w:spacing w:after="0" w:line="238" w:lineRule="auto"/>
        <w:rPr>
          <w:sz w:val="20"/>
          <w:szCs w:val="20"/>
          <w:color w:val="auto"/>
        </w:rPr>
      </w:pPr>
      <w:r>
        <w:rPr>
          <w:rFonts w:ascii="Courier New" w:cs="Courier New" w:eastAsia="Courier New" w:hAnsi="Courier New"/>
          <w:sz w:val="18"/>
          <w:szCs w:val="18"/>
          <w:color w:val="auto"/>
        </w:rPr>
        <w:t>DEC-31-1999</w:t>
      </w:r>
    </w:p>
    <w:p>
      <w:pPr>
        <w:ind w:left="3240"/>
        <w:spacing w:after="0"/>
        <w:rPr>
          <w:sz w:val="20"/>
          <w:szCs w:val="20"/>
          <w:color w:val="auto"/>
        </w:rPr>
      </w:pPr>
      <w:r>
        <w:rPr>
          <w:rFonts w:ascii="Courier New" w:cs="Courier New" w:eastAsia="Courier New" w:hAnsi="Courier New"/>
          <w:sz w:val="18"/>
          <w:szCs w:val="18"/>
          <w:color w:val="auto"/>
        </w:rPr>
        <w:t>JUN-30-1999</w:t>
      </w:r>
    </w:p>
    <w:p>
      <w:pPr>
        <w:ind w:left="4400"/>
        <w:spacing w:after="0" w:line="237" w:lineRule="auto"/>
        <w:rPr>
          <w:sz w:val="20"/>
          <w:szCs w:val="20"/>
          <w:color w:val="auto"/>
        </w:rPr>
      </w:pPr>
      <w:r>
        <w:rPr>
          <w:rFonts w:ascii="Courier New" w:cs="Courier New" w:eastAsia="Courier New" w:hAnsi="Courier New"/>
          <w:sz w:val="18"/>
          <w:szCs w:val="18"/>
          <w:color w:val="auto"/>
        </w:rPr>
        <w:t>62,439</w:t>
      </w:r>
    </w:p>
    <w:p>
      <w:pPr>
        <w:jc w:val="center"/>
        <w:ind w:right="2339"/>
        <w:spacing w:after="0" w:line="238" w:lineRule="auto"/>
        <w:rPr>
          <w:sz w:val="20"/>
          <w:szCs w:val="20"/>
          <w:color w:val="auto"/>
        </w:rPr>
      </w:pPr>
      <w:r>
        <w:rPr>
          <w:rFonts w:ascii="Courier New" w:cs="Courier New" w:eastAsia="Courier New" w:hAnsi="Courier New"/>
          <w:sz w:val="18"/>
          <w:szCs w:val="18"/>
          <w:color w:val="auto"/>
        </w:rPr>
        <w:t>1,246,310</w:t>
      </w:r>
    </w:p>
    <w:p>
      <w:pPr>
        <w:jc w:val="center"/>
        <w:ind w:right="2339"/>
        <w:spacing w:after="0"/>
        <w:rPr>
          <w:sz w:val="20"/>
          <w:szCs w:val="20"/>
          <w:color w:val="auto"/>
        </w:rPr>
      </w:pPr>
      <w:r>
        <w:rPr>
          <w:rFonts w:ascii="Courier New" w:cs="Courier New" w:eastAsia="Courier New" w:hAnsi="Courier New"/>
          <w:sz w:val="18"/>
          <w:szCs w:val="18"/>
          <w:color w:val="auto"/>
        </w:rPr>
        <w:t>224,411</w:t>
      </w:r>
    </w:p>
    <w:p>
      <w:pPr>
        <w:ind w:left="428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3020"/>
        <w:spacing w:after="0" w:line="237" w:lineRule="auto"/>
        <w:rPr>
          <w:sz w:val="20"/>
          <w:szCs w:val="20"/>
          <w:color w:val="auto"/>
        </w:rPr>
      </w:pPr>
      <w:r>
        <w:rPr>
          <w:rFonts w:ascii="Courier New" w:cs="Courier New" w:eastAsia="Courier New" w:hAnsi="Courier New"/>
          <w:sz w:val="18"/>
          <w:szCs w:val="18"/>
          <w:color w:val="auto"/>
        </w:rPr>
        <w:t>3,998,119</w:t>
      </w:r>
    </w:p>
    <w:p>
      <w:pPr>
        <w:ind w:left="4280"/>
        <w:spacing w:after="0"/>
        <w:rPr>
          <w:sz w:val="20"/>
          <w:szCs w:val="20"/>
          <w:color w:val="auto"/>
        </w:rPr>
      </w:pPr>
      <w:r>
        <w:rPr>
          <w:rFonts w:ascii="Courier New" w:cs="Courier New" w:eastAsia="Courier New" w:hAnsi="Courier New"/>
          <w:sz w:val="18"/>
          <w:szCs w:val="18"/>
          <w:color w:val="auto"/>
        </w:rPr>
        <w:t>186,875</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240"/>
        <w:spacing w:after="0" w:line="238" w:lineRule="auto"/>
        <w:rPr>
          <w:sz w:val="20"/>
          <w:szCs w:val="20"/>
          <w:color w:val="auto"/>
        </w:rPr>
      </w:pPr>
      <w:r>
        <w:rPr>
          <w:rFonts w:ascii="Courier New" w:cs="Courier New" w:eastAsia="Courier New" w:hAnsi="Courier New"/>
          <w:sz w:val="18"/>
          <w:szCs w:val="18"/>
          <w:color w:val="auto"/>
        </w:rPr>
        <w:t>5,333,554</w:t>
      </w:r>
    </w:p>
    <w:p>
      <w:pPr>
        <w:ind w:left="2500"/>
        <w:spacing w:after="0"/>
        <w:rPr>
          <w:sz w:val="20"/>
          <w:szCs w:val="20"/>
          <w:color w:val="auto"/>
        </w:rPr>
      </w:pPr>
      <w:r>
        <w:rPr>
          <w:rFonts w:ascii="Courier New" w:cs="Courier New" w:eastAsia="Courier New" w:hAnsi="Courier New"/>
          <w:sz w:val="18"/>
          <w:szCs w:val="18"/>
          <w:color w:val="auto"/>
        </w:rPr>
        <w:t>3,889,599</w:t>
      </w:r>
    </w:p>
    <w:p>
      <w:pPr>
        <w:jc w:val="center"/>
        <w:ind w:right="439"/>
        <w:spacing w:after="0" w:line="237"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4280"/>
        <w:spacing w:after="0"/>
        <w:rPr>
          <w:sz w:val="20"/>
          <w:szCs w:val="20"/>
          <w:color w:val="auto"/>
        </w:rPr>
      </w:pPr>
      <w:r>
        <w:rPr>
          <w:rFonts w:ascii="Courier New" w:cs="Courier New" w:eastAsia="Courier New" w:hAnsi="Courier New"/>
          <w:sz w:val="18"/>
          <w:szCs w:val="18"/>
          <w:color w:val="auto"/>
        </w:rPr>
        <w:t>1,253</w:t>
      </w:r>
    </w:p>
    <w:p>
      <w:pPr>
        <w:ind w:left="3660"/>
        <w:spacing w:after="0" w:line="237" w:lineRule="auto"/>
        <w:rPr>
          <w:sz w:val="20"/>
          <w:szCs w:val="20"/>
          <w:color w:val="auto"/>
        </w:rPr>
      </w:pPr>
      <w:r>
        <w:rPr>
          <w:rFonts w:ascii="Courier New" w:cs="Courier New" w:eastAsia="Courier New" w:hAnsi="Courier New"/>
          <w:sz w:val="18"/>
          <w:szCs w:val="18"/>
          <w:color w:val="auto"/>
        </w:rPr>
        <w:t>1,072,944</w:t>
      </w:r>
    </w:p>
    <w:p>
      <w:pPr>
        <w:ind w:left="1760"/>
        <w:spacing w:after="0" w:line="238" w:lineRule="auto"/>
        <w:rPr>
          <w:sz w:val="20"/>
          <w:szCs w:val="20"/>
          <w:color w:val="auto"/>
        </w:rPr>
      </w:pPr>
      <w:r>
        <w:rPr>
          <w:rFonts w:ascii="Courier New" w:cs="Courier New" w:eastAsia="Courier New" w:hAnsi="Courier New"/>
          <w:sz w:val="18"/>
          <w:szCs w:val="18"/>
          <w:color w:val="auto"/>
        </w:rPr>
        <w:t>5,333,554</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3240"/>
        <w:spacing w:after="0" w:line="237" w:lineRule="auto"/>
        <w:rPr>
          <w:sz w:val="20"/>
          <w:szCs w:val="20"/>
          <w:color w:val="auto"/>
        </w:rPr>
      </w:pPr>
      <w:r>
        <w:rPr>
          <w:rFonts w:ascii="Courier New" w:cs="Courier New" w:eastAsia="Courier New" w:hAnsi="Courier New"/>
          <w:sz w:val="18"/>
          <w:szCs w:val="18"/>
          <w:color w:val="auto"/>
        </w:rPr>
        <w:t>680,381</w:t>
      </w:r>
    </w:p>
    <w:p>
      <w:pPr>
        <w:jc w:val="center"/>
        <w:ind w:right="19"/>
        <w:spacing w:after="0"/>
        <w:rPr>
          <w:sz w:val="20"/>
          <w:szCs w:val="20"/>
          <w:color w:val="auto"/>
        </w:rPr>
      </w:pPr>
      <w:r>
        <w:rPr>
          <w:rFonts w:ascii="Courier New" w:cs="Courier New" w:eastAsia="Courier New" w:hAnsi="Courier New"/>
          <w:sz w:val="18"/>
          <w:szCs w:val="18"/>
          <w:color w:val="auto"/>
        </w:rPr>
        <w:t>0</w:t>
      </w:r>
    </w:p>
    <w:p>
      <w:pPr>
        <w:ind w:left="3540"/>
        <w:spacing w:after="0" w:line="237" w:lineRule="auto"/>
        <w:rPr>
          <w:sz w:val="20"/>
          <w:szCs w:val="20"/>
          <w:color w:val="auto"/>
        </w:rPr>
      </w:pPr>
      <w:r>
        <w:rPr>
          <w:rFonts w:ascii="Courier New" w:cs="Courier New" w:eastAsia="Courier New" w:hAnsi="Courier New"/>
          <w:sz w:val="18"/>
          <w:szCs w:val="18"/>
          <w:color w:val="auto"/>
        </w:rPr>
        <w:t>543,831</w:t>
      </w:r>
    </w:p>
    <w:p>
      <w:pPr>
        <w:ind w:left="3340"/>
        <w:spacing w:after="0"/>
        <w:rPr>
          <w:sz w:val="20"/>
          <w:szCs w:val="20"/>
          <w:color w:val="auto"/>
        </w:rPr>
      </w:pPr>
      <w:r>
        <w:rPr>
          <w:rFonts w:ascii="Courier New" w:cs="Courier New" w:eastAsia="Courier New" w:hAnsi="Courier New"/>
          <w:sz w:val="18"/>
          <w:szCs w:val="18"/>
          <w:color w:val="auto"/>
        </w:rPr>
        <w:t>13,413</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240"/>
        <w:spacing w:after="0"/>
        <w:rPr>
          <w:sz w:val="20"/>
          <w:szCs w:val="20"/>
          <w:color w:val="auto"/>
        </w:rPr>
      </w:pPr>
      <w:r>
        <w:rPr>
          <w:rFonts w:ascii="Courier New" w:cs="Courier New" w:eastAsia="Courier New" w:hAnsi="Courier New"/>
          <w:sz w:val="18"/>
          <w:szCs w:val="18"/>
          <w:color w:val="auto"/>
        </w:rPr>
        <w:t>8,300</w:t>
      </w:r>
    </w:p>
    <w:p>
      <w:pPr>
        <w:ind w:left="3340"/>
        <w:spacing w:after="0" w:line="237" w:lineRule="auto"/>
        <w:rPr>
          <w:sz w:val="20"/>
          <w:szCs w:val="20"/>
          <w:color w:val="auto"/>
        </w:rPr>
      </w:pPr>
      <w:r>
        <w:rPr>
          <w:rFonts w:ascii="Courier New" w:cs="Courier New" w:eastAsia="Courier New" w:hAnsi="Courier New"/>
          <w:sz w:val="18"/>
          <w:szCs w:val="18"/>
          <w:color w:val="auto"/>
        </w:rPr>
        <w:t>114,837</w:t>
      </w:r>
    </w:p>
    <w:p>
      <w:pPr>
        <w:ind w:left="3760"/>
        <w:spacing w:after="0" w:line="238" w:lineRule="auto"/>
        <w:rPr>
          <w:sz w:val="20"/>
          <w:szCs w:val="20"/>
          <w:color w:val="auto"/>
        </w:rPr>
      </w:pPr>
      <w:r>
        <w:rPr>
          <w:rFonts w:ascii="Courier New" w:cs="Courier New" w:eastAsia="Courier New" w:hAnsi="Courier New"/>
          <w:sz w:val="18"/>
          <w:szCs w:val="18"/>
          <w:color w:val="auto"/>
        </w:rPr>
        <w:t>47,083</w:t>
      </w:r>
    </w:p>
    <w:p>
      <w:pPr>
        <w:ind w:left="3020"/>
        <w:spacing w:after="0"/>
        <w:rPr>
          <w:sz w:val="20"/>
          <w:szCs w:val="20"/>
          <w:color w:val="auto"/>
        </w:rPr>
      </w:pPr>
      <w:r>
        <w:rPr>
          <w:rFonts w:ascii="Courier New" w:cs="Courier New" w:eastAsia="Courier New" w:hAnsi="Courier New"/>
          <w:sz w:val="18"/>
          <w:szCs w:val="18"/>
          <w:color w:val="auto"/>
        </w:rPr>
        <w:t>67,754</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3760"/>
        <w:spacing w:after="0"/>
        <w:rPr>
          <w:sz w:val="20"/>
          <w:szCs w:val="20"/>
          <w:color w:val="auto"/>
        </w:rPr>
      </w:pPr>
      <w:r>
        <w:rPr>
          <w:rFonts w:ascii="Courier New" w:cs="Courier New" w:eastAsia="Courier New" w:hAnsi="Courier New"/>
          <w:sz w:val="18"/>
          <w:szCs w:val="18"/>
          <w:color w:val="auto"/>
        </w:rPr>
        <w:t>67,754</w:t>
      </w:r>
    </w:p>
    <w:p>
      <w:pPr>
        <w:ind w:left="4080"/>
        <w:spacing w:after="0" w:line="237" w:lineRule="auto"/>
        <w:rPr>
          <w:sz w:val="20"/>
          <w:szCs w:val="20"/>
          <w:color w:val="auto"/>
        </w:rPr>
      </w:pPr>
      <w:r>
        <w:rPr>
          <w:rFonts w:ascii="Courier New" w:cs="Courier New" w:eastAsia="Courier New" w:hAnsi="Courier New"/>
          <w:sz w:val="18"/>
          <w:szCs w:val="18"/>
          <w:color w:val="auto"/>
        </w:rPr>
        <w:t>0.55</w:t>
      </w:r>
    </w:p>
    <w:p>
      <w:pPr>
        <w:ind w:left="3860"/>
        <w:spacing w:after="0" w:line="238" w:lineRule="auto"/>
        <w:rPr>
          <w:sz w:val="20"/>
          <w:szCs w:val="20"/>
          <w:color w:val="auto"/>
        </w:rPr>
      </w:pPr>
      <w:r>
        <w:rPr>
          <w:rFonts w:ascii="Courier New" w:cs="Courier New" w:eastAsia="Courier New" w:hAnsi="Courier New"/>
          <w:sz w:val="18"/>
          <w:szCs w:val="18"/>
          <w:color w:val="auto"/>
        </w:rPr>
        <w:t>0.53</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5"/>
    </w:lvl>
  </w:abstractNum>
  <w:abstractNum w:abstractNumId="4">
    <w:nsid w:val="2EB141F2"/>
    <w:multiLevelType w:val="hybridMultilevel"/>
    <w:lvl w:ilvl="0">
      <w:lvlJc w:val="left"/>
      <w:lvlText w:val="%1."/>
      <w:numFmt w:val="decimal"/>
      <w:start w:val="6"/>
    </w:lvl>
  </w:abstractNum>
  <w:abstractNum w:abstractNumId="5">
    <w:nsid w:val="41B71EFB"/>
    <w:multiLevelType w:val="hybridMultilevel"/>
    <w:lvl w:ilvl="0">
      <w:lvlJc w:val="left"/>
      <w:lvlText w:val="(%1)"/>
      <w:numFmt w:val="lowerLetter"/>
      <w:start w:val="1"/>
    </w:lvl>
    <w:lvl w:ilvl="1">
      <w:lvlJc w:val="left"/>
      <w:lvlText w:val="(%2)"/>
      <w:numFmt w:val="decimal"/>
      <w:start w:val="11"/>
    </w:lvl>
  </w:abstractNum>
  <w:abstractNum w:abstractNumId="6">
    <w:nsid w:val="79E2A9E3"/>
    <w:multiLevelType w:val="hybridMultilevel"/>
    <w:lvl w:ilvl="0">
      <w:lvlJc w:val="left"/>
      <w:lvlText w:val="%1"/>
      <w:numFmt w:val="lowerLetter"/>
      <w:start w:val="1"/>
    </w:lvl>
    <w:lvl w:ilvl="1">
      <w:lvlJc w:val="left"/>
      <w:lvlText w:val="(%2)"/>
      <w:numFmt w:val="decimal"/>
      <w:start w:val="27"/>
    </w:lvl>
  </w:abstractNum>
  <w:abstractNum w:abstractNumId="7">
    <w:nsid w:val="7545E146"/>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2020-02-22T14:08:37Z</dcterms:created>
  <dcterms:modified xsi:type="dcterms:W3CDTF">2020-02-22T14:08:37Z</dcterms:modified>
</cp:coreProperties>
</file>