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26035</wp:posOffset>
            </wp:positionV>
            <wp:extent cx="6970395" cy="1587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58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Chiarello Guy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Administrative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BROOKFIELD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53045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147320</wp:posOffset>
            </wp:positionV>
            <wp:extent cx="6970395" cy="1490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49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36.54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280,874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122.91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270,874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123.565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260,874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07/11/2014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(4)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 xml:space="preserve">   07/11/2023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0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 xml:space="preserve">Common  </w:t>
            </w:r>
            <w:r>
              <w:rPr>
                <w:rFonts w:ascii="Arial" w:cs="Arial" w:eastAsia="Arial" w:hAnsi="Arial"/>
                <w:sz w:val="31"/>
                <w:szCs w:val="31"/>
                <w:color w:val="0000FF"/>
                <w:w w:val="96"/>
                <w:vertAlign w:val="subscript"/>
              </w:rPr>
              <w:t>20,000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36.54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359,292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-1853565</wp:posOffset>
            </wp:positionV>
            <wp:extent cx="7034530" cy="19900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9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exercise and sale was effected pursuant to a Rule 10b5-1 trading plan entered into by the reporting person for estate and financial planning purposes.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/>
        <w:spacing w:after="0" w:line="282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$122.40 to $123.39.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00"/>
        <w:spacing w:after="0" w:line="282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$123.40 to $123.87.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This option vested in five equal installments on each anniversary of the grant date, July 11, 2013.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Robert W. Hau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635</wp:posOffset>
            </wp:positionV>
            <wp:extent cx="1308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-9525</wp:posOffset>
            </wp:positionV>
            <wp:extent cx="1917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1300"/>
        <w:spacing w:after="0" w:line="327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8255</wp:posOffset>
            </wp:positionV>
            <wp:extent cx="4768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5466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2021-03-10T15:35:02Z</dcterms:created>
  <dcterms:modified xsi:type="dcterms:W3CDTF">2021-03-10T15:35:02Z</dcterms:modified>
</cp:coreProperties>
</file>