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177800</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194945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158750</wp:posOffset>
            </wp:positionV>
            <wp:extent cx="39535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2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186690</wp:posOffset>
            </wp:positionV>
            <wp:extent cx="3953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700" w:right="540" w:hanging="665"/>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5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0-14948</w:t>
      </w: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FISERV,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-302895</wp:posOffset>
            </wp:positionV>
            <wp:extent cx="39535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227965</wp:posOffset>
            </wp:positionV>
            <wp:extent cx="39535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6540" w:type="dxa"/>
            <w:vAlign w:val="bottom"/>
          </w:tcPr>
          <w:p>
            <w:pPr>
              <w:jc w:val="center"/>
              <w:ind w:right="3200"/>
              <w:spacing w:after="0"/>
              <w:rPr>
                <w:sz w:val="20"/>
                <w:szCs w:val="20"/>
                <w:color w:val="auto"/>
              </w:rPr>
            </w:pPr>
            <w:r>
              <w:rPr>
                <w:rFonts w:ascii="Arial" w:cs="Arial" w:eastAsia="Arial" w:hAnsi="Arial"/>
                <w:sz w:val="18"/>
                <w:szCs w:val="18"/>
                <w:b w:val="1"/>
                <w:bCs w:val="1"/>
                <w:color w:val="auto"/>
              </w:rPr>
              <w:t>WISCONSIN</w:t>
            </w:r>
          </w:p>
        </w:tc>
        <w:tc>
          <w:tcPr>
            <w:tcW w:w="1320" w:type="dxa"/>
            <w:vAlign w:val="bottom"/>
          </w:tcPr>
          <w:p>
            <w:pPr>
              <w:jc w:val="right"/>
              <w:ind w:right="61"/>
              <w:spacing w:after="0"/>
              <w:rPr>
                <w:sz w:val="20"/>
                <w:szCs w:val="20"/>
                <w:color w:val="auto"/>
              </w:rPr>
            </w:pPr>
            <w:r>
              <w:rPr>
                <w:rFonts w:ascii="Arial" w:cs="Arial" w:eastAsia="Arial" w:hAnsi="Arial"/>
                <w:sz w:val="18"/>
                <w:szCs w:val="18"/>
                <w:b w:val="1"/>
                <w:bCs w:val="1"/>
                <w:color w:val="auto"/>
              </w:rPr>
              <w:t>39-1506125</w:t>
            </w:r>
          </w:p>
        </w:tc>
      </w:tr>
      <w:tr>
        <w:trPr>
          <w:trHeight w:val="180"/>
        </w:trPr>
        <w:tc>
          <w:tcPr>
            <w:tcW w:w="6540" w:type="dxa"/>
            <w:vAlign w:val="bottom"/>
          </w:tcPr>
          <w:p>
            <w:pPr>
              <w:jc w:val="center"/>
              <w:ind w:right="3200"/>
              <w:spacing w:after="0"/>
              <w:rPr>
                <w:sz w:val="20"/>
                <w:szCs w:val="20"/>
                <w:color w:val="auto"/>
              </w:rPr>
            </w:pPr>
            <w:r>
              <w:rPr>
                <w:rFonts w:ascii="Arial" w:cs="Arial" w:eastAsia="Arial" w:hAnsi="Arial"/>
                <w:sz w:val="14"/>
                <w:szCs w:val="14"/>
                <w:b w:val="1"/>
                <w:bCs w:val="1"/>
                <w:color w:val="auto"/>
                <w:w w:val="93"/>
              </w:rPr>
              <w:t>(State or Other Jurisdiction of</w:t>
            </w:r>
          </w:p>
        </w:tc>
        <w:tc>
          <w:tcPr>
            <w:tcW w:w="1320" w:type="dxa"/>
            <w:vAlign w:val="bottom"/>
          </w:tcPr>
          <w:p>
            <w:pPr>
              <w:jc w:val="center"/>
              <w:ind w:left="121"/>
              <w:spacing w:after="0"/>
              <w:rPr>
                <w:sz w:val="20"/>
                <w:szCs w:val="20"/>
                <w:color w:val="auto"/>
              </w:rPr>
            </w:pPr>
            <w:r>
              <w:rPr>
                <w:rFonts w:ascii="Arial" w:cs="Arial" w:eastAsia="Arial" w:hAnsi="Arial"/>
                <w:sz w:val="14"/>
                <w:szCs w:val="14"/>
                <w:b w:val="1"/>
                <w:bCs w:val="1"/>
                <w:color w:val="auto"/>
                <w:w w:val="97"/>
              </w:rPr>
              <w:t>(I. R. S. Employer</w:t>
            </w:r>
          </w:p>
        </w:tc>
      </w:tr>
      <w:tr>
        <w:trPr>
          <w:trHeight w:val="186"/>
        </w:trPr>
        <w:tc>
          <w:tcPr>
            <w:tcW w:w="6540" w:type="dxa"/>
            <w:vAlign w:val="bottom"/>
          </w:tcPr>
          <w:p>
            <w:pPr>
              <w:jc w:val="center"/>
              <w:ind w:right="3200"/>
              <w:spacing w:after="0"/>
              <w:rPr>
                <w:sz w:val="20"/>
                <w:szCs w:val="20"/>
                <w:color w:val="auto"/>
              </w:rPr>
            </w:pPr>
            <w:r>
              <w:rPr>
                <w:rFonts w:ascii="Arial" w:cs="Arial" w:eastAsia="Arial" w:hAnsi="Arial"/>
                <w:sz w:val="14"/>
                <w:szCs w:val="14"/>
                <w:b w:val="1"/>
                <w:bCs w:val="1"/>
                <w:color w:val="auto"/>
                <w:w w:val="95"/>
              </w:rPr>
              <w:t>Incorporation or Organization)</w:t>
            </w:r>
          </w:p>
        </w:tc>
        <w:tc>
          <w:tcPr>
            <w:tcW w:w="1320" w:type="dxa"/>
            <w:vAlign w:val="bottom"/>
          </w:tcPr>
          <w:p>
            <w:pPr>
              <w:jc w:val="center"/>
              <w:ind w:left="121"/>
              <w:spacing w:after="0"/>
              <w:rPr>
                <w:sz w:val="20"/>
                <w:szCs w:val="20"/>
                <w:color w:val="auto"/>
              </w:rPr>
            </w:pPr>
            <w:r>
              <w:rPr>
                <w:rFonts w:ascii="Arial" w:cs="Arial" w:eastAsia="Arial" w:hAnsi="Arial"/>
                <w:sz w:val="14"/>
                <w:szCs w:val="14"/>
                <w:b w:val="1"/>
                <w:bCs w:val="1"/>
                <w:color w:val="auto"/>
                <w:w w:val="94"/>
              </w:rPr>
              <w:t>Identification No.)</w:t>
            </w:r>
          </w:p>
        </w:tc>
      </w:tr>
      <w:tr>
        <w:trPr>
          <w:trHeight w:val="390"/>
        </w:trPr>
        <w:tc>
          <w:tcPr>
            <w:tcW w:w="6540" w:type="dxa"/>
            <w:vAlign w:val="bottom"/>
          </w:tcPr>
          <w:p>
            <w:pPr>
              <w:jc w:val="center"/>
              <w:ind w:right="3200"/>
              <w:spacing w:after="0"/>
              <w:rPr>
                <w:sz w:val="20"/>
                <w:szCs w:val="20"/>
                <w:color w:val="auto"/>
              </w:rPr>
            </w:pPr>
            <w:r>
              <w:rPr>
                <w:rFonts w:ascii="Arial" w:cs="Arial" w:eastAsia="Arial" w:hAnsi="Arial"/>
                <w:sz w:val="18"/>
                <w:szCs w:val="18"/>
                <w:b w:val="1"/>
                <w:bCs w:val="1"/>
                <w:color w:val="auto"/>
              </w:rPr>
              <w:t>255 FISERV DRIVE, BROOKFIELD, WI</w:t>
            </w:r>
          </w:p>
        </w:tc>
        <w:tc>
          <w:tcPr>
            <w:tcW w:w="1320" w:type="dxa"/>
            <w:vAlign w:val="bottom"/>
          </w:tcPr>
          <w:p>
            <w:pPr>
              <w:jc w:val="right"/>
              <w:ind w:right="261"/>
              <w:spacing w:after="0"/>
              <w:rPr>
                <w:sz w:val="20"/>
                <w:szCs w:val="20"/>
                <w:color w:val="auto"/>
              </w:rPr>
            </w:pPr>
            <w:r>
              <w:rPr>
                <w:rFonts w:ascii="Arial" w:cs="Arial" w:eastAsia="Arial" w:hAnsi="Arial"/>
                <w:sz w:val="18"/>
                <w:szCs w:val="18"/>
                <w:b w:val="1"/>
                <w:bCs w:val="1"/>
                <w:color w:val="auto"/>
              </w:rPr>
              <w:t>53045</w:t>
            </w:r>
          </w:p>
        </w:tc>
      </w:tr>
      <w:tr>
        <w:trPr>
          <w:trHeight w:val="218"/>
        </w:trPr>
        <w:tc>
          <w:tcPr>
            <w:tcW w:w="6540" w:type="dxa"/>
            <w:vAlign w:val="bottom"/>
          </w:tcPr>
          <w:p>
            <w:pPr>
              <w:jc w:val="center"/>
              <w:ind w:right="32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2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81"/>
        </w:trPr>
        <w:tc>
          <w:tcPr>
            <w:tcW w:w="6540" w:type="dxa"/>
            <w:vAlign w:val="bottom"/>
          </w:tcPr>
          <w:p>
            <w:pPr>
              <w:jc w:val="right"/>
              <w:ind w:right="1260"/>
              <w:spacing w:after="0"/>
              <w:rPr>
                <w:sz w:val="20"/>
                <w:szCs w:val="20"/>
                <w:color w:val="auto"/>
              </w:rPr>
            </w:pPr>
            <w:r>
              <w:rPr>
                <w:rFonts w:ascii="Arial" w:cs="Arial" w:eastAsia="Arial" w:hAnsi="Arial"/>
                <w:sz w:val="18"/>
                <w:szCs w:val="18"/>
                <w:b w:val="1"/>
                <w:bCs w:val="1"/>
                <w:color w:val="auto"/>
              </w:rPr>
              <w:t>(262) 879-5000</w:t>
            </w:r>
          </w:p>
        </w:tc>
        <w:tc>
          <w:tcPr>
            <w:tcW w:w="1320" w:type="dxa"/>
            <w:vAlign w:val="bottom"/>
          </w:tcPr>
          <w:p>
            <w:pPr>
              <w:spacing w:after="0"/>
              <w:rPr>
                <w:sz w:val="24"/>
                <w:szCs w:val="24"/>
                <w:color w:val="auto"/>
              </w:rPr>
            </w:pPr>
          </w:p>
        </w:tc>
      </w:tr>
      <w:tr>
        <w:trPr>
          <w:trHeight w:val="186"/>
        </w:trPr>
        <w:tc>
          <w:tcPr>
            <w:tcW w:w="6540" w:type="dxa"/>
            <w:vAlign w:val="bottom"/>
          </w:tcPr>
          <w:p>
            <w:pPr>
              <w:jc w:val="center"/>
              <w:ind w:left="266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3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1651635</wp:posOffset>
            </wp:positionH>
            <wp:positionV relativeFrom="paragraph">
              <wp:posOffset>299085</wp:posOffset>
            </wp:positionV>
            <wp:extent cx="39535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800" w:space="720"/>
            <w:col w:w="4740" w:space="720"/>
            <w:col w:w="1880" w:space="720"/>
            <w:col w:w="800"/>
          </w:cols>
          <w:pgMar w:left="240" w:top="233" w:right="27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jc w:val="center"/>
        <w:ind w:right="640"/>
        <w:spacing w:after="0" w:line="14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4">
            <w:col w:w="1800" w:space="720"/>
            <w:col w:w="4740" w:space="720"/>
            <w:col w:w="1980" w:space="620"/>
            <w:col w:w="800"/>
          </w:cols>
          <w:pgMar w:left="240" w:top="233" w:right="279" w:bottom="1440" w:gutter="0" w:footer="0" w:header="0"/>
          <w:type w:val="continuous"/>
        </w:sectPr>
      </w:pPr>
    </w:p>
    <w:p>
      <w:pPr>
        <w:spacing w:after="0" w:line="2" w:lineRule="exact"/>
        <w:rPr>
          <w:sz w:val="24"/>
          <w:szCs w:val="24"/>
          <w:color w:val="auto"/>
        </w:rPr>
      </w:pPr>
    </w:p>
    <w:p>
      <w:pPr>
        <w:ind w:right="1860"/>
        <w:spacing w:after="0" w:line="32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31, 2016, there were 219,815,160 shares of common stock, $.01 par value,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318135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335280</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40" w:type="dxa"/>
            <w:vAlign w:val="bottom"/>
            <w:gridSpan w:val="1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INDEX</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700" w:type="dxa"/>
            <w:vAlign w:val="bottom"/>
            <w:gridSpan w:val="1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700" w:type="dxa"/>
            <w:vAlign w:val="bottom"/>
            <w:gridSpan w:val="18"/>
            <w:vMerge w:val="continue"/>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w:t>
              </w:r>
            </w:hyperlink>
          </w:p>
        </w:tc>
        <w:tc>
          <w:tcPr>
            <w:tcW w:w="680" w:type="dxa"/>
            <w:vAlign w:val="bottom"/>
          </w:tcPr>
          <w:p>
            <w:pPr>
              <w:jc w:val="center"/>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7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Comprehensive Income</w:t>
              </w:r>
            </w:hyperlink>
          </w:p>
        </w:tc>
        <w:tc>
          <w:tcPr>
            <w:tcW w:w="5800" w:type="dxa"/>
            <w:vAlign w:val="bottom"/>
            <w:gridSpan w:val="4"/>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w:t>
              </w:r>
            </w:hyperlink>
          </w:p>
        </w:tc>
        <w:tc>
          <w:tcPr>
            <w:tcW w:w="680" w:type="dxa"/>
            <w:vAlign w:val="bottom"/>
          </w:tcPr>
          <w:p>
            <w:pPr>
              <w:jc w:val="center"/>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w:t>
              </w:r>
            </w:hyperlink>
          </w:p>
        </w:tc>
        <w:tc>
          <w:tcPr>
            <w:tcW w:w="680" w:type="dxa"/>
            <w:vAlign w:val="bottom"/>
          </w:tcPr>
          <w:p>
            <w:pPr>
              <w:jc w:val="center"/>
              <w:spacing w:after="0"/>
              <w:rPr>
                <w:rFonts w:ascii="Arial" w:cs="Arial" w:eastAsia="Arial" w:hAnsi="Arial"/>
                <w:sz w:val="18"/>
                <w:szCs w:val="18"/>
                <w:color w:val="auto"/>
                <w:w w:val="79"/>
              </w:rPr>
            </w:pPr>
            <w:hyperlink w:anchor="page6">
              <w:r>
                <w:rPr>
                  <w:rFonts w:ascii="Arial" w:cs="Arial" w:eastAsia="Arial" w:hAnsi="Arial"/>
                  <w:sz w:val="18"/>
                  <w:szCs w:val="18"/>
                  <w:color w:val="auto"/>
                  <w:w w:val="79"/>
                </w:rPr>
                <w:t>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54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680" w:type="dxa"/>
            <w:vAlign w:val="bottom"/>
          </w:tcPr>
          <w:p>
            <w:pPr>
              <w:jc w:val="center"/>
              <w:spacing w:after="0"/>
              <w:rPr>
                <w:rFonts w:ascii="Arial" w:cs="Arial" w:eastAsia="Arial" w:hAnsi="Arial"/>
                <w:sz w:val="18"/>
                <w:szCs w:val="18"/>
                <w:color w:val="auto"/>
                <w:w w:val="79"/>
              </w:rPr>
            </w:pPr>
            <w:hyperlink w:anchor="page7">
              <w:r>
                <w:rPr>
                  <w:rFonts w:ascii="Arial" w:cs="Arial" w:eastAsia="Arial" w:hAnsi="Arial"/>
                  <w:sz w:val="18"/>
                  <w:szCs w:val="18"/>
                  <w:color w:val="auto"/>
                  <w:w w:val="79"/>
                </w:rPr>
                <w:t>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40" w:type="dxa"/>
            <w:vAlign w:val="bottom"/>
            <w:gridSpan w:val="6"/>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1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center"/>
              <w:spacing w:after="0"/>
              <w:rPr>
                <w:rFonts w:ascii="Arial" w:cs="Arial" w:eastAsia="Arial" w:hAnsi="Arial"/>
                <w:sz w:val="18"/>
                <w:szCs w:val="18"/>
                <w:color w:val="auto"/>
                <w:w w:val="79"/>
              </w:rPr>
            </w:pPr>
            <w:hyperlink w:anchor="page13">
              <w:r>
                <w:rPr>
                  <w:rFonts w:ascii="Arial" w:cs="Arial" w:eastAsia="Arial" w:hAnsi="Arial"/>
                  <w:sz w:val="18"/>
                  <w:szCs w:val="18"/>
                  <w:color w:val="auto"/>
                  <w:w w:val="79"/>
                </w:rPr>
                <w:t>11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1"/>
                <w:szCs w:val="21"/>
                <w:color w:val="auto"/>
              </w:rPr>
            </w:pPr>
          </w:p>
        </w:tc>
        <w:tc>
          <w:tcPr>
            <w:tcW w:w="3440" w:type="dxa"/>
            <w:vAlign w:val="bottom"/>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19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Controls and Procedures</w:t>
              </w:r>
            </w:hyperlink>
          </w:p>
        </w:tc>
        <w:tc>
          <w:tcPr>
            <w:tcW w:w="8120" w:type="dxa"/>
            <w:vAlign w:val="bottom"/>
            <w:gridSpan w:val="12"/>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19</w:t>
              </w:r>
            </w:hyperlink>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26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PART II – OTHER INFORMATION</w:t>
              </w:r>
            </w:hyperlink>
          </w:p>
        </w:tc>
        <w:tc>
          <w:tcPr>
            <w:tcW w:w="804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Legal Proceedings</w:t>
              </w:r>
            </w:hyperlink>
          </w:p>
        </w:tc>
        <w:tc>
          <w:tcPr>
            <w:tcW w:w="8560" w:type="dxa"/>
            <w:vAlign w:val="bottom"/>
            <w:gridSpan w:val="13"/>
          </w:tcPr>
          <w:p>
            <w:pPr>
              <w:spacing w:after="0"/>
              <w:rPr>
                <w:sz w:val="24"/>
                <w:szCs w:val="24"/>
                <w:color w:val="auto"/>
              </w:rPr>
            </w:pPr>
          </w:p>
        </w:tc>
        <w:tc>
          <w:tcPr>
            <w:tcW w:w="680" w:type="dxa"/>
            <w:vAlign w:val="bottom"/>
          </w:tcPr>
          <w:p>
            <w:pPr>
              <w:jc w:val="center"/>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19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Unregistered Sales of Equity Securities and Use of Proceeds</w:t>
              </w:r>
            </w:hyperlink>
          </w:p>
        </w:tc>
        <w:tc>
          <w:tcPr>
            <w:tcW w:w="5540" w:type="dxa"/>
            <w:vAlign w:val="bottom"/>
            <w:gridSpan w:val="3"/>
          </w:tcPr>
          <w:p>
            <w:pPr>
              <w:spacing w:after="0"/>
              <w:rPr>
                <w:sz w:val="21"/>
                <w:szCs w:val="21"/>
                <w:color w:val="auto"/>
              </w:rPr>
            </w:pPr>
          </w:p>
        </w:tc>
        <w:tc>
          <w:tcPr>
            <w:tcW w:w="680" w:type="dxa"/>
            <w:vAlign w:val="bottom"/>
          </w:tcPr>
          <w:p>
            <w:pPr>
              <w:jc w:val="center"/>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19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680" w:type="dxa"/>
            <w:vAlign w:val="bottom"/>
          </w:tcPr>
          <w:p>
            <w:pPr>
              <w:jc w:val="center"/>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19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8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Signatures</w:t>
        </w:r>
      </w:hyperlink>
    </w:p>
    <w:p>
      <w:pPr>
        <w:spacing w:after="0" w:line="63" w:lineRule="exact"/>
        <w:rPr>
          <w:sz w:val="20"/>
          <w:szCs w:val="20"/>
          <w:color w:val="auto"/>
        </w:rPr>
      </w:pPr>
    </w:p>
    <w:p>
      <w:pPr>
        <w:ind w:left="8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Exhibit Index</w:t>
        </w:r>
      </w:hyperlink>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6"/>
                <w:szCs w:val="16"/>
                <w:b w:val="1"/>
                <w:bCs w:val="1"/>
                <w:color w:val="auto"/>
              </w:rPr>
              <w:t>2015</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Processing and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2,176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37"/>
        </w:trPr>
        <w:tc>
          <w:tcPr>
            <w:tcW w:w="65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2,573</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Cost of processing and services</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1,084</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product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1,933</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and investment (loss) income, net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debt extinguishment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w w:val="97"/>
              </w:rPr>
              <w:t>Income before income taxes and income from investment in unconsolidated affiliate</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from investment in unconsolidated affiliate</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6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237.6</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241.7</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0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3"/>
          </w:tcPr>
          <w:p>
            <w:pPr>
              <w:jc w:val="right"/>
              <w:ind w:right="433"/>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Reclassification adjustment for net realized losses on cash flow hedges included in</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6"/>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interest expense, net of income tax provision of $1 million, $3 million, $2 million</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7"/>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and $4 million</w:t>
            </w:r>
          </w:p>
        </w:tc>
        <w:tc>
          <w:tcPr>
            <w:tcW w:w="7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Foreign currency translation</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comprehensive (loss) income</w:t>
            </w:r>
          </w:p>
        </w:tc>
        <w:tc>
          <w:tcPr>
            <w:tcW w:w="7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760" w:type="dxa"/>
            <w:vAlign w:val="bottom"/>
            <w:tcBorders>
              <w:top w:val="single" w:sz="8" w:color="auto"/>
            </w:tcBorders>
          </w:tcPr>
          <w:p>
            <w:pPr>
              <w:jc w:val="right"/>
              <w:ind w:right="55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3"/>
              </w:rPr>
              <w:t>207</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6"/>
              </w:rPr>
              <w:t>132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302</w:t>
            </w:r>
          </w:p>
        </w:tc>
      </w:tr>
      <w:tr>
        <w:trPr>
          <w:trHeight w:val="27"/>
        </w:trPr>
        <w:tc>
          <w:tcPr>
            <w:tcW w:w="65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720"/>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20" w:type="dxa"/>
            <w:vAlign w:val="bottom"/>
          </w:tcPr>
          <w:p>
            <w:pPr>
              <w:jc w:val="right"/>
              <w:ind w:right="91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275</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net</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429</w:t>
            </w:r>
          </w:p>
        </w:tc>
      </w:tr>
      <w:tr>
        <w:trPr>
          <w:trHeight w:val="27"/>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396</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5,380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5,200</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120" w:type="dxa"/>
            <w:vAlign w:val="bottom"/>
            <w:tcBorders>
              <w:top w:val="single" w:sz="8" w:color="auto"/>
            </w:tcBorders>
          </w:tcPr>
          <w:p>
            <w:pPr>
              <w:jc w:val="right"/>
              <w:ind w:right="91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9,340</w:t>
            </w:r>
          </w:p>
        </w:tc>
      </w:tr>
      <w:tr>
        <w:trPr>
          <w:trHeight w:val="67"/>
        </w:trPr>
        <w:tc>
          <w:tcPr>
            <w:tcW w:w="7900" w:type="dxa"/>
            <w:vAlign w:val="bottom"/>
            <w:tcBorders>
              <w:bottom w:val="single" w:sz="8" w:color="CCEEFF"/>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256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1120" w:type="dxa"/>
            <w:vAlign w:val="bottom"/>
          </w:tcPr>
          <w:p>
            <w:pPr>
              <w:jc w:val="right"/>
              <w:ind w:right="91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1,024</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473</w:t>
            </w:r>
          </w:p>
        </w:tc>
      </w:tr>
      <w:tr>
        <w:trPr>
          <w:trHeight w:val="27"/>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4,548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4,288</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6,680</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no par value: 25.0 million shares authorized; none issued</w:t>
            </w:r>
          </w:p>
        </w:tc>
        <w:tc>
          <w:tcPr>
            <w:tcW w:w="11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$0.01 par value: 900.0 million shares authorized; 395.7 million shares issued</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952</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1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8,565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8,064</w:t>
            </w:r>
          </w:p>
        </w:tc>
      </w:tr>
      <w:tr>
        <w:trPr>
          <w:trHeight w:val="27"/>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175.1 million and 170.4 million shares</w:t>
            </w:r>
          </w:p>
        </w:tc>
        <w:tc>
          <w:tcPr>
            <w:tcW w:w="1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(6,831)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(6,286)</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1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2,660</w:t>
            </w:r>
          </w:p>
        </w:tc>
      </w:tr>
      <w:tr>
        <w:trPr>
          <w:trHeight w:val="27"/>
        </w:trPr>
        <w:tc>
          <w:tcPr>
            <w:tcW w:w="79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33020</wp:posOffset>
            </wp:positionV>
            <wp:extent cx="22383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and other amortization</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acquisition-related intangible assets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awards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investment in unconsolidated affiliate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Dividends from unconsolidated affiliate</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impairment charges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Loss on early debt extinguishment</w:t>
            </w:r>
          </w:p>
        </w:tc>
        <w:tc>
          <w:tcPr>
            <w:tcW w:w="11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Trade accounts receivable</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Prepaid expenses and other assets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other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including capitalization of software costs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Payments for acquisitions of businesses</w:t>
            </w:r>
          </w:p>
        </w:tc>
        <w:tc>
          <w:tcPr>
            <w:tcW w:w="11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Debt proceeds</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2,392</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repayments, including redemption and other costs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Proceeds from issuance of treasury stock</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treasury stock, including employee shares withheld for tax obligations</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Excess tax benefits from share-based awards</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7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r>
      <w:tr>
        <w:trPr>
          <w:trHeight w:val="27"/>
        </w:trPr>
        <w:tc>
          <w:tcPr>
            <w:tcW w:w="7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balance</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ending balance</w:t>
            </w:r>
          </w:p>
        </w:tc>
        <w:tc>
          <w:tcPr>
            <w:tcW w:w="1100" w:type="dxa"/>
            <w:vAlign w:val="bottom"/>
            <w:tcBorders>
              <w:top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530</w:t>
            </w:r>
          </w:p>
        </w:tc>
      </w:tr>
      <w:tr>
        <w:trPr>
          <w:trHeight w:val="27"/>
        </w:trPr>
        <w:tc>
          <w:tcPr>
            <w:tcW w:w="79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consolidated financial statements for the three-month and six-month periods ended June 30, 2016 and 2015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2015.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consolidated financial statements include the accounts of Fiserv, Inc. and all 100% owned subsidiaries. Investments in less than 50% owned affiliates in which the Company has significant influence but not control are accounted for using the equity method of accounting. All intercompany transactions and balances have been eliminated in consolidation.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(Topic 326) </w:t>
      </w:r>
      <w:r>
        <w:rPr>
          <w:rFonts w:ascii="Arial" w:cs="Arial" w:eastAsia="Arial" w:hAnsi="Arial"/>
          <w:sz w:val="16"/>
          <w:szCs w:val="16"/>
          <w:color w:val="auto"/>
        </w:rPr>
        <w:t>(“ASU 2016-13”), which prescribes an impairment model for most financial assets based on expected losses rather than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losses. Under this model, an estimate of </w:t>
      </w:r>
      <w:r>
        <w:rPr>
          <w:rFonts w:ascii="Arial" w:cs="Arial" w:eastAsia="Arial" w:hAnsi="Arial"/>
          <w:sz w:val="16"/>
          <w:szCs w:val="16"/>
          <w:color w:val="252525"/>
        </w:rPr>
        <w:t>expected credit losses over the contractual life of the instrument is to be recorded as of the end of a reporting period</w:t>
      </w:r>
      <w:r>
        <w:rPr>
          <w:rFonts w:ascii="Arial" w:cs="Arial" w:eastAsia="Arial" w:hAnsi="Arial"/>
          <w:sz w:val="16"/>
          <w:szCs w:val="16"/>
          <w:color w:val="auto"/>
        </w:rPr>
        <w:t xml:space="preserve"> </w:t>
      </w:r>
      <w:r>
        <w:rPr>
          <w:rFonts w:ascii="Arial" w:cs="Arial" w:eastAsia="Arial" w:hAnsi="Arial"/>
          <w:sz w:val="16"/>
          <w:szCs w:val="16"/>
          <w:color w:val="252525"/>
        </w:rPr>
        <w:t xml:space="preserve">as an allowance to offset the amortized cost basis, resulting in a net presentation of the amount expected to be collected on the financial asset. </w:t>
      </w:r>
      <w:r>
        <w:rPr>
          <w:rFonts w:ascii="Arial" w:cs="Arial" w:eastAsia="Arial" w:hAnsi="Arial"/>
          <w:sz w:val="16"/>
          <w:szCs w:val="16"/>
          <w:color w:val="000000"/>
        </w:rPr>
        <w:t>For public</w:t>
      </w:r>
      <w:r>
        <w:rPr>
          <w:rFonts w:ascii="Arial" w:cs="Arial" w:eastAsia="Arial" w:hAnsi="Arial"/>
          <w:sz w:val="16"/>
          <w:szCs w:val="16"/>
          <w:color w:val="252525"/>
        </w:rPr>
        <w:t xml:space="preserve"> </w:t>
      </w:r>
      <w:r>
        <w:rPr>
          <w:rFonts w:ascii="Arial" w:cs="Arial" w:eastAsia="Arial" w:hAnsi="Arial"/>
          <w:sz w:val="16"/>
          <w:szCs w:val="16"/>
          <w:color w:val="000000"/>
        </w:rPr>
        <w:t>entities, ASU 2016-13 is effective for fiscal years, including interim periods within those fiscal years, beginning after December 15, 2019. Early adoption is permitted for fiscal years beginning after December 15, 2018, including interim periods within those fiscal years. For most instruments, entities must apply the standard using a cumulative-effect adjustment to beginning retained earnings as of the beginning of the fiscal year of adoption. The Company is currently assessing the impact that the adoption of ASU 2016-13 will have on its consolidated financial statements.</w:t>
      </w:r>
    </w:p>
    <w:p>
      <w:pPr>
        <w:spacing w:after="0" w:line="11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(“ASU 2016-09”), which simplifies several aspects of the accounting for share-based payment awards, including the accounting for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and forfeitures, as well as classification in the statement of cash flows. The standard requires that all tax effects related to share-based payments be recorded as income tax expense or benefit in the income statement at settlement or expiration and, accordingly, excess tax benefits and tax deficiencies be presented as operating activities in the statement of cash flows. For public entities, ASU 2016-09 is effective for annual periods beginning after December 15, 2016, including interim periods within those annual periods, with early adoption permitted in any interim or annual period for which financial statements have not yet been issued. The recognition of all excess tax benefits and tax deficiencies in the income statement, as well as related changes to the computation of diluted earnings per share, is to be applied prospectively. Entities may elect to apply the change in presentation in the statement of cash flows either prospectively or retrospectively to all periods presented. The Company is currently assessing the impact that the adoption of ASU 2016-09 will have on its consolidated financial statements.</w:t>
      </w:r>
    </w:p>
    <w:p>
      <w:pPr>
        <w:spacing w:after="0" w:line="12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requires lessees to recognize a lease liability and a right-of-use asset for each lease with a term longer than twelve months. The recognized liability is measured at the present value of lease payments not yet paid, and the corresponding asset represents the lessee’s right to use the underlying asset over the lease term and is based on the liability, subject to certain adjustments. For income statement purposes, the standard retains the dual model with leases classified as either operating or finance. Operating leases will result in straight-line expense while finance leases will result in a front-loaded expense pattern. For public entities, ASU 2016-02 is effective for annual and interim periods beginning after December 15, 2018, with early adoption permitted. The standard requires a modified retrospective transition approach for leases existing at, or entered into after, the beginning of the earliest comparative period presented in the financial statements. The Company is currently assessing the impact that the adoption of ASU 2016-02 will have on its consolidated financial statements.</w:t>
      </w:r>
    </w:p>
    <w:p>
      <w:pPr>
        <w:spacing w:after="0" w:line="11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In January 2016, the FASB issued ASU No.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(“ASU 2016-01”), which primarily affects the accounting for equity investments, financial liabilities under the fair value option, and the presentation and disclosure requirements of financial instruments. For public entities, ASU 2016-01 is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effective for fiscal years, and interim periods within those years, beginning after December 15, 2017, with early adoption permitted for certain provisions of the standard. Entities must apply the standard, with certain exceptions, using a cumulative-effect adjustment to beginning retained earnings as of the beginning of the fiscal year of adoption. The Company is currently assessing the impact that the adoption of ASU 2016-01 will have on its consolidated financial statements.</w:t>
      </w:r>
    </w:p>
    <w:p>
      <w:pPr>
        <w:spacing w:after="0" w:line="13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to clarify the principles of recognizing revenue and to create common revenue recognition guidance between U.S. generally accepted accounting principles and International Financial Reporting Standards. ASU 2014-09 outlines a single comprehensive model for entities to use in accounting for revenue arising from contracts with customers and supersedes most current revenue recognition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This model involves a five-step process for achieving that core principle, along with comprehensive disclosures about the nature, amount, timing and uncertainty of revenue and cash flows arising from contracts with customers. In July 2015, the FASB deferred the effective date of the new revenue standard for one year and will permit early adoption as of the original effective date in ASU 2014-09. For public entities, the standard is effective for annual and interim periods beginning after December 15, 2017. Entities have the option of using either a full retrospective or a modified approach to adopt this new guidance. The Company is currently assessing the impact that the adoption of ASU 2014-09 will have on its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7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considers the principal or most advantageous market and the market-based risk measurements or assumptions that market participants would use in pricing the asset or liability.</w:t>
      </w:r>
    </w:p>
    <w:p>
      <w:pPr>
        <w:spacing w:after="0" w:line="10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fair values of cash equivalents, trade accounts receivable, settlement assets and obligations, and accounts payable approximate their respective carrying values due to the short period of time to maturity. The estimated fair value of total debt was $4.8 billion at June 30, 2016 and $4.3 billion at December 31, 2015, and was based on quoted prices in inactive markets for the Company’s senior notes (level 2 of the fair value hierarchy) and discounted cash flows based on the Company’s current incremental borrowing rate for its term loan (level 3 of the fair value hierarchy). The fair value of the Company’s revolving credit facility borrowings approximates carrying value as the underlying interest rate is variable based on LIBOR.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January 15, 2016, the Company acquired Hewlett Packard Enterprise’s Convenience Pay Services business, which enables providers to accept electronic payments from their consumers through multiple channels, thereby expanding the Company’s biller solution offerings. On March 3, 2016, the Company completed its purchase of certain assets of ACI Worldwide, Inc.’s Community Financial Services business, further enhancing the Company’s suite of digital banking and payments solutions.</w:t>
      </w:r>
    </w:p>
    <w:p>
      <w:pPr>
        <w:spacing w:after="0" w:line="13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 acquired these businesses for an aggregate purchase price of $265 million. As of June 30, 2016, the preliminary purchase price allocations for these acquisitions resulted in technology and customer intangible assets totaling approximately $75 million, goodwill of approximately $180 million, and other identifiable net assets of approximately $10 million. The goodwill, recognized within the Payments and Industry Products (“Payments”) segment, from these transactions is deductible for tax purposes and is primarily attributed to synergies and anticipated revenue and earnings growth associated with the products and services that these businesses provide. The purchase price allocations were based on preliminary valuations and are subject to final adjustment.</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results of operations for these acquired businesses have been included in the accompanying consolidated statements of income from the dates of acquisition. As a result of these acquisitions, the Company has incurred merger and integration costs, including a $10 million non-cash impairment charge in the first quarter of 2016 related to the Company’s decision to replace existing software with an acquired solution. The related impairment charge was recorded in cost of processing and services within Corporate and Other as such amount is excluded from the Company’s measure of the Payments segment’s operating performance. Pro forma information for these acquisitions is not provided because they did not have a material effect on the Company’s consolidated results of operations.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 in Unconsolidated Affiliate</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owns a 49% interest in StoneRiver Group, L.P. (“StoneRiver”), which is accounted for as an equity method investment, and reports its share of StoneRiver’s net income as income from investment in unconsolidated affiliate. During the first quarter of 2016, StoneRiver recognized a gain on the sale of a business interest in which the Company’s pre-tax share of this gain was $190 million. During the first quarter of 2016, the Company also received cash dividends of $140 million from StoneRiver, which were funded from the sale transaction and recorded as reductions in the Company’s investment in StoneRiver. In conjunction with this activity, the Company evaluated its equity method investment in StoneRiver for its ability to recover the remaining carrying amount of such investment. Utilizing a discounted cash flow analysis (level 3 of the fair value hierarchy) to arrive at a measure of the investment’s fair value, the Company recognized an impairment loss of $44 million.</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pre-tax share of the gain, net of the impairment loss, of $146 million was recorded within income from investment in unconsolidated affiliate, with the related tax expense of $54 million recorded through the income tax provision, in the consolidated statements of income. The Company’s investment in StoneRiver was $22 million and $17 million at June 30, 2016 and December 31, 2015, respectively, and is reported within other long-term assets in the consolidated balance sheets. The dividends, in their entirety, represented returns on the Company’s investment and are reported in cash flows from operating activities.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7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 recognized $17 million and $39 million of share-based compensation expense during the three and six months ended June 30, 2016, respectively, and $18 million and $36 million of share-based compensation expense during the three and six months ended June 30, 2015, respectively. The Company’s annual grant of share-based awards generally occurs in the first quarter. During the six months ended June 30, 2016, the Company granted 0.9 million stock options and 0.5 million restricted and performance-based stock units at weighted-average estimated fair values of $31.42 and $98.16, respectively. During the six months ended June 30, 2015, the Company granted 1.1 million stock options and 0.3 million restricted stock units at weighted-average estimated fair values of $25.43 and $79.06, respectively. During the six months ended June 30, 2016 and 2015, stock options to purchase 1.3 million and 1.7 million shares, respectively, were exercised.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Shares Used in Computing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shares used in calculating basic and diluted net income per common share is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3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Weighted-average common shares outstanding used for the calculation of net income per share – basic</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Weighted-average common shares outstanding used for the calculation of net income per share – diluted</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52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3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1600" w:type="dxa"/>
            <w:vAlign w:val="bottom"/>
            <w:gridSpan w:val="3"/>
          </w:tcPr>
          <w:p>
            <w:pPr>
              <w:jc w:val="center"/>
              <w:ind w:left="754"/>
              <w:spacing w:after="0"/>
              <w:rPr>
                <w:sz w:val="20"/>
                <w:szCs w:val="20"/>
                <w:color w:val="auto"/>
              </w:rPr>
            </w:pPr>
            <w:r>
              <w:rPr>
                <w:rFonts w:ascii="Arial" w:cs="Arial" w:eastAsia="Arial" w:hAnsi="Arial"/>
                <w:sz w:val="16"/>
                <w:szCs w:val="16"/>
                <w:b w:val="1"/>
                <w:bCs w:val="1"/>
                <w:color w:val="auto"/>
                <w:w w:val="87"/>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left="754"/>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1160" w:type="dxa"/>
            <w:vAlign w:val="bottom"/>
          </w:tcPr>
          <w:p>
            <w:pPr>
              <w:jc w:val="right"/>
              <w:ind w:right="33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140" w:type="dxa"/>
            <w:vAlign w:val="bottom"/>
          </w:tcPr>
          <w:p>
            <w:pPr>
              <w:jc w:val="right"/>
              <w:ind w:right="31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2"/>
              <w:spacing w:after="0"/>
              <w:rPr>
                <w:sz w:val="20"/>
                <w:szCs w:val="20"/>
                <w:color w:val="auto"/>
              </w:rPr>
            </w:pPr>
            <w:r>
              <w:rPr>
                <w:rFonts w:ascii="Arial" w:cs="Arial" w:eastAsia="Arial" w:hAnsi="Arial"/>
                <w:sz w:val="16"/>
                <w:szCs w:val="16"/>
                <w:b w:val="1"/>
                <w:bCs w:val="1"/>
                <w:color w:val="auto"/>
              </w:rPr>
              <w:t>2015</w:t>
            </w:r>
          </w:p>
        </w:tc>
      </w:tr>
      <w:tr>
        <w:trPr>
          <w:trHeight w:val="33"/>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39"/>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236.5</w:t>
            </w:r>
          </w:p>
        </w:tc>
        <w:tc>
          <w:tcPr>
            <w:tcW w:w="1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237.6</w:t>
            </w:r>
          </w:p>
        </w:tc>
      </w:tr>
      <w:tr>
        <w:trPr>
          <w:trHeight w:val="270"/>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426"/>
        </w:trPr>
        <w:tc>
          <w:tcPr>
            <w:tcW w:w="1160" w:type="dxa"/>
            <w:vAlign w:val="bottom"/>
          </w:tcPr>
          <w:p>
            <w:pPr>
              <w:jc w:val="right"/>
              <w:ind w:right="34"/>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240.4</w:t>
            </w:r>
          </w:p>
        </w:tc>
        <w:tc>
          <w:tcPr>
            <w:tcW w:w="100" w:type="dxa"/>
            <w:vAlign w:val="bottom"/>
          </w:tcPr>
          <w:p>
            <w:pPr>
              <w:spacing w:after="0"/>
              <w:rPr>
                <w:sz w:val="24"/>
                <w:szCs w:val="24"/>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241.7</w:t>
            </w:r>
          </w:p>
        </w:tc>
      </w:tr>
      <w:tr>
        <w:trPr>
          <w:trHeight w:val="27"/>
        </w:trPr>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6440" w:space="80"/>
            <w:col w:w="4900"/>
          </w:cols>
          <w:pgMar w:left="240" w:top="125" w:right="239" w:bottom="1440" w:gutter="0" w:footer="0" w:header="0"/>
          <w:type w:val="continuous"/>
        </w:sectPr>
      </w:pPr>
    </w:p>
    <w:p>
      <w:pPr>
        <w:ind w:right="20"/>
        <w:spacing w:after="0" w:line="259" w:lineRule="auto"/>
        <w:rPr>
          <w:sz w:val="20"/>
          <w:szCs w:val="20"/>
          <w:color w:val="auto"/>
        </w:rPr>
      </w:pPr>
      <w:r>
        <w:rPr>
          <w:rFonts w:ascii="Arial" w:cs="Arial" w:eastAsia="Arial" w:hAnsi="Arial"/>
          <w:sz w:val="18"/>
          <w:szCs w:val="18"/>
          <w:color w:val="auto"/>
        </w:rPr>
        <w:t>For the three months ended June 30, 2016 and 2015, stock options for 0.9 million and 1.1 million shares, respectively, were excluded from the calculation of diluted weighted-average outstanding shares because their impact was anti-dilutive. For the six months ended June 30, 2016 and 2015, stock options for 0.7 million and 0.8 million shares, respectively, were excluded from the calculation of diluted weighted-average outstanding shares because their impact was anti-dilutive.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0"/>
              </w:rPr>
              <w:t>Gross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060" w:type="dxa"/>
            <w:vAlign w:val="bottom"/>
            <w:gridSpan w:val="3"/>
            <w:vMerge w:val="continue"/>
          </w:tcPr>
          <w:p>
            <w:pPr>
              <w:spacing w:after="0"/>
              <w:rPr>
                <w:sz w:val="5"/>
                <w:szCs w:val="5"/>
                <w:color w:val="auto"/>
              </w:rPr>
            </w:pPr>
          </w:p>
        </w:tc>
        <w:tc>
          <w:tcPr>
            <w:tcW w:w="1200" w:type="dxa"/>
            <w:vAlign w:val="bottom"/>
            <w:vMerge w:val="restart"/>
          </w:tcPr>
          <w:p>
            <w:pPr>
              <w:jc w:val="center"/>
              <w:ind w:left="455"/>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5"/>
                <w:szCs w:val="5"/>
                <w:color w:val="auto"/>
              </w:rPr>
            </w:pPr>
          </w:p>
        </w:tc>
        <w:tc>
          <w:tcPr>
            <w:tcW w:w="1380" w:type="dxa"/>
            <w:vAlign w:val="bottom"/>
            <w:vMerge w:val="restart"/>
          </w:tcPr>
          <w:p>
            <w:pPr>
              <w:jc w:val="center"/>
              <w:ind w:right="232"/>
              <w:spacing w:after="0"/>
              <w:rPr>
                <w:sz w:val="20"/>
                <w:szCs w:val="20"/>
                <w:color w:val="auto"/>
              </w:rPr>
            </w:pPr>
            <w:r>
              <w:rPr>
                <w:rFonts w:ascii="Arial" w:cs="Arial" w:eastAsia="Arial" w:hAnsi="Arial"/>
                <w:sz w:val="16"/>
                <w:szCs w:val="16"/>
                <w:b w:val="1"/>
                <w:bCs w:val="1"/>
                <w:color w:val="auto"/>
                <w:w w:val="93"/>
              </w:rPr>
              <w:t>Net Book</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June 30, 2016</w:t>
            </w:r>
          </w:p>
        </w:tc>
        <w:tc>
          <w:tcPr>
            <w:tcW w:w="1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gridSpan w:val="3"/>
            <w:vMerge w:val="continue"/>
          </w:tcPr>
          <w:p>
            <w:pPr>
              <w:spacing w:after="0"/>
              <w:rPr>
                <w:sz w:val="18"/>
                <w:szCs w:val="18"/>
                <w:color w:val="auto"/>
              </w:rPr>
            </w:pP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related intangible assets</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3,657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0"/>
              </w:rPr>
              <w:t>Gross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060" w:type="dxa"/>
            <w:vAlign w:val="bottom"/>
            <w:gridSpan w:val="3"/>
            <w:vMerge w:val="continue"/>
          </w:tcPr>
          <w:p>
            <w:pPr>
              <w:spacing w:after="0"/>
              <w:rPr>
                <w:sz w:val="5"/>
                <w:szCs w:val="5"/>
                <w:color w:val="auto"/>
              </w:rPr>
            </w:pPr>
          </w:p>
        </w:tc>
        <w:tc>
          <w:tcPr>
            <w:tcW w:w="1200" w:type="dxa"/>
            <w:vAlign w:val="bottom"/>
            <w:vMerge w:val="restart"/>
          </w:tcPr>
          <w:p>
            <w:pPr>
              <w:jc w:val="center"/>
              <w:ind w:left="455"/>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Accumulated</w:t>
            </w:r>
          </w:p>
        </w:tc>
        <w:tc>
          <w:tcPr>
            <w:tcW w:w="320" w:type="dxa"/>
            <w:vAlign w:val="bottom"/>
          </w:tcPr>
          <w:p>
            <w:pPr>
              <w:spacing w:after="0"/>
              <w:rPr>
                <w:sz w:val="5"/>
                <w:szCs w:val="5"/>
                <w:color w:val="auto"/>
              </w:rPr>
            </w:pPr>
          </w:p>
        </w:tc>
        <w:tc>
          <w:tcPr>
            <w:tcW w:w="1380" w:type="dxa"/>
            <w:vAlign w:val="bottom"/>
            <w:vMerge w:val="restart"/>
          </w:tcPr>
          <w:p>
            <w:pPr>
              <w:jc w:val="center"/>
              <w:ind w:right="232"/>
              <w:spacing w:after="0"/>
              <w:rPr>
                <w:sz w:val="20"/>
                <w:szCs w:val="20"/>
                <w:color w:val="auto"/>
              </w:rPr>
            </w:pPr>
            <w:r>
              <w:rPr>
                <w:rFonts w:ascii="Arial" w:cs="Arial" w:eastAsia="Arial" w:hAnsi="Arial"/>
                <w:sz w:val="16"/>
                <w:szCs w:val="16"/>
                <w:b w:val="1"/>
                <w:bCs w:val="1"/>
                <w:color w:val="auto"/>
                <w:w w:val="93"/>
              </w:rPr>
              <w:t>Net Book</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December 31, 2015</w:t>
            </w:r>
          </w:p>
        </w:tc>
        <w:tc>
          <w:tcPr>
            <w:tcW w:w="12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60" w:type="dxa"/>
            <w:vAlign w:val="bottom"/>
            <w:gridSpan w:val="3"/>
            <w:vMerge w:val="continue"/>
          </w:tcPr>
          <w:p>
            <w:pPr>
              <w:spacing w:after="0"/>
              <w:rPr>
                <w:sz w:val="18"/>
                <w:szCs w:val="18"/>
                <w:color w:val="auto"/>
              </w:rPr>
            </w:pPr>
          </w:p>
        </w:tc>
        <w:tc>
          <w:tcPr>
            <w:tcW w:w="1200" w:type="dxa"/>
            <w:vAlign w:val="bottom"/>
          </w:tcPr>
          <w:p>
            <w:pPr>
              <w:jc w:val="center"/>
              <w:ind w:left="455"/>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320" w:type="dxa"/>
            <w:vAlign w:val="bottom"/>
          </w:tcPr>
          <w:p>
            <w:pPr>
              <w:spacing w:after="0"/>
              <w:rPr>
                <w:sz w:val="18"/>
                <w:szCs w:val="18"/>
                <w:color w:val="auto"/>
              </w:rPr>
            </w:pPr>
          </w:p>
        </w:tc>
        <w:tc>
          <w:tcPr>
            <w:tcW w:w="1380" w:type="dxa"/>
            <w:vAlign w:val="bottom"/>
          </w:tcPr>
          <w:p>
            <w:pPr>
              <w:jc w:val="center"/>
              <w:ind w:right="232"/>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Customer related intangible assets</w:t>
            </w: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Acquired software and technology</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Capitalized software development costs</w:t>
            </w:r>
          </w:p>
        </w:tc>
        <w:tc>
          <w:tcPr>
            <w:tcW w:w="120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jc w:val="right"/>
              <w:ind w:right="99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3,594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estimates that annual amortization expense with respect to acquired intangible assets, which include customer related intangible assets, acquired software and technology, and trade names, will be approximately $160 million in 2016, $150 million in 2017, $140 million in each of 2018 and 2019, and $120 million in 2020. Annual amortization expense in 2016 with respect to capitalized and purchased software is estimated to approximate $130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Accounts Payable and Accrued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7"/>
                <w:szCs w:val="17"/>
                <w:color w:val="auto"/>
              </w:rPr>
            </w:pPr>
          </w:p>
        </w:tc>
        <w:tc>
          <w:tcPr>
            <w:tcW w:w="1220" w:type="dxa"/>
            <w:vAlign w:val="bottom"/>
          </w:tcPr>
          <w:p>
            <w:pPr>
              <w:jc w:val="right"/>
              <w:ind w:right="152"/>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03"/>
        </w:trPr>
        <w:tc>
          <w:tcPr>
            <w:tcW w:w="4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46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Client deposits</w:t>
            </w: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Settlement obligations</w:t>
            </w:r>
          </w:p>
        </w:tc>
        <w:tc>
          <w:tcPr>
            <w:tcW w:w="44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Accrued compensation and benefits</w:t>
            </w:r>
          </w:p>
        </w:tc>
        <w:tc>
          <w:tcPr>
            <w:tcW w:w="4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44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444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4440" w:type="dxa"/>
            <w:vAlign w:val="bottom"/>
            <w:vMerge w:val="restart"/>
          </w:tcPr>
          <w:p>
            <w:pPr>
              <w:jc w:val="right"/>
              <w:ind w:right="273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4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net of income taxes,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Cash Flow</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7"/>
                <w:szCs w:val="17"/>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current-period other comprehensive (loss) income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Cash Flow</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6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7"/>
                <w:szCs w:val="17"/>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current-period other comprehensive (loss) income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Based on the amounts recorded in accumulated other comprehensive loss at June 30, 2016, the Company estimates that it will recognize approximately $12 million in interest expense during the next twelve months related to settled interest rate hedge contracts.</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entered into foreign currency forward exchange contracts, which have been designated as cash flow hedges, to hedge foreign currency exposure to the Indian Rupee. As of June 30, 2016, the notional amount of these derivatives was approximately $71 million, and the fair value was nominal. As of December 31, 2015, the notional amount of these derivatives was approximately $85 million, and the fair value totaling approximately $1 million is reported in accounts payable and accrued expenses in the consolidated balance sheet.</w:t>
      </w:r>
    </w:p>
    <w:p>
      <w:pPr>
        <w:sectPr>
          <w:pgSz w:w="11900" w:h="16838" w:orient="portrait"/>
          <w:cols w:equalWidth="0" w:num="1">
            <w:col w:w="11420"/>
          </w:cols>
          <w:pgMar w:left="240" w:top="125" w:right="239" w:bottom="1440" w:gutter="0" w:footer="0" w:header="0"/>
        </w:sectPr>
      </w:pP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was as follows: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paid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5"/>
          <w:szCs w:val="15"/>
          <w:color w:val="auto"/>
        </w:rPr>
        <w:t>Treasury stock purchases settled after the balance sheet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22383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72" w:lineRule="exact"/>
        <w:rPr>
          <w:sz w:val="20"/>
          <w:szCs w:val="20"/>
          <w:color w:val="auto"/>
        </w:rPr>
      </w:pPr>
    </w:p>
    <w:p>
      <w:pPr>
        <w:ind w:left="680"/>
        <w:spacing w:after="0"/>
        <w:tabs>
          <w:tab w:leader="none" w:pos="2460" w:val="left"/>
        </w:tabs>
        <w:rPr>
          <w:sz w:val="20"/>
          <w:szCs w:val="20"/>
          <w:color w:val="auto"/>
        </w:rPr>
      </w:pPr>
      <w:r>
        <w:rPr>
          <w:rFonts w:ascii="Arial" w:cs="Arial" w:eastAsia="Arial" w:hAnsi="Arial"/>
          <w:sz w:val="16"/>
          <w:szCs w:val="16"/>
          <w:b w:val="1"/>
          <w:bCs w:val="1"/>
          <w:color w:val="auto"/>
        </w:rPr>
        <w:t>2016</w:t>
      </w:r>
      <w:r>
        <w:rPr>
          <w:sz w:val="20"/>
          <w:szCs w:val="20"/>
          <w:color w:val="auto"/>
        </w:rPr>
        <w:tab/>
      </w:r>
      <w:r>
        <w:rPr>
          <w:rFonts w:ascii="Arial" w:cs="Arial" w:eastAsia="Arial" w:hAnsi="Arial"/>
          <w:sz w:val="16"/>
          <w:szCs w:val="16"/>
          <w:b w:val="1"/>
          <w:bCs w:val="1"/>
          <w:color w:val="auto"/>
        </w:rPr>
        <w:t>2015</w:t>
      </w:r>
    </w:p>
    <w:p>
      <w:pPr>
        <w:spacing w:after="0" w:line="86" w:lineRule="exact"/>
        <w:rPr>
          <w:sz w:val="20"/>
          <w:szCs w:val="20"/>
          <w:color w:val="auto"/>
        </w:rPr>
      </w:pPr>
    </w:p>
    <w:p>
      <w:pPr>
        <w:spacing w:after="0"/>
        <w:tabs>
          <w:tab w:leader="none" w:pos="1380" w:val="left"/>
          <w:tab w:leader="none" w:pos="1800" w:val="left"/>
          <w:tab w:leader="none" w:pos="3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72</w:t>
        <w:tab/>
        <w:t>$</w:t>
      </w:r>
      <w:r>
        <w:rPr>
          <w:sz w:val="20"/>
          <w:szCs w:val="20"/>
          <w:color w:val="auto"/>
        </w:rPr>
        <w:tab/>
      </w:r>
      <w:r>
        <w:rPr>
          <w:rFonts w:ascii="Arial" w:cs="Arial" w:eastAsia="Arial" w:hAnsi="Arial"/>
          <w:sz w:val="16"/>
          <w:szCs w:val="16"/>
          <w:color w:val="auto"/>
        </w:rPr>
        <w:t>75</w:t>
      </w:r>
    </w:p>
    <w:p>
      <w:pPr>
        <w:spacing w:after="0" w:line="63" w:lineRule="exact"/>
        <w:rPr>
          <w:sz w:val="20"/>
          <w:szCs w:val="20"/>
          <w:color w:val="auto"/>
        </w:rPr>
      </w:pPr>
    </w:p>
    <w:p>
      <w:pPr>
        <w:jc w:val="both"/>
        <w:ind w:left="1320"/>
        <w:spacing w:after="0"/>
        <w:tabs>
          <w:tab w:leader="none" w:pos="310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150</w:t>
      </w:r>
    </w:p>
    <w:p>
      <w:pPr>
        <w:spacing w:after="0" w:line="63" w:lineRule="exact"/>
        <w:rPr>
          <w:sz w:val="20"/>
          <w:szCs w:val="20"/>
          <w:color w:val="auto"/>
        </w:rPr>
      </w:pPr>
    </w:p>
    <w:p>
      <w:pPr>
        <w:jc w:val="both"/>
        <w:ind w:left="1400"/>
        <w:spacing w:after="0"/>
        <w:tabs>
          <w:tab w:leader="none" w:pos="32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15</w:t>
      </w:r>
    </w:p>
    <w:p>
      <w:pPr>
        <w:spacing w:after="0" w:line="200" w:lineRule="exact"/>
        <w:rPr>
          <w:sz w:val="20"/>
          <w:szCs w:val="20"/>
          <w:color w:val="auto"/>
        </w:rPr>
      </w:pPr>
    </w:p>
    <w:p>
      <w:pPr>
        <w:sectPr>
          <w:pgSz w:w="11900" w:h="16838" w:orient="portrait"/>
          <w:cols w:equalWidth="0" w:num="2">
            <w:col w:w="7200" w:space="720"/>
            <w:col w:w="3500"/>
          </w:cols>
          <w:pgMar w:left="240" w:top="125"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 Information</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Company’s operations are comprised of the Payments segment and the Financial Institution Services (“Financial”) segment. The Payments segment primarily provides debit and credit card processing and services, electronic bill payment and presentment services, internet and mobile banking software and services, person-to-person payment services, and other electronic payments software and services. The businesses in this segment also provide card and print personalization services, investment account processing services for separately managed accounts, and fraud and risk management products and services. The Financial segment provides banks, thrifts, credit unions, and leasing and finance companies with account processing services, item processing and source capture services, loan origination and servicing products, cash management and consulting services, and other products and services that support numerous types of financial transactions. Corporate and Other primarily consists of unallocated corporate expenses including share-based compensation, amortization of acquisition-related intangible assets, intercompany eliminations and other costs that are not considered when management evaluates segment performance.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Corporate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Payments</w:t>
            </w:r>
          </w:p>
        </w:tc>
        <w:tc>
          <w:tcPr>
            <w:tcW w:w="2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Financial</w:t>
            </w:r>
          </w:p>
        </w:tc>
        <w:tc>
          <w:tcPr>
            <w:tcW w:w="26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and Other</w:t>
            </w:r>
          </w:p>
        </w:tc>
        <w:tc>
          <w:tcPr>
            <w:tcW w:w="340" w:type="dxa"/>
            <w:vAlign w:val="bottom"/>
          </w:tcPr>
          <w:p>
            <w:pPr>
              <w:spacing w:after="0"/>
              <w:rPr>
                <w:sz w:val="17"/>
                <w:szCs w:val="17"/>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 June 30, 2015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3"/>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Six Months Ended June 30, 2016</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Six Months Ended June 30, 2015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Processing and services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Product revenue</w:t>
            </w:r>
          </w:p>
        </w:tc>
        <w:tc>
          <w:tcPr>
            <w:tcW w:w="2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3"/>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Goodwill in the Payments segment was $3.6 billion and $3.4 billion as of June 30, 2016 and December 31, 2015, respectively. Goodwill in the Financial segment was $1.8 billion at both June 30, 2016 and December 31, 2015.</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pricing and other actions by competitors; the capacity of our technology to keep pace with a rapidly evolving marketplace; the impact of market and economic conditions on the financial services industry; the impact of a security breach or operational failure on our business; the effect of legislative and regulatory actions in the United States and internationally; our ability to comply with government regulations; our ability to successfully identify, complete and integrate acquisitions, and to realize the anticipated benefits associated with the same; the impact of our strategic initiatives; and other factors identified in our Annual Report on Form 10-K for the year ended December 31, 2015 and in other documents that we file with the Securities and Exchange Commission.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81" w:lineRule="exact"/>
        <w:rPr>
          <w:sz w:val="20"/>
          <w:szCs w:val="20"/>
          <w:color w:val="auto"/>
        </w:rPr>
      </w:pPr>
    </w:p>
    <w:p>
      <w:pPr>
        <w:ind w:left="660" w:right="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contains background information on our company and the services and products that we provide, our enterprise priorities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trends affecting our industry in order to provide context for management’s discussion and analysis of our financial condition and results of operations.</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This section contains an analysis of our results of operations presented in the accompanying unaudited consolidated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of income by comparing the results for the three and six months ended June 30, 2016 to the comparable period in 2015.</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This section provides an analysis of our cash flows and a discussion of our outstanding debt as of June 30,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a leading global provider of financial services technology. We provide account processing systems, electronic payments processing products and services, internet and mobile banking systems, and related services. We serve approximately 13,000 clients worldwide, including banks, thrifts, credit unions, investment management firms, leasing and finance companies, retailers, merchants, mutual savings banks, and building societies. The majority of our revenue is generated from recurring account- and transaction-based fees under contracts that generally have terms of three to five years and high renewal rates. Most of the services we provide are necessary for our clients to operate their businesses and are, therefore, non-discretionary in nature.</w:t>
      </w:r>
    </w:p>
    <w:p>
      <w:pPr>
        <w:spacing w:after="0" w:line="10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operations are principally located in the United States and are comprised of the Payments and Industry Products (“Payments”) segment and the Financial Institution Services (“Financial”) segment. The Payments segment primarily provides debit and credit card processing and services, electronic bill payment and presentment services, internet and mobile banking software and services, person-to-person payment services, and other electronic payments software and services. Our businesses in this segment also provide card and print personalization services, investment account processing services for separately managed accounts, and fraud and risk management products and services. The Financial segment provides banks, thrifts, credit unions, and leasing and finance companies with account processing services, item processing and source capture services, loan origination and servicing products, cash management and consulting services, and other products and services that support numerous types of financial transactions. Corporate and Other primarily consists of unallocated corporate expenses including</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share-based compensation, amortization of acquisition-related intangible assets, intercompany eliminations and other costs that are not considered when management evaluates segment performance.</w:t>
      </w:r>
    </w:p>
    <w:p>
      <w:pPr>
        <w:spacing w:after="0" w:line="11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first quarter of 2016, we acquired two businesses for an aggregate purchase price of $265 million. In January 2016, we acquired Hewlett Packard Enterprise's Convenience Pay Services business, which enables providers to accept electronic payments from their consumers through multiple channels, thereby expanding our biller solution offerings. In March 2016, we completed our purchase of certain assets of ACI Worldwide, Inc.'s Community Financial Services business, further enhancing our suite of digital banking and payments solutions.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During the first quarter of 2016, StoneRiver Group, L.P. (“StoneRiver”), a joint venture in which we own a 49% interest and account for under the equity method, recognized a net gain on the sale of a business interest. Our share of the net gain on this transaction was $146 million, with related tax expense of $54 million. In addition, we received cash dividends from StoneRiver, funded from the sale transaction, of $140 million during the first quarter of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Priorities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continue to implement a series of strategic initiatives to help accomplish our mission of providing integrated technology and services solutions that enable best-in-class results for our clients. These strategic initiatives include active portfolio management of our various businesses, enhancing the overall value of our existing client relationships, improving operational effectiveness, being disciplined in our allocation of capital, and differentiating our products and services through innovation. Our key enterprise priorities for 2016 are: (i) to continue to build high-quality revenue while meeting our earnings goals; (ii) to build and enhance client relationships with an emphasis on digital and payment solutions; and (iii) to deliver innovation and integration which enables differentiated value for our clients.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market for products and services offered by financial institutions continues to evolve rapidly. The financial industry regularly introduces and implements new payment, deposit, lending, investment and risk management products, and the distinctions among the products and services traditionally offered by different types of financial institutions continue to narrow as they seek to serve the same customers. At the same time, regulatory conditions have continued to create a challenging operating environment for financial institutions. In particular, legislation such as the Dodd-Frank Wall Street Reform and Consumer Protection Act has generated, and will continue to generate, numerous new regulations that will impact the financial industry. These conditions, along with mild economic improvement, have created heightened interest in solutions that help financial institutions win and retain customers, generate incremental revenue, comply with regulations and enhance operating efficiency. Examples of these solutions include our electronic payments solutions and channels such as internet, mobile and tablet banking, sometimes referred to as “digital channels.”</w:t>
      </w:r>
    </w:p>
    <w:p>
      <w:pPr>
        <w:spacing w:after="0" w:line="1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increased focus on digital channels by both financial institutions and their customers, as well as the growing volume and types of payment transactions in the marketplace, have increased the data and transaction processing needs of financial institutions. We expect that financial institutions will continue to invest significant capital and human resources to process transactions, manage information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amidst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electronic transactions through digital channels, will continue to increase, which we expect to create revenue opportunities for us. Based on these market conditions, we believe that our sizable and diverse client base, combined with our position as a leading provider of non-discretionary, recurring revenue-based products and services, gives us a solid foundation for growth. Furthermore, we believe that the integration of our products and services creates a compelling value proposition for our clients.</w:t>
      </w:r>
    </w:p>
    <w:p>
      <w:pPr>
        <w:spacing w:after="0" w:line="1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addition to the trends described above, the financial institutions marketplace has experienced change in composition as well. During the past 25 years, the number of financial institutions in the United States has declined at a relatively steady rate of approximately 3% per year, primarily as a result of voluntary mergers and acquisitions. Rather than reducing the overall market, these consolidations have transferred accounts among financial institutions. An acquisition benefits us when a newly combined institution is processed on our system, or elects to move to one of our systems, and negatively impacts us when a competing system is selected. Financial institution acquisitions also impact our financial results due to early contract termination fees in our multi-year client contracts, which are primarily generated when an existing client with a multi-year contract is acquired by another financial institution. These fees can vary from period to period based on the number and size of clients that are acquired and how early in the contract term the contract is terminated. Our revenue is diversified, and our focus on long-term client relationships and recurring, transaction-oriented products and services has reduced the impact that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consolidation in the financial services industry has had on us. We have clients that span the entire range of financial institutions in terms of asset size and business model, and our 50 largest financial institution clients represent less than 25% of our annual revenue. In addition, we believe that our products and services can assist financial institutions with the regulatory and market challenges that they currently face by providing, among other things, new sources of revenue and opportunities to reduce their costs.</w:t>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125" w:right="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unaudited consolidated financial statements and accompanying notes.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Three Months Ended June 30,</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88"/>
              </w:rPr>
              <w:t>Percentage of</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90"/>
              </w:rPr>
              <w:t>Revenue (1)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85.0 %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85.4 %</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47.2 %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48.9 %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early debt extinguishment</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 and income from</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14.8 %</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37"/>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investment in unconsolidated affiliate</w:t>
            </w: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Six Months Ended June 30,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88"/>
              </w:rPr>
              <w:t>Percentage of</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752"/>
              <w:spacing w:after="0"/>
              <w:rPr>
                <w:sz w:val="20"/>
                <w:szCs w:val="20"/>
                <w:color w:val="auto"/>
              </w:rPr>
            </w:pPr>
            <w:r>
              <w:rPr>
                <w:rFonts w:ascii="Arial" w:cs="Arial" w:eastAsia="Arial" w:hAnsi="Arial"/>
                <w:sz w:val="16"/>
                <w:szCs w:val="16"/>
                <w:b w:val="1"/>
                <w:bCs w:val="1"/>
                <w:color w:val="auto"/>
                <w:w w:val="90"/>
              </w:rPr>
              <w:t>Revenue (1)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gridSpan w:val="3"/>
          </w:tcPr>
          <w:p>
            <w:pPr>
              <w:jc w:val="right"/>
              <w:ind w:right="47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9"/>
                <w:szCs w:val="19"/>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29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12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26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84.7 %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84.6 %</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2,573</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6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48.2 %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Sub-total</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1,433</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60" w:type="dxa"/>
            <w:vAlign w:val="bottom"/>
            <w:gridSpan w:val="2"/>
          </w:tcPr>
          <w:p>
            <w:pPr>
              <w:ind w:left="68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1,933</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74.0 %</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75.1 %</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investment (loss) income,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3800" w:type="dxa"/>
            <w:vAlign w:val="bottom"/>
            <w:gridSpan w:val="3"/>
          </w:tcPr>
          <w:p>
            <w:pPr>
              <w:ind w:left="40"/>
              <w:spacing w:after="0"/>
              <w:rPr>
                <w:sz w:val="20"/>
                <w:szCs w:val="20"/>
                <w:color w:val="auto"/>
              </w:rPr>
            </w:pPr>
            <w:r>
              <w:rPr>
                <w:rFonts w:ascii="Arial" w:cs="Arial" w:eastAsia="Arial" w:hAnsi="Arial"/>
                <w:sz w:val="18"/>
                <w:szCs w:val="18"/>
                <w:color w:val="auto"/>
              </w:rPr>
              <w:t>Loss on early debt extinguishment</w:t>
            </w: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7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income from</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ind w:left="340" w:right="20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gridSpan w:val="8"/>
          </w:tcPr>
          <w:p>
            <w:pPr>
              <w:jc w:val="right"/>
              <w:ind w:right="740"/>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03"/>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Payments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Financial</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and Other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151"/>
              <w:spacing w:after="0"/>
              <w:rPr>
                <w:sz w:val="20"/>
                <w:szCs w:val="20"/>
                <w:color w:val="auto"/>
              </w:rPr>
            </w:pPr>
            <w:r>
              <w:rPr>
                <w:rFonts w:ascii="Arial" w:cs="Arial" w:eastAsia="Arial" w:hAnsi="Arial"/>
                <w:sz w:val="16"/>
                <w:szCs w:val="16"/>
                <w:b w:val="1"/>
                <w:bCs w:val="1"/>
                <w:color w:val="auto"/>
              </w:rPr>
              <w:t>Total</w:t>
            </w:r>
          </w:p>
        </w:tc>
        <w:tc>
          <w:tcPr>
            <w:tcW w:w="460" w:type="dxa"/>
            <w:vAlign w:val="bottom"/>
          </w:tcPr>
          <w:p>
            <w:pPr>
              <w:spacing w:after="0"/>
              <w:rPr>
                <w:sz w:val="17"/>
                <w:szCs w:val="17"/>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244"/>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2016</w:t>
            </w:r>
          </w:p>
        </w:tc>
        <w:tc>
          <w:tcPr>
            <w:tcW w:w="30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763</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612</w:t>
            </w:r>
          </w:p>
        </w:tc>
        <w:tc>
          <w:tcPr>
            <w:tcW w:w="92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1,363</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2015</w:t>
            </w:r>
          </w:p>
        </w:tc>
        <w:tc>
          <w:tcPr>
            <w:tcW w:w="3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1,298</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w:t>
            </w:r>
          </w:p>
        </w:tc>
        <w:tc>
          <w:tcPr>
            <w:tcW w:w="9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920" w:type="dxa"/>
            <w:vAlign w:val="bottom"/>
            <w:gridSpan w:val="5"/>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2016</w:t>
            </w:r>
          </w:p>
        </w:tc>
        <w:tc>
          <w:tcPr>
            <w:tcW w:w="3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9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9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2015</w:t>
            </w:r>
          </w:p>
        </w:tc>
        <w:tc>
          <w:tcPr>
            <w:tcW w:w="3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326</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6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20" w:type="dxa"/>
            <w:vAlign w:val="bottom"/>
            <w:tcBorders>
              <w:bottom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 percentage</w:t>
            </w:r>
          </w:p>
        </w:tc>
        <w:tc>
          <w:tcPr>
            <w:tcW w:w="320" w:type="dxa"/>
            <w:vAlign w:val="bottom"/>
          </w:tcPr>
          <w:p>
            <w:pPr>
              <w:spacing w:after="0"/>
              <w:rPr>
                <w:sz w:val="21"/>
                <w:szCs w:val="21"/>
                <w:color w:val="auto"/>
              </w:rPr>
            </w:pPr>
          </w:p>
        </w:tc>
        <w:tc>
          <w:tcPr>
            <w:tcW w:w="1420" w:type="dxa"/>
            <w:vAlign w:val="bottom"/>
            <w:gridSpan w:val="2"/>
          </w:tcPr>
          <w:p>
            <w:pPr>
              <w:jc w:val="right"/>
              <w:ind w:right="29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19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2016</w:t>
            </w:r>
          </w:p>
        </w:tc>
        <w:tc>
          <w:tcPr>
            <w:tcW w:w="3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gridSpan w:val="2"/>
          </w:tcPr>
          <w:p>
            <w:pPr>
              <w:jc w:val="right"/>
              <w:ind w:right="29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gridSpan w:val="2"/>
          </w:tcPr>
          <w:p>
            <w:pPr>
              <w:jc w:val="right"/>
              <w:ind w:right="210"/>
              <w:spacing w:after="0"/>
              <w:rPr>
                <w:sz w:val="20"/>
                <w:szCs w:val="20"/>
                <w:color w:val="auto"/>
              </w:rPr>
            </w:pPr>
            <w:r>
              <w:rPr>
                <w:rFonts w:ascii="Arial" w:cs="Arial" w:eastAsia="Arial" w:hAnsi="Arial"/>
                <w:sz w:val="18"/>
                <w:szCs w:val="18"/>
                <w:color w:val="auto"/>
              </w:rPr>
              <w:t>33.0 %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2015</w:t>
            </w:r>
          </w:p>
        </w:tc>
        <w:tc>
          <w:tcPr>
            <w:tcW w:w="3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34.5 %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16"/>
                <w:szCs w:val="16"/>
                <w:color w:val="auto"/>
              </w:rPr>
              <w:t>(1)</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960" w:type="dxa"/>
            <w:vAlign w:val="bottom"/>
            <w:gridSpan w:val="4"/>
          </w:tcPr>
          <w:p>
            <w:pPr>
              <w:jc w:val="right"/>
              <w:ind w:right="580"/>
              <w:spacing w:after="0"/>
              <w:rPr>
                <w:sz w:val="20"/>
                <w:szCs w:val="20"/>
                <w:color w:val="auto"/>
              </w:rPr>
            </w:pPr>
            <w:r>
              <w:rPr>
                <w:rFonts w:ascii="Arial" w:cs="Arial" w:eastAsia="Arial" w:hAnsi="Arial"/>
                <w:sz w:val="18"/>
                <w:szCs w:val="18"/>
                <w:color w:val="auto"/>
              </w:rPr>
              <w:t>bps</w:t>
            </w:r>
          </w:p>
        </w:tc>
        <w:tc>
          <w:tcPr>
            <w:tcW w:w="1000" w:type="dxa"/>
            <w:vAlign w:val="bottom"/>
          </w:tcPr>
          <w:p>
            <w:pPr>
              <w:jc w:val="right"/>
              <w:spacing w:after="0"/>
              <w:rPr>
                <w:sz w:val="20"/>
                <w:szCs w:val="20"/>
                <w:color w:val="auto"/>
              </w:rPr>
            </w:pPr>
            <w:r>
              <w:rPr>
                <w:rFonts w:ascii="Arial" w:cs="Arial" w:eastAsia="Arial" w:hAnsi="Arial"/>
                <w:sz w:val="18"/>
                <w:szCs w:val="18"/>
                <w:color w:val="auto"/>
              </w:rPr>
              <w:t>(150)</w:t>
            </w:r>
          </w:p>
        </w:tc>
        <w:tc>
          <w:tcPr>
            <w:tcW w:w="920" w:type="dxa"/>
            <w:vAlign w:val="bottom"/>
            <w:gridSpan w:val="5"/>
          </w:tcPr>
          <w:p>
            <w:pPr>
              <w:jc w:val="right"/>
              <w:ind w:right="460"/>
              <w:spacing w:after="0"/>
              <w:rPr>
                <w:sz w:val="20"/>
                <w:szCs w:val="20"/>
                <w:color w:val="auto"/>
              </w:rPr>
            </w:pPr>
            <w:r>
              <w:rPr>
                <w:rFonts w:ascii="Arial" w:cs="Arial" w:eastAsia="Arial" w:hAnsi="Arial"/>
                <w:sz w:val="18"/>
                <w:szCs w:val="18"/>
                <w:color w:val="auto"/>
              </w:rPr>
              <w:t>bps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150</w:t>
            </w:r>
          </w:p>
        </w:tc>
        <w:tc>
          <w:tcPr>
            <w:tcW w:w="460" w:type="dxa"/>
            <w:vAlign w:val="bottom"/>
          </w:tcPr>
          <w:p>
            <w:pPr>
              <w:ind w:left="40"/>
              <w:spacing w:after="0"/>
              <w:rPr>
                <w:sz w:val="20"/>
                <w:szCs w:val="20"/>
                <w:color w:val="auto"/>
              </w:rPr>
            </w:pPr>
            <w:r>
              <w:rPr>
                <w:rFonts w:ascii="Arial" w:cs="Arial" w:eastAsia="Arial" w:hAnsi="Arial"/>
                <w:sz w:val="18"/>
                <w:szCs w:val="18"/>
                <w:color w:val="auto"/>
              </w:rPr>
              <w:t>bps</w:t>
            </w:r>
          </w:p>
        </w:tc>
      </w:tr>
      <w:tr>
        <w:trPr>
          <w:trHeight w:val="615"/>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8"/>
          </w:tcPr>
          <w:p>
            <w:pPr>
              <w:jc w:val="right"/>
              <w:ind w:right="840"/>
              <w:spacing w:after="0"/>
              <w:rPr>
                <w:sz w:val="20"/>
                <w:szCs w:val="20"/>
                <w:color w:val="auto"/>
              </w:rPr>
            </w:pPr>
            <w:r>
              <w:rPr>
                <w:rFonts w:ascii="Arial" w:cs="Arial" w:eastAsia="Arial" w:hAnsi="Arial"/>
                <w:sz w:val="16"/>
                <w:szCs w:val="16"/>
                <w:b w:val="1"/>
                <w:bCs w:val="1"/>
                <w:color w:val="auto"/>
              </w:rPr>
              <w:t>Six Months Ended 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7"/>
        </w:trPr>
        <w:tc>
          <w:tcPr>
            <w:tcW w:w="38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Payments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71"/>
              <w:spacing w:after="0"/>
              <w:rPr>
                <w:sz w:val="20"/>
                <w:szCs w:val="20"/>
                <w:color w:val="auto"/>
              </w:rPr>
            </w:pPr>
            <w:r>
              <w:rPr>
                <w:rFonts w:ascii="Arial" w:cs="Arial" w:eastAsia="Arial" w:hAnsi="Arial"/>
                <w:sz w:val="16"/>
                <w:szCs w:val="16"/>
                <w:b w:val="1"/>
                <w:bCs w:val="1"/>
                <w:color w:val="auto"/>
              </w:rPr>
              <w:t>Financial</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and 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c>
          <w:tcPr>
            <w:tcW w:w="460" w:type="dxa"/>
            <w:vAlign w:val="bottom"/>
          </w:tcPr>
          <w:p>
            <w:pPr>
              <w:spacing w:after="0"/>
              <w:rPr>
                <w:sz w:val="20"/>
                <w:szCs w:val="20"/>
                <w:color w:val="auto"/>
              </w:rPr>
            </w:pPr>
          </w:p>
        </w:tc>
      </w:tr>
      <w:tr>
        <w:trPr>
          <w:trHeight w:val="250"/>
        </w:trPr>
        <w:tc>
          <w:tcPr>
            <w:tcW w:w="388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2016</w:t>
            </w:r>
          </w:p>
        </w:tc>
        <w:tc>
          <w:tcPr>
            <w:tcW w:w="30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1,512</w:t>
            </w:r>
          </w:p>
        </w:tc>
        <w:tc>
          <w:tcPr>
            <w:tcW w:w="96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1,211</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2,694</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2015</w:t>
            </w:r>
          </w:p>
        </w:tc>
        <w:tc>
          <w:tcPr>
            <w:tcW w:w="3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1,397</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1,201</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2,573</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115</w:t>
            </w:r>
          </w:p>
        </w:tc>
        <w:tc>
          <w:tcPr>
            <w:tcW w:w="96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10</w:t>
            </w:r>
          </w:p>
        </w:tc>
        <w:tc>
          <w:tcPr>
            <w:tcW w:w="72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121</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3"/>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2016</w:t>
            </w:r>
          </w:p>
        </w:tc>
        <w:tc>
          <w:tcPr>
            <w:tcW w:w="3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462</w:t>
            </w:r>
          </w:p>
        </w:tc>
        <w:tc>
          <w:tcPr>
            <w:tcW w:w="9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397</w:t>
            </w:r>
          </w:p>
        </w:tc>
        <w:tc>
          <w:tcPr>
            <w:tcW w:w="7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701</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2015</w:t>
            </w:r>
          </w:p>
        </w:tc>
        <w:tc>
          <w:tcPr>
            <w:tcW w:w="3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399</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91"/>
              <w:spacing w:after="0"/>
              <w:rPr>
                <w:sz w:val="20"/>
                <w:szCs w:val="20"/>
                <w:color w:val="auto"/>
              </w:rPr>
            </w:pPr>
            <w:r>
              <w:rPr>
                <w:rFonts w:ascii="Arial" w:cs="Arial" w:eastAsia="Arial" w:hAnsi="Arial"/>
                <w:sz w:val="18"/>
                <w:szCs w:val="18"/>
                <w:color w:val="auto"/>
              </w:rPr>
              <w:t>413</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640</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w:t>
            </w:r>
          </w:p>
        </w:tc>
        <w:tc>
          <w:tcPr>
            <w:tcW w:w="96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(16)</w:t>
            </w:r>
          </w:p>
        </w:tc>
        <w:tc>
          <w:tcPr>
            <w:tcW w:w="7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Operating income growth percentage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800" w:type="dxa"/>
            <w:vAlign w:val="bottom"/>
            <w:gridSpan w:val="2"/>
          </w:tcPr>
          <w:p>
            <w:pPr>
              <w:ind w:left="380"/>
              <w:spacing w:after="0"/>
              <w:rPr>
                <w:sz w:val="20"/>
                <w:szCs w:val="20"/>
                <w:color w:val="auto"/>
              </w:rPr>
            </w:pPr>
            <w:r>
              <w:rPr>
                <w:rFonts w:ascii="Arial" w:cs="Arial" w:eastAsia="Arial" w:hAnsi="Arial"/>
                <w:sz w:val="18"/>
                <w:szCs w:val="18"/>
                <w:color w:val="auto"/>
                <w:w w:val="99"/>
              </w:rPr>
              <w:t>2016</w:t>
            </w:r>
          </w:p>
        </w:tc>
        <w:tc>
          <w:tcPr>
            <w:tcW w:w="3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30.5%</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32.8 %</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w:t>
            </w:r>
          </w:p>
        </w:tc>
        <w:tc>
          <w:tcPr>
            <w:tcW w:w="4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9"/>
              </w:rPr>
              <w:t>2015</w:t>
            </w:r>
          </w:p>
        </w:tc>
        <w:tc>
          <w:tcPr>
            <w:tcW w:w="3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40" w:type="dxa"/>
            <w:vAlign w:val="bottom"/>
            <w:gridSpan w:val="2"/>
          </w:tcPr>
          <w:p>
            <w:pPr>
              <w:ind w:left="34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16"/>
                <w:szCs w:val="16"/>
                <w:color w:val="auto"/>
              </w:rPr>
              <w:t>(1)</w:t>
            </w:r>
          </w:p>
        </w:tc>
        <w:tc>
          <w:tcPr>
            <w:tcW w:w="32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190</w:t>
            </w:r>
          </w:p>
        </w:tc>
        <w:tc>
          <w:tcPr>
            <w:tcW w:w="960" w:type="dxa"/>
            <w:vAlign w:val="bottom"/>
            <w:gridSpan w:val="4"/>
          </w:tcPr>
          <w:p>
            <w:pPr>
              <w:jc w:val="right"/>
              <w:ind w:right="680"/>
              <w:spacing w:after="0"/>
              <w:rPr>
                <w:sz w:val="20"/>
                <w:szCs w:val="20"/>
                <w:color w:val="auto"/>
              </w:rPr>
            </w:pPr>
            <w:r>
              <w:rPr>
                <w:rFonts w:ascii="Arial" w:cs="Arial" w:eastAsia="Arial" w:hAnsi="Arial"/>
                <w:sz w:val="18"/>
                <w:szCs w:val="18"/>
                <w:color w:val="auto"/>
                <w:w w:val="89"/>
              </w:rPr>
              <w:t>bps</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(160)</w:t>
            </w:r>
          </w:p>
        </w:tc>
        <w:tc>
          <w:tcPr>
            <w:tcW w:w="920" w:type="dxa"/>
            <w:vAlign w:val="bottom"/>
            <w:gridSpan w:val="5"/>
          </w:tcPr>
          <w:p>
            <w:pPr>
              <w:jc w:val="right"/>
              <w:ind w:right="680"/>
              <w:spacing w:after="0"/>
              <w:rPr>
                <w:sz w:val="20"/>
                <w:szCs w:val="20"/>
                <w:color w:val="auto"/>
              </w:rPr>
            </w:pPr>
            <w:r>
              <w:rPr>
                <w:rFonts w:ascii="Arial" w:cs="Arial" w:eastAsia="Arial" w:hAnsi="Arial"/>
                <w:sz w:val="18"/>
                <w:szCs w:val="18"/>
                <w:color w:val="auto"/>
                <w:w w:val="75"/>
              </w:rPr>
              <w:t>bps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110</w:t>
            </w:r>
          </w:p>
        </w:tc>
        <w:tc>
          <w:tcPr>
            <w:tcW w:w="460" w:type="dxa"/>
            <w:vAlign w:val="bottom"/>
          </w:tcPr>
          <w:p>
            <w:pPr>
              <w:ind w:left="40"/>
              <w:spacing w:after="0"/>
              <w:rPr>
                <w:sz w:val="20"/>
                <w:szCs w:val="20"/>
                <w:color w:val="auto"/>
              </w:rPr>
            </w:pPr>
            <w:r>
              <w:rPr>
                <w:rFonts w:ascii="Arial" w:cs="Arial" w:eastAsia="Arial" w:hAnsi="Arial"/>
                <w:sz w:val="18"/>
                <w:szCs w:val="18"/>
                <w:color w:val="auto"/>
              </w:rPr>
              <w:t>bps</w:t>
            </w:r>
          </w:p>
        </w:tc>
      </w:tr>
      <w:tr>
        <w:trPr>
          <w:trHeight w:val="243"/>
        </w:trPr>
        <w:tc>
          <w:tcPr>
            <w:tcW w:w="3880" w:type="dxa"/>
            <w:vAlign w:val="bottom"/>
            <w:gridSpan w:val="3"/>
          </w:tcPr>
          <w:p>
            <w:pPr>
              <w:spacing w:after="0"/>
              <w:rPr>
                <w:sz w:val="20"/>
                <w:szCs w:val="20"/>
                <w:color w:val="auto"/>
              </w:rPr>
            </w:pPr>
            <w:r>
              <w:rPr>
                <w:rFonts w:ascii="Arial" w:cs="Arial" w:eastAsia="Arial" w:hAnsi="Arial"/>
                <w:sz w:val="18"/>
                <w:szCs w:val="18"/>
                <w:color w:val="auto"/>
              </w:rPr>
              <w:t>______________________</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rPr>
          <w:sz w:val="20"/>
          <w:szCs w:val="20"/>
          <w:color w:val="auto"/>
        </w:rPr>
      </w:pPr>
      <w:r>
        <w:rPr>
          <w:rFonts w:ascii="Arial" w:cs="Arial" w:eastAsia="Arial" w:hAnsi="Arial"/>
          <w:sz w:val="18"/>
          <w:szCs w:val="18"/>
          <w:color w:val="auto"/>
        </w:rPr>
        <w:t>(1)  Represents the basis point growth or decline in operating margin.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color w:val="auto"/>
        </w:rPr>
        <w:t>Total revenue increased $65 million, or 5%, in the second quarter of 2016 compared to the second quarter of 2015 and increased $121 million, or 5%, in the first six months of 2016 compared to the first six months of 2015, primarily driven by revenue growth in our Payments segment.</w:t>
      </w:r>
    </w:p>
    <w:p>
      <w:pPr>
        <w:spacing w:after="0" w:line="9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Revenue in our Payments segment increased $62 million, or 9%, and $115 million, or 8%, during the second quarter and first six months of 2016, respectively, compared to the prior periods in 2015. Payments segment revenue growth was driven by our recurring revenue businesses as processing and services revenue increased $47 million and $91 million in the second quarter and first six months of 2016, respectively, or 9% in each period, over the prior year periods. This growth was primarily due to increased transaction volumes from existing clients, new clients and additional product offerings in our card services and electronic payments businesses, as well as revenue from acquired businesses of $25 million and $38 million in the second quarter and first six months of 2016, respectively. In addition, product revenue increased $15 million, or 9%, and $24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or 7%, in the second quarter and first six months of 2016, respectively, compared to the prior periods in 2015, primarily due to increased volumes in our output solutions business, including a higher level of card manufacturing and personalization.</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Revenue in our Financial segment increased $4 million and $10 million in the second quarter and first six months of 2016, respectively, or 1% in each period, compared to the prior periods in 2015. Financial segment revenue growth in the second quarter and first six months of 2016 was negatively impacted by foreign currency fluctuations and timing of implementations, along with lower termination fees in the second quarter.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Total expenses increased $29 million and $60 million in the second quarter and in the first six months of 2016, or 3% in each period, compared to the prior periods in 2015. Total expenses as a percentage of total revenue decreased 150 basis points to 73.4% in the second quarter of 2016 and decreased 110 basis points to 74.0% in the first six months of 2016 compared to the prior year periods.</w:t>
      </w:r>
    </w:p>
    <w:p>
      <w:pPr>
        <w:spacing w:after="0" w:line="12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Cost of processing and services as a percentage of processing and services revenue decreased to 47.2% in the second quarter of 2016 compared to 48.9% in the second quarter of 2015 and to 48.2% in the first six months of 2016 compared to 49.8% in the first six months of 2015. Cost of processing and services as a percentage of processing and services revenue was favorably impacted by increased operating leverage in our recurring revenue businesses, as well as by operating efficiency initiatives across the company that benefited our overall cost structure.</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Cost of product as a percentage of product revenue decreased to 88.2% in the second quarter of 2016 compared to 88.9% in the second quarter of 2015 and to 87.4% in the first six months of 2016 compared to 87.9% in the first six months of 2015. Cost of product as a percentage of product revenue was favorably impacted by increased volumes and product mix in our output solutions business.</w:t>
      </w:r>
    </w:p>
    <w:p>
      <w:pPr>
        <w:spacing w:after="0" w:line="12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Selling, general and administrative expenses as a percentage of total revenue was generally consistent for the second quarter of 2016 at 20.1% compared to 20.2% in the second quarter of 2015 and for the first six months of 2016 at 19.7% compared to 19.4% in the first six months of 2015.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Total operating income increased $36 million, or 11%, and $61 million, or 10%, in the second quarter and first six months of 2016, respectively, compared to the prior periods in 2015. Total operating margin increased 150 basis points to 26.6% in the second quarter of 2016 and 110 basis points to 26.0% in the first six months of 2016 compared to the prior year periods. Operating income and operating margin improvements in 2016 were driven by revenue growth, scale efficiencies, expense discipline and operational effectiveness initiatives.</w:t>
      </w:r>
    </w:p>
    <w:p>
      <w:pPr>
        <w:spacing w:after="0" w:line="13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Operating income in our Payments segment increased $29 million, or 14%, and $63 million, or 16%, in the second quarter and first six months of 2016, respectively, compared to the prior periods in 2015. Operating margin increased 140 basis points to 31.1% in the second quarter of 2016 and 190 basis points to 30.5% in the first six months of 2016 compared to the prior year periods. The increases in operating income and operating margin in 2016 were primarily due to revenue growth and scale efficiencies in our card services and electronic payments businesses, along with increased volumes and product mix in our output solutions business, which included a higher level of card manufacturing and personalization.</w:t>
      </w:r>
    </w:p>
    <w:p>
      <w:pPr>
        <w:spacing w:after="0" w:line="11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Operating income in our Financial segment decreased $7 million, or 3%, and $16 million, or 4%, in the second quarter and first six months of 2016, respectively, compared to the prior periods in 2015. Operating margin decreased 150 basis points to 33.0% in the second quarter of 2016 and 160 basis points to 32.8% in the first six months of 2016 compared to the prior year periods. Operating income and operating margin in 2016 were negatively impacted by product mix and by increased expenses associated with incremental investments in innovation-based solutions.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operating loss in the Corporate and Other segment improved by $14 million in both the second quarter and first six months of 2016 compared to the prior year periods primarily due to lower amortization related to certain fully amortized acquisition-related intangible assets, partially offset by acquisition-related integration costs in 2016, including a $10 million non-cash impairment charge associated with the decision to replace an existing software solution with software purchased in a business acquisition during the first quarter.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Interest expense decreased $9 million or 18%, and $10 million or 11%, in the second quarter and first six months of 2016, respectively, compared to the prior periods in 2015, primarily due to the reclassification of $7 million to interest expense for unamortized losses on settled cash flow hedges related to the early extinguishment of debt during the second quarter of 2015.</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Investment (Loss)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interest and investment loss in the first six months of 2016 was attributable to a non-cash write-off of a $7 million cost-method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Debt Extinguishment</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May 2015, we redeemed our $600 million aggregate principal amount of 3.125% senior notes due in 2016 and $500 million aggregate principal amount of 6.8% senior notes due in 2017, which resulted in a pre-tax loss on early debt extinguishment of $85 million related to make-whole payments and other costs associated with the redemption.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Income tax provision as a percentage of income before income from investment in unconsolidated affiliate was 34.2% and 34.4% in the second quarter of 2016 and 2015, respectively, and was 42.2% and 34.8% in the first six months of 2016 and 2015, respectively. The higher rate in the first six months of 2016 was due to income tax expense of $54 million associated with our share of the net gain on the sale of a business interest by StoneRiver in the first quarter, partially reduced by the favorable resolution of tax matters.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Investment in Unconsolidated Affiliate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share of StoneRiver's net income, attributed to the net gain on the sale of a business interest in the first quarter, was $146 million in the first six months of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Net income per share-diluted was $0.94 and $0.53 in the second quarter of 2016 and 2015, respectively, and was $2.21 and $1.26 in the first six months of 2016 and 2015, respectively. Net income per share-diluted in the first six months of 2016 was favorably impacted by $0.39 per share due to our share of the net gain on the sale of a business interest at StoneRiver, partially offset by the non-cash investment write-off. Net income per-share diluted was negatively impacted by debt extinguishment and refinancing costs of $0.25 per share in both the second quarter and first six months of 2015. Amortization of acquisition-related intangible assets reduced net income per share-diluted by $0.11 and $0.13 per share in the second quarter of 2016 and 2015, respectively, and by $0.23 and $0.26 per share in the first six months of 2016 and 2015,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primary liquidity needs are: (i) to fund normal operating expenses; (ii) to meet the interest and principal requirements of our outstanding indebtedness; and (iii) to fund capital expenditures and operating lease payments. We believe these needs will be satisfied using cash flow generated by our operations, along with our cash and cash equivalents and available borrowings under our revolving credit facility of $263 million and $1.4 billion, respectively, at June 30, 2016. The following table presents our operating cash flow and capital expenditure amounts for the six months ended June 30, 2016 and 2015, respectively.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40" w:type="dxa"/>
            <w:vAlign w:val="bottom"/>
            <w:gridSpan w:val="5"/>
          </w:tcPr>
          <w:p>
            <w:pPr>
              <w:ind w:left="400"/>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580" w:type="dxa"/>
            <w:vAlign w:val="bottom"/>
            <w:gridSpan w:val="3"/>
          </w:tcPr>
          <w:p>
            <w:pPr>
              <w:jc w:val="right"/>
              <w:ind w:right="713"/>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9"/>
                <w:szCs w:val="19"/>
                <w:color w:val="auto"/>
              </w:rPr>
            </w:pPr>
          </w:p>
        </w:tc>
        <w:tc>
          <w:tcPr>
            <w:tcW w:w="9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55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480" w:type="dxa"/>
            <w:vAlign w:val="bottom"/>
          </w:tcPr>
          <w:p>
            <w:pPr>
              <w:jc w:val="right"/>
              <w:ind w:right="57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Excess tax benefits from share-based awards</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Income from investment in unconsolidated affiliate</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from unconsolidated affiliate</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Non-cash impairment charges</w:t>
            </w:r>
          </w:p>
        </w:tc>
        <w:tc>
          <w:tcPr>
            <w:tcW w:w="4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early debt extinguishment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Net changes in working capital and other</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Capital expenditures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gridSpan w:val="3"/>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Our net cash provided by operating activities, or operating cash flow, was $687 million in the first six months of 2016, an increase of 15% compared with</w:t>
      </w:r>
    </w:p>
    <w:p>
      <w:pPr>
        <w:spacing w:after="0" w:line="46"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$600 million in the first six months of 2015. This increase was primarily due to increased operating results and cash dividends received from our StoneRiver joint venture, partially offset by unfavorable working capital changes attributed to higher tax payments and the timing of receivable collections.</w:t>
      </w:r>
    </w:p>
    <w:p>
      <w:pPr>
        <w:spacing w:after="0" w:line="8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Our current policy is to use our operating cash flow primarily to repay debt and fund capital expenditures, acquisitions and share repurchases, rather than to pay dividends. Our capital expenditures were approximately 5% and 8% of our total revenue in the first six months of 2016 and 2015, respectively. Capital expenditures in 2015 included $43 million related to our Atlanta facility consolidation, consisting primarily of leasehold improvements and furniture and equipment, of which $24 million is offset by landlord reimbursements included in net changes in working capital and other.</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six months of 2016, we received cash dividends of $140 million from our StoneRiver joint venture. These dividends, in their entirety,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represented returns on our investment and are reported in cash flows from operating activities. In addition, we acquired Hewlett Packard Enterprise's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Convenience Pay Services business and certain assets of ACI Worldwide, Inc.'s Community Financial Services business for an aggregate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$265 million during the first six months of 2016. We funded these acquisitions by utilizing a combination of available cash and existing availability under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revolving credit facility.</w:t>
      </w:r>
    </w:p>
    <w:p>
      <w:pPr>
        <w:spacing w:after="0" w:line="157"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We purchased $604 million of our common stock during the first six months of 2016. As of June 30, 2016, we had approximately 11.2 million shares remaining under our current share repurchase authorization. Shares repurchased are generally held for issuance in connection with our equity plans.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2015</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2.7% senior notes due 2020</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4.625% senior notes due 2020</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4.75% senior notes due 2021</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3.5% senior notes due 2022</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694</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3.85% senior notes due 2025</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Other borrowings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debt (including current maturities)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4,554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At June 30, 2016, our debt consisted primarily of $3.3 billion of senior notes, $629 million of term loan borrowings and $640 million of revolving credit facility borrowings. Interest on our senior notes is paid semi-annually. During the first six months of 2016, we were in compliance with all financial debt covenants.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Rate Debt</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maintain a term loan and a $2.0 billion amended and restated revolving credit agreement with a syndicate of banks. Both the term loan and outstanding borrowings under the amended and restated revolving credit facility bear interest at a variable rate based on LIBOR or on a base rate, plus a specified margin based on our long-term debt rating in effect from time to time. The variable interest rate was 1.71% on the term loan borrowings and 1.54% on the amended and restated revolving credit facility borrowings at June 30, 2016. A remaining scheduled principal payment on the term loan of $90 million is due on December 31, 2017, with the outstanding principal balance of $540 million due at maturity in October 2018. There are no significant commitment fees and no compensating balance requirements on the amended and restated revolving credit facility, which expires in April 2020. The term loan and amended and restated revolving credit facility contain various, substantially similar restrictions and covenants that require us, among other things, to: (i) limit our consolidated indebtedness as of the end of each fiscal quarter to no more than three and one-half times consolidated net earnings before interest, taxes, depreciation and amortization and certain other adjustments during the period of four fiscal quarters then ended, and (ii) maintain consolidated net earnings before interest, taxes, depreciation and amortization and certain other adjustments of at least three times consolidated interest expense as of the end of each fiscal quarter for the period of four fiscal quarters then ended.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quantitative and qualitative disclosures about market risk required by this item are incorporated by reference to Item 7A of our Annual Report on Form 10-K for the year ended December 31, 2015 and have not materially changed since December 31,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June 30,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2016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the normal course of business, we and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purchases made by or on behalf of the company or any “affiliated purchaser” (as defined in Rule 10b-18(a)(3) under the Exchange Act) of shares of our common stock during the quarter ended June 30,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4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BFE4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Paid per Share</w:t>
            </w:r>
          </w:p>
        </w:tc>
        <w:tc>
          <w:tcPr>
            <w:tcW w:w="100" w:type="dxa"/>
            <w:vAlign w:val="bottom"/>
            <w:tcBorders>
              <w:bottom w:val="single" w:sz="8" w:color="BFE4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100" w:type="dxa"/>
            <w:vAlign w:val="bottom"/>
            <w:tcBorders>
              <w:bottom w:val="single" w:sz="8" w:color="BFE4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April 1-30, 2016</w:t>
            </w:r>
          </w:p>
        </w:tc>
        <w:tc>
          <w:tcPr>
            <w:tcW w:w="174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673,000</w:t>
            </w:r>
          </w:p>
        </w:tc>
        <w:tc>
          <w:tcPr>
            <w:tcW w:w="380" w:type="dxa"/>
            <w:vAlign w:val="bottom"/>
            <w:tcBorders>
              <w:bottom w:val="single" w:sz="8" w:color="BFE4FF"/>
            </w:tcBorders>
            <w:gridSpan w:val="2"/>
            <w:shd w:val="clear" w:color="auto" w:fill="BFE4FF"/>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color w:val="auto"/>
              </w:rPr>
              <w:t>99.73</w:t>
            </w:r>
          </w:p>
        </w:tc>
        <w:tc>
          <w:tcPr>
            <w:tcW w:w="100" w:type="dxa"/>
            <w:vAlign w:val="bottom"/>
            <w:tcBorders>
              <w:bottom w:val="single" w:sz="8" w:color="BFE4FF"/>
            </w:tcBorders>
            <w:shd w:val="clear" w:color="auto" w:fill="BFE4FF"/>
          </w:tcPr>
          <w:p>
            <w:pPr>
              <w:spacing w:after="0"/>
              <w:rPr>
                <w:sz w:val="21"/>
                <w:szCs w:val="21"/>
                <w:color w:val="auto"/>
              </w:rPr>
            </w:pPr>
          </w:p>
        </w:tc>
        <w:tc>
          <w:tcPr>
            <w:tcW w:w="194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8"/>
                <w:szCs w:val="18"/>
                <w:color w:val="auto"/>
              </w:rPr>
              <w:t>673,000</w:t>
            </w:r>
          </w:p>
        </w:tc>
        <w:tc>
          <w:tcPr>
            <w:tcW w:w="2140" w:type="dxa"/>
            <w:vAlign w:val="bottom"/>
            <w:tcBorders>
              <w:bottom w:val="single" w:sz="8" w:color="BFE4FF"/>
            </w:tcBorders>
            <w:gridSpan w:val="2"/>
            <w:shd w:val="clear" w:color="auto" w:fill="BFE4FF"/>
          </w:tcPr>
          <w:p>
            <w:pPr>
              <w:jc w:val="right"/>
              <w:ind w:right="28"/>
              <w:spacing w:after="0"/>
              <w:rPr>
                <w:sz w:val="20"/>
                <w:szCs w:val="20"/>
                <w:color w:val="auto"/>
              </w:rPr>
            </w:pPr>
            <w:r>
              <w:rPr>
                <w:rFonts w:ascii="Arial" w:cs="Arial" w:eastAsia="Arial" w:hAnsi="Arial"/>
                <w:sz w:val="18"/>
                <w:szCs w:val="18"/>
                <w:color w:val="auto"/>
              </w:rPr>
              <w:t>13,289,000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May 1-31, 2016</w:t>
            </w:r>
          </w:p>
        </w:tc>
        <w:tc>
          <w:tcPr>
            <w:tcW w:w="1740" w:type="dxa"/>
            <w:vAlign w:val="bottom"/>
          </w:tcPr>
          <w:p>
            <w:pPr>
              <w:jc w:val="right"/>
              <w:ind w:right="36"/>
              <w:spacing w:after="0"/>
              <w:rPr>
                <w:sz w:val="20"/>
                <w:szCs w:val="20"/>
                <w:color w:val="auto"/>
              </w:rPr>
            </w:pPr>
            <w:r>
              <w:rPr>
                <w:rFonts w:ascii="Arial" w:cs="Arial" w:eastAsia="Arial" w:hAnsi="Arial"/>
                <w:sz w:val="18"/>
                <w:szCs w:val="18"/>
                <w:color w:val="auto"/>
              </w:rPr>
              <w:t>635,000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102.71</w:t>
            </w:r>
          </w:p>
        </w:tc>
        <w:tc>
          <w:tcPr>
            <w:tcW w:w="100" w:type="dxa"/>
            <w:vAlign w:val="bottom"/>
          </w:tcPr>
          <w:p>
            <w:pPr>
              <w:spacing w:after="0"/>
              <w:rPr>
                <w:sz w:val="21"/>
                <w:szCs w:val="21"/>
                <w:color w:val="auto"/>
              </w:rPr>
            </w:pPr>
          </w:p>
        </w:tc>
        <w:tc>
          <w:tcPr>
            <w:tcW w:w="1940" w:type="dxa"/>
            <w:vAlign w:val="bottom"/>
          </w:tcPr>
          <w:p>
            <w:pPr>
              <w:jc w:val="right"/>
              <w:ind w:right="40"/>
              <w:spacing w:after="0"/>
              <w:rPr>
                <w:sz w:val="20"/>
                <w:szCs w:val="20"/>
                <w:color w:val="auto"/>
              </w:rPr>
            </w:pPr>
            <w:r>
              <w:rPr>
                <w:rFonts w:ascii="Arial" w:cs="Arial" w:eastAsia="Arial" w:hAnsi="Arial"/>
                <w:sz w:val="18"/>
                <w:szCs w:val="18"/>
                <w:color w:val="auto"/>
              </w:rPr>
              <w:t>635,000</w:t>
            </w:r>
          </w:p>
        </w:tc>
        <w:tc>
          <w:tcPr>
            <w:tcW w:w="2140" w:type="dxa"/>
            <w:vAlign w:val="bottom"/>
            <w:gridSpan w:val="2"/>
          </w:tcPr>
          <w:p>
            <w:pPr>
              <w:jc w:val="right"/>
              <w:ind w:right="28"/>
              <w:spacing w:after="0"/>
              <w:rPr>
                <w:sz w:val="20"/>
                <w:szCs w:val="20"/>
                <w:color w:val="auto"/>
              </w:rPr>
            </w:pPr>
            <w:r>
              <w:rPr>
                <w:rFonts w:ascii="Arial" w:cs="Arial" w:eastAsia="Arial" w:hAnsi="Arial"/>
                <w:sz w:val="18"/>
                <w:szCs w:val="18"/>
                <w:color w:val="auto"/>
              </w:rPr>
              <w:t>12,654,000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June 1-30, 2016</w:t>
            </w:r>
          </w:p>
        </w:tc>
        <w:tc>
          <w:tcPr>
            <w:tcW w:w="174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1,430,000</w:t>
            </w:r>
          </w:p>
        </w:tc>
        <w:tc>
          <w:tcPr>
            <w:tcW w:w="12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46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color w:val="auto"/>
              </w:rPr>
              <w:t>105.63</w:t>
            </w:r>
          </w:p>
        </w:tc>
        <w:tc>
          <w:tcPr>
            <w:tcW w:w="100" w:type="dxa"/>
            <w:vAlign w:val="bottom"/>
            <w:tcBorders>
              <w:bottom w:val="single" w:sz="8" w:color="BFE4FF"/>
            </w:tcBorders>
            <w:shd w:val="clear" w:color="auto" w:fill="BFE4FF"/>
          </w:tcPr>
          <w:p>
            <w:pPr>
              <w:spacing w:after="0"/>
              <w:rPr>
                <w:sz w:val="23"/>
                <w:szCs w:val="23"/>
                <w:color w:val="auto"/>
              </w:rPr>
            </w:pPr>
          </w:p>
        </w:tc>
        <w:tc>
          <w:tcPr>
            <w:tcW w:w="1940" w:type="dxa"/>
            <w:vAlign w:val="bottom"/>
            <w:tcBorders>
              <w:bottom w:val="single" w:sz="8" w:color="BFE4FF"/>
            </w:tcBorders>
            <w:shd w:val="clear" w:color="auto" w:fill="BFE4FF"/>
          </w:tcPr>
          <w:p>
            <w:pPr>
              <w:jc w:val="right"/>
              <w:ind w:right="40"/>
              <w:spacing w:after="0"/>
              <w:rPr>
                <w:sz w:val="20"/>
                <w:szCs w:val="20"/>
                <w:color w:val="auto"/>
              </w:rPr>
            </w:pPr>
            <w:r>
              <w:rPr>
                <w:rFonts w:ascii="Arial" w:cs="Arial" w:eastAsia="Arial" w:hAnsi="Arial"/>
                <w:sz w:val="18"/>
                <w:szCs w:val="18"/>
                <w:color w:val="auto"/>
              </w:rPr>
              <w:t>1,430,000</w:t>
            </w:r>
          </w:p>
        </w:tc>
        <w:tc>
          <w:tcPr>
            <w:tcW w:w="2140" w:type="dxa"/>
            <w:vAlign w:val="bottom"/>
            <w:tcBorders>
              <w:bottom w:val="single" w:sz="8" w:color="BFE4FF"/>
            </w:tcBorders>
            <w:gridSpan w:val="2"/>
            <w:shd w:val="clear" w:color="auto" w:fill="BFE4FF"/>
          </w:tcPr>
          <w:p>
            <w:pPr>
              <w:jc w:val="right"/>
              <w:ind w:right="28"/>
              <w:spacing w:after="0"/>
              <w:rPr>
                <w:sz w:val="20"/>
                <w:szCs w:val="20"/>
                <w:color w:val="auto"/>
              </w:rPr>
            </w:pPr>
            <w:r>
              <w:rPr>
                <w:rFonts w:ascii="Arial" w:cs="Arial" w:eastAsia="Arial" w:hAnsi="Arial"/>
                <w:sz w:val="18"/>
                <w:szCs w:val="18"/>
                <w:color w:val="auto"/>
              </w:rPr>
              <w:t>11,224,000</w:t>
            </w:r>
          </w:p>
        </w:tc>
        <w:tc>
          <w:tcPr>
            <w:tcW w:w="0" w:type="dxa"/>
            <w:vAlign w:val="bottom"/>
          </w:tcPr>
          <w:p>
            <w:pPr>
              <w:spacing w:after="0"/>
              <w:rPr>
                <w:sz w:val="1"/>
                <w:szCs w:val="1"/>
                <w:color w:val="auto"/>
              </w:rPr>
            </w:pPr>
          </w:p>
        </w:tc>
      </w:tr>
      <w:tr>
        <w:trPr>
          <w:trHeight w:val="237"/>
        </w:trPr>
        <w:tc>
          <w:tcPr>
            <w:tcW w:w="3660" w:type="dxa"/>
            <w:vAlign w:val="bottom"/>
          </w:tcPr>
          <w:p>
            <w:pPr>
              <w:ind w:left="38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2,738,000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40"/>
              <w:spacing w:after="0"/>
              <w:rPr>
                <w:sz w:val="20"/>
                <w:szCs w:val="20"/>
                <w:color w:val="auto"/>
              </w:rPr>
            </w:pPr>
            <w:r>
              <w:rPr>
                <w:rFonts w:ascii="Arial" w:cs="Arial" w:eastAsia="Arial" w:hAnsi="Arial"/>
                <w:sz w:val="18"/>
                <w:szCs w:val="18"/>
                <w:color w:val="auto"/>
              </w:rPr>
              <w:t>2,738,000</w:t>
            </w: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vMerge w:val="continue"/>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100" w:hanging="316"/>
        <w:spacing w:after="0" w:line="261"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November 18, 2015, our board of directors authorized the purchase of up to 15.0 million shares of our common stock. This authorization does not expire.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7520" w:type="dxa"/>
            <w:vAlign w:val="bottom"/>
            <w:gridSpan w:val="2"/>
          </w:tcPr>
          <w:p>
            <w:pPr>
              <w:ind w:left="1960"/>
              <w:spacing w:after="0"/>
              <w:rPr>
                <w:sz w:val="20"/>
                <w:szCs w:val="20"/>
                <w:color w:val="auto"/>
              </w:rPr>
            </w:pPr>
            <w:r>
              <w:rPr>
                <w:rFonts w:ascii="Arial" w:cs="Arial" w:eastAsia="Arial" w:hAnsi="Arial"/>
                <w:sz w:val="18"/>
                <w:szCs w:val="18"/>
                <w:b w:val="1"/>
                <w:bCs w:val="1"/>
                <w:color w:val="auto"/>
              </w:rPr>
              <w:t>FISERV, INC.</w:t>
            </w:r>
          </w:p>
        </w:tc>
      </w:tr>
      <w:tr>
        <w:trPr>
          <w:trHeight w:val="59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200"/>
              <w:spacing w:after="0"/>
              <w:rPr>
                <w:sz w:val="20"/>
                <w:szCs w:val="20"/>
                <w:color w:val="auto"/>
              </w:rPr>
            </w:pPr>
            <w:r>
              <w:rPr>
                <w:rFonts w:ascii="Arial" w:cs="Arial" w:eastAsia="Arial" w:hAnsi="Arial"/>
                <w:sz w:val="18"/>
                <w:szCs w:val="18"/>
                <w:color w:val="auto"/>
              </w:rPr>
              <w:t>August 3, 2016</w:t>
            </w:r>
          </w:p>
        </w:tc>
        <w:tc>
          <w:tcPr>
            <w:tcW w:w="2620" w:type="dxa"/>
            <w:vAlign w:val="bottom"/>
          </w:tcPr>
          <w:p>
            <w:pPr>
              <w:ind w:left="196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Robert W. Hau</w:t>
            </w:r>
          </w:p>
        </w:tc>
      </w:tr>
      <w:tr>
        <w:trPr>
          <w:trHeight w:val="27"/>
        </w:trPr>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200"/>
              <w:spacing w:after="0"/>
              <w:rPr>
                <w:sz w:val="20"/>
                <w:szCs w:val="20"/>
                <w:color w:val="auto"/>
              </w:rPr>
            </w:pPr>
            <w:r>
              <w:rPr>
                <w:rFonts w:ascii="Arial" w:cs="Arial" w:eastAsia="Arial" w:hAnsi="Arial"/>
                <w:sz w:val="18"/>
                <w:szCs w:val="18"/>
                <w:color w:val="auto"/>
              </w:rPr>
              <w:t>August 3, 2016</w:t>
            </w:r>
          </w:p>
        </w:tc>
        <w:tc>
          <w:tcPr>
            <w:tcW w:w="2620" w:type="dxa"/>
            <w:vAlign w:val="bottom"/>
          </w:tcPr>
          <w:p>
            <w:pPr>
              <w:ind w:left="196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Kenneth F. Best</w:t>
            </w:r>
          </w:p>
        </w:tc>
      </w:tr>
      <w:tr>
        <w:trPr>
          <w:trHeight w:val="27"/>
        </w:trPr>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Kenneth F. Best</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40" w:type="dxa"/>
            <w:vAlign w:val="bottom"/>
          </w:tcPr>
          <w:p>
            <w:pPr>
              <w:ind w:left="196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184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34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6"/>
        </w:trPr>
        <w:tc>
          <w:tcPr>
            <w:tcW w:w="580" w:type="dxa"/>
            <w:vAlign w:val="bottom"/>
          </w:tcPr>
          <w:p>
            <w:pPr>
              <w:spacing w:after="0" w:line="176" w:lineRule="exact"/>
              <w:rPr>
                <w:sz w:val="20"/>
                <w:szCs w:val="20"/>
                <w:color w:val="auto"/>
              </w:rPr>
            </w:pPr>
            <w:r>
              <w:rPr>
                <w:rFonts w:ascii="Arial" w:cs="Arial" w:eastAsia="Arial" w:hAnsi="Arial"/>
                <w:sz w:val="16"/>
                <w:szCs w:val="16"/>
                <w:b w:val="1"/>
                <w:bCs w:val="1"/>
                <w:color w:val="auto"/>
                <w:w w:val="92"/>
              </w:rPr>
              <w:t>Number</w:t>
            </w:r>
          </w:p>
        </w:tc>
        <w:tc>
          <w:tcPr>
            <w:tcW w:w="1260" w:type="dxa"/>
            <w:vAlign w:val="bottom"/>
          </w:tcPr>
          <w:p>
            <w:pPr>
              <w:spacing w:after="0"/>
              <w:rPr>
                <w:sz w:val="15"/>
                <w:szCs w:val="15"/>
                <w:color w:val="auto"/>
              </w:rPr>
            </w:pPr>
          </w:p>
        </w:tc>
        <w:tc>
          <w:tcPr>
            <w:tcW w:w="678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rPr>
              <w:t>Exhibit Description</w:t>
            </w:r>
          </w:p>
        </w:tc>
      </w:tr>
      <w:tr>
        <w:trPr>
          <w:trHeight w:val="20"/>
        </w:trPr>
        <w:tc>
          <w:tcPr>
            <w:tcW w:w="5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480"/>
        </w:trPr>
        <w:tc>
          <w:tcPr>
            <w:tcW w:w="580" w:type="dxa"/>
            <w:vAlign w:val="bottom"/>
          </w:tcPr>
          <w:p>
            <w:pPr>
              <w:ind w:left="140"/>
              <w:spacing w:after="0"/>
              <w:rPr>
                <w:sz w:val="20"/>
                <w:szCs w:val="20"/>
                <w:color w:val="auto"/>
              </w:rPr>
            </w:pPr>
            <w:r>
              <w:rPr>
                <w:rFonts w:ascii="Arial" w:cs="Arial" w:eastAsia="Arial" w:hAnsi="Arial"/>
                <w:sz w:val="18"/>
                <w:szCs w:val="18"/>
                <w:color w:val="auto"/>
              </w:rPr>
              <w:t>31.1</w:t>
            </w:r>
          </w:p>
        </w:tc>
        <w:tc>
          <w:tcPr>
            <w:tcW w:w="126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Certification of the Chief Executive Officer, dated August 3, 2016</w:t>
            </w:r>
          </w:p>
        </w:tc>
      </w:tr>
      <w:tr>
        <w:trPr>
          <w:trHeight w:val="459"/>
        </w:trPr>
        <w:tc>
          <w:tcPr>
            <w:tcW w:w="580" w:type="dxa"/>
            <w:vAlign w:val="bottom"/>
          </w:tcPr>
          <w:p>
            <w:pPr>
              <w:ind w:left="140"/>
              <w:spacing w:after="0"/>
              <w:rPr>
                <w:sz w:val="20"/>
                <w:szCs w:val="20"/>
                <w:color w:val="auto"/>
              </w:rPr>
            </w:pPr>
            <w:r>
              <w:rPr>
                <w:rFonts w:ascii="Arial" w:cs="Arial" w:eastAsia="Arial" w:hAnsi="Arial"/>
                <w:sz w:val="18"/>
                <w:szCs w:val="18"/>
                <w:color w:val="auto"/>
              </w:rPr>
              <w:t>31.2</w:t>
            </w:r>
          </w:p>
        </w:tc>
        <w:tc>
          <w:tcPr>
            <w:tcW w:w="126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Certification of the Chief Financial Officer, dated August 3, 2016</w:t>
            </w:r>
          </w:p>
        </w:tc>
      </w:tr>
      <w:tr>
        <w:trPr>
          <w:trHeight w:val="459"/>
        </w:trPr>
        <w:tc>
          <w:tcPr>
            <w:tcW w:w="580" w:type="dxa"/>
            <w:vAlign w:val="bottom"/>
          </w:tcPr>
          <w:p>
            <w:pPr>
              <w:ind w:left="140"/>
              <w:spacing w:after="0"/>
              <w:rPr>
                <w:sz w:val="20"/>
                <w:szCs w:val="20"/>
                <w:color w:val="auto"/>
              </w:rPr>
            </w:pPr>
            <w:r>
              <w:rPr>
                <w:rFonts w:ascii="Arial" w:cs="Arial" w:eastAsia="Arial" w:hAnsi="Arial"/>
                <w:sz w:val="18"/>
                <w:szCs w:val="18"/>
                <w:color w:val="auto"/>
              </w:rPr>
              <w:t>32</w:t>
            </w:r>
          </w:p>
        </w:tc>
        <w:tc>
          <w:tcPr>
            <w:tcW w:w="126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w w:val="92"/>
              </w:rPr>
              <w:t>Certification of the Chief Executive Officer and Chief Financial Officer, dated August 3, 2016</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78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78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78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78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78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59"/>
        </w:trPr>
        <w:tc>
          <w:tcPr>
            <w:tcW w:w="1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78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340" w:hanging="332"/>
        <w:spacing w:after="0" w:line="29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Filed with this quarterly report on Form 10-Q are the following documents formatted in XBRL (Extensible Business Reporting Language): (i) the Consolidated Statements of Income for the three and six months ended June 30, 2016 and 2015, (ii) the Consolidated Statements of Comprehensive Income for the three and six months ended June 30, 2016 and 2015, (iii) the Consolidated Balance Sheets at June 30, 2016 and December 31, 2015, (iv) the Consolidated Statements of Cash Flows for the six months ended June 30, 2016 and 2015, and (v) Notes to Consolidated Financial Statements.</w:t>
      </w:r>
    </w:p>
    <w:p>
      <w:pPr>
        <w:sectPr>
          <w:pgSz w:w="11900" w:h="16838" w:orient="portrait"/>
          <w:cols w:equalWidth="0" w:num="1">
            <w:col w:w="11200"/>
          </w:cols>
          <w:pgMar w:left="240" w:top="125" w:right="4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Jeffery W. Yabuki,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560"/>
        <w:spacing w:after="0"/>
        <w:tabs>
          <w:tab w:leader="none" w:pos="5700" w:val="left"/>
          <w:tab w:leader="none" w:pos="624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75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560"/>
        <w:spacing w:after="0"/>
        <w:tabs>
          <w:tab w:leader="none" w:pos="5700" w:val="left"/>
          <w:tab w:leader="none" w:pos="624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on Form 10-Q of Fiserv, Inc. (the “Company”) for the quarter ended June 30, 2016 as filed with the Securities and Exchange Commission on the date hereof (the “Report”), Jeffery W. Yabuki, as President and Chief Executive Officer of the Company, and Robert W. Hau, as Chief Financial Officer and Treasurer of the Company, each hereby certify, pursuant to 18 U.S.C. § 1350, as adopted pursuant to § 906 of the Sarbanes-Oxley Act of 2002, that to the best of his knowledge:</w:t>
      </w:r>
    </w:p>
    <w:p>
      <w:pPr>
        <w:spacing w:after="0" w:line="92"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59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Jeffery W. Yabuki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Jeffery W. Yabuki</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August 3, 2016</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9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8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Robert W. Hau</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August 3,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2019-12-29T10:21:21Z</dcterms:created>
  <dcterms:modified xsi:type="dcterms:W3CDTF">2019-12-29T10:21:21Z</dcterms:modified>
</cp:coreProperties>
</file>