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2" w:lineRule="exact"/>
        <w:rPr>
          <w:sz w:val="24"/>
          <w:szCs w:val="24"/>
          <w:color w:val="auto"/>
        </w:rPr>
      </w:pPr>
    </w:p>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Filed Pursuant to Rule 424(b)(5)</w:t>
      </w:r>
    </w:p>
    <w:p>
      <w:pPr>
        <w:spacing w:after="0" w:line="22" w:lineRule="exact"/>
        <w:rPr>
          <w:sz w:val="24"/>
          <w:szCs w:val="24"/>
          <w:color w:val="auto"/>
        </w:rPr>
      </w:pPr>
    </w:p>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Registration No. 333-277241</w:t>
      </w:r>
    </w:p>
    <w:p>
      <w:pPr>
        <w:spacing w:after="0" w:line="216"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1"/>
          <w:szCs w:val="11"/>
          <w:b w:val="1"/>
          <w:bCs w:val="1"/>
          <w:color w:val="auto"/>
        </w:rPr>
        <w:t>PROSPECTUS SUPPLEMENT</w:t>
      </w:r>
    </w:p>
    <w:p>
      <w:pPr>
        <w:spacing w:after="0" w:line="1"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1"/>
          <w:szCs w:val="11"/>
          <w:b w:val="1"/>
          <w:bCs w:val="1"/>
          <w:color w:val="auto"/>
        </w:rPr>
        <w:t>(To Prospectus dated April 24, 2025)</w:t>
      </w:r>
    </w:p>
    <w:p>
      <w:pPr>
        <w:spacing w:after="0" w:line="39"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5"/>
          <w:szCs w:val="25"/>
          <w:b w:val="1"/>
          <w:bCs w:val="1"/>
          <w:color w:val="auto"/>
        </w:rPr>
        <w:t>€1,000,000,000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3232785</wp:posOffset>
            </wp:positionH>
            <wp:positionV relativeFrom="paragraph">
              <wp:posOffset>89535</wp:posOffset>
            </wp:positionV>
            <wp:extent cx="702945" cy="3543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2945" cy="354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1"/>
          <w:szCs w:val="11"/>
          <w:b w:val="1"/>
          <w:bCs w:val="1"/>
          <w:color w:val="auto"/>
        </w:rPr>
        <w:t>€500,000,000 3.750% Senior Notes due 2030</w:t>
      </w:r>
    </w:p>
    <w:p>
      <w:pPr>
        <w:spacing w:after="0" w:line="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1"/>
          <w:szCs w:val="11"/>
          <w:b w:val="1"/>
          <w:bCs w:val="1"/>
          <w:color w:val="auto"/>
        </w:rPr>
        <w:t>€500,000,000 4.250% Senior Notes due 2034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3088005</wp:posOffset>
            </wp:positionH>
            <wp:positionV relativeFrom="paragraph">
              <wp:posOffset>80645</wp:posOffset>
            </wp:positionV>
            <wp:extent cx="9918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91870" cy="6350"/>
                    </a:xfrm>
                    <a:prstGeom prst="rect">
                      <a:avLst/>
                    </a:prstGeom>
                    <a:noFill/>
                  </pic:spPr>
                </pic:pic>
              </a:graphicData>
            </a:graphic>
          </wp:anchor>
        </w:drawing>
      </w:r>
    </w:p>
    <w:p>
      <w:pPr>
        <w:spacing w:after="0" w:line="141" w:lineRule="exact"/>
        <w:rPr>
          <w:sz w:val="24"/>
          <w:szCs w:val="24"/>
          <w:color w:val="auto"/>
        </w:rPr>
      </w:pPr>
    </w:p>
    <w:p>
      <w:pPr>
        <w:ind w:left="1940" w:right="1019" w:firstLine="295"/>
        <w:spacing w:after="0" w:line="229" w:lineRule="auto"/>
        <w:rPr>
          <w:sz w:val="20"/>
          <w:szCs w:val="20"/>
          <w:color w:val="auto"/>
        </w:rPr>
      </w:pPr>
      <w:r>
        <w:rPr>
          <w:rFonts w:ascii="Times New Roman" w:cs="Times New Roman" w:eastAsia="Times New Roman" w:hAnsi="Times New Roman"/>
          <w:sz w:val="11"/>
          <w:szCs w:val="11"/>
          <w:color w:val="auto"/>
        </w:rPr>
        <w:t>We are offering €500,000,000 principal amount of our 3.750% Senior Notes due 2030 (the “2030 notes”) and €500,000,000 principal amount of our 4.250% Senior Notes due 2034 (the “2034 notes” and, together with the 2030 notes, the “notes”). The 2030 notes will mature on October 15, 2030 and the 2034 notes will mature on June 23, 2034. We will pay interest on the notes annually in arrears on October 15 of each year, beginning on October 15, 2026, for the 2030 notes and June 23 of each year, beginning on June 23, 2027, for the 2034 notes.</w:t>
      </w:r>
    </w:p>
    <w:p>
      <w:pPr>
        <w:spacing w:after="0" w:line="14"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1"/>
          <w:szCs w:val="11"/>
          <w:color w:val="auto"/>
        </w:rPr>
        <w:t>The notes will be issued in book-entry form only, in minimum denominations of €100,000 and integral multiples of €1,000 in excess thereof.</w:t>
      </w:r>
    </w:p>
    <w:p>
      <w:pPr>
        <w:spacing w:after="0" w:line="29" w:lineRule="exact"/>
        <w:rPr>
          <w:sz w:val="24"/>
          <w:szCs w:val="24"/>
          <w:color w:val="auto"/>
        </w:rPr>
      </w:pPr>
    </w:p>
    <w:p>
      <w:pPr>
        <w:ind w:left="1940" w:right="819" w:firstLine="295"/>
        <w:spacing w:after="0" w:line="226" w:lineRule="auto"/>
        <w:rPr>
          <w:sz w:val="20"/>
          <w:szCs w:val="20"/>
          <w:color w:val="auto"/>
        </w:rPr>
      </w:pPr>
      <w:r>
        <w:rPr>
          <w:rFonts w:ascii="Times New Roman" w:cs="Times New Roman" w:eastAsia="Times New Roman" w:hAnsi="Times New Roman"/>
          <w:sz w:val="11"/>
          <w:szCs w:val="11"/>
          <w:color w:val="auto"/>
        </w:rPr>
        <w:t>We may, at our option, redeem each series of the notes, in whole or in part, at any time and from time to time at the applicable redemption price described in this prospectus supplement in “Description of the Notes—Optional Redemption.” We may also redeem each series of the notes at our option, in whole but not in part, at the applicable redemption price described in this prospectus supplement if certain tax events occur as described in “Description of the Notes—Optional Tax Redemption.” We must offer to repurchase the notes upon the occurrence of a change of control triggering event at the price described in this prospectus supplement in “Description of the Notes—Purchase of Notes upon a Change of Control Triggering Event.”</w:t>
      </w:r>
    </w:p>
    <w:p>
      <w:pPr>
        <w:spacing w:after="0" w:line="15" w:lineRule="exact"/>
        <w:rPr>
          <w:sz w:val="24"/>
          <w:szCs w:val="24"/>
          <w:color w:val="auto"/>
        </w:rPr>
      </w:pPr>
    </w:p>
    <w:p>
      <w:pPr>
        <w:ind w:left="1940" w:right="879" w:firstLine="295"/>
        <w:spacing w:after="0" w:line="229" w:lineRule="auto"/>
        <w:rPr>
          <w:sz w:val="20"/>
          <w:szCs w:val="20"/>
          <w:color w:val="auto"/>
        </w:rPr>
      </w:pPr>
      <w:r>
        <w:rPr>
          <w:rFonts w:ascii="Times New Roman" w:cs="Times New Roman" w:eastAsia="Times New Roman" w:hAnsi="Times New Roman"/>
          <w:sz w:val="11"/>
          <w:szCs w:val="11"/>
          <w:color w:val="auto"/>
        </w:rPr>
        <w:t>We intend to use the net proceeds from this offering, together with proceeds from the sale of commercial paper and cash from operations, to purchase any and all of our $750.0 million aggregate principal amount of 5.150% senior notes due 2027 and any and all of our $2.0 billion aggregate principal amount of 4.400% senior notes due 2049, including any premium and accrued and unpaid interest on the tendered notes, pursuant to the tender offer described above under “Summary—Recent Developments.”</w:t>
      </w:r>
    </w:p>
    <w:p>
      <w:pPr>
        <w:spacing w:after="0" w:line="14"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1"/>
          <w:szCs w:val="11"/>
          <w:color w:val="auto"/>
        </w:rPr>
        <w:t>The offering and sale of each series of notes is not conditioned on the sale of any other series of notes.</w:t>
      </w:r>
    </w:p>
    <w:p>
      <w:pPr>
        <w:spacing w:after="0" w:line="29"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1"/>
          <w:szCs w:val="11"/>
          <w:color w:val="auto"/>
        </w:rPr>
        <w:t>The notes will be our unsecured senior obligations and will rank equally with our other unsecured senior indebtedness from time to time outstanding.</w:t>
      </w:r>
    </w:p>
    <w:p>
      <w:pPr>
        <w:spacing w:after="0" w:line="29" w:lineRule="exact"/>
        <w:rPr>
          <w:sz w:val="24"/>
          <w:szCs w:val="24"/>
          <w:color w:val="auto"/>
        </w:rPr>
      </w:pPr>
    </w:p>
    <w:p>
      <w:pPr>
        <w:ind w:left="1940" w:right="959" w:firstLine="295"/>
        <w:spacing w:after="0" w:line="229" w:lineRule="auto"/>
        <w:rPr>
          <w:sz w:val="20"/>
          <w:szCs w:val="20"/>
          <w:color w:val="auto"/>
        </w:rPr>
      </w:pPr>
      <w:r>
        <w:rPr>
          <w:rFonts w:ascii="Times New Roman" w:cs="Times New Roman" w:eastAsia="Times New Roman" w:hAnsi="Times New Roman"/>
          <w:sz w:val="11"/>
          <w:szCs w:val="11"/>
          <w:color w:val="auto"/>
        </w:rPr>
        <w:t>Each series of the notes is a new issue of securities with no established trading market. We currently intend to apply to list the notes on the NASDAQ Global Market (“NASDAQ”). The listing application will be subject to approval by NASDAQ. If such listing is obtained, we have no obligation to maintain such listing for the notes and we may delist the notes, or list the notes on one or more other national securities exchanges, at any time. We currently expect trading in the notes on NASDAQ to begin within 30 days after the original issue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3088005</wp:posOffset>
            </wp:positionH>
            <wp:positionV relativeFrom="paragraph">
              <wp:posOffset>85090</wp:posOffset>
            </wp:positionV>
            <wp:extent cx="99187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91870" cy="6350"/>
                    </a:xfrm>
                    <a:prstGeom prst="rect">
                      <a:avLst/>
                    </a:prstGeom>
                    <a:noFill/>
                  </pic:spPr>
                </pic:pic>
              </a:graphicData>
            </a:graphic>
          </wp:anchor>
        </w:drawing>
      </w:r>
    </w:p>
    <w:p>
      <w:pPr>
        <w:spacing w:after="0" w:line="145" w:lineRule="exact"/>
        <w:rPr>
          <w:sz w:val="24"/>
          <w:szCs w:val="24"/>
          <w:color w:val="auto"/>
        </w:rPr>
      </w:pPr>
    </w:p>
    <w:p>
      <w:pPr>
        <w:jc w:val="both"/>
        <w:ind w:left="1940" w:right="879" w:firstLine="295"/>
        <w:spacing w:after="0" w:line="284" w:lineRule="auto"/>
        <w:rPr>
          <w:sz w:val="20"/>
          <w:szCs w:val="20"/>
          <w:color w:val="auto"/>
        </w:rPr>
      </w:pPr>
      <w:r>
        <w:rPr>
          <w:rFonts w:ascii="Times New Roman" w:cs="Times New Roman" w:eastAsia="Times New Roman" w:hAnsi="Times New Roman"/>
          <w:sz w:val="15"/>
          <w:szCs w:val="15"/>
          <w:b w:val="1"/>
          <w:bCs w:val="1"/>
          <w:color w:val="auto"/>
        </w:rPr>
        <w:t>Investing in the notes involves risks. See “</w:t>
      </w:r>
      <w:r>
        <w:rPr>
          <w:rFonts w:ascii="Times New Roman" w:cs="Times New Roman" w:eastAsia="Times New Roman" w:hAnsi="Times New Roman"/>
          <w:sz w:val="15"/>
          <w:szCs w:val="15"/>
          <w:b w:val="1"/>
          <w:bCs w:val="1"/>
          <w:u w:val="single" w:color="auto"/>
          <w:color w:val="0000EE"/>
        </w:rPr>
        <w:t>Risk Factors</w:t>
      </w:r>
      <w:r>
        <w:rPr>
          <w:rFonts w:ascii="Times New Roman" w:cs="Times New Roman" w:eastAsia="Times New Roman" w:hAnsi="Times New Roman"/>
          <w:sz w:val="15"/>
          <w:szCs w:val="15"/>
          <w:b w:val="1"/>
          <w:bCs w:val="1"/>
          <w:color w:val="auto"/>
        </w:rPr>
        <w:t>” beginning on page S-8 of this prospectus supplement and the risk factors incorporated by reference into this prospectus supplement and the accompanying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3088005</wp:posOffset>
            </wp:positionH>
            <wp:positionV relativeFrom="paragraph">
              <wp:posOffset>62230</wp:posOffset>
            </wp:positionV>
            <wp:extent cx="99187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91870" cy="6350"/>
                    </a:xfrm>
                    <a:prstGeom prst="rect">
                      <a:avLst/>
                    </a:prstGeom>
                    <a:noFill/>
                  </pic:spPr>
                </pic:pic>
              </a:graphicData>
            </a:graphic>
          </wp:anchor>
        </w:drawing>
      </w:r>
    </w:p>
    <w:p>
      <w:pPr>
        <w:spacing w:after="0" w:line="111" w:lineRule="exact"/>
        <w:rPr>
          <w:sz w:val="24"/>
          <w:szCs w:val="24"/>
          <w:color w:val="auto"/>
        </w:rPr>
      </w:pPr>
    </w:p>
    <w:p>
      <w:pPr>
        <w:jc w:val="both"/>
        <w:ind w:left="1940" w:right="919" w:firstLine="295"/>
        <w:spacing w:after="0" w:line="249" w:lineRule="auto"/>
        <w:rPr>
          <w:sz w:val="20"/>
          <w:szCs w:val="20"/>
          <w:color w:val="auto"/>
        </w:rPr>
      </w:pPr>
      <w:r>
        <w:rPr>
          <w:rFonts w:ascii="Times New Roman" w:cs="Times New Roman" w:eastAsia="Times New Roman" w:hAnsi="Times New Roman"/>
          <w:sz w:val="11"/>
          <w:szCs w:val="11"/>
          <w:b w:val="1"/>
          <w:bCs w:val="1"/>
          <w:color w:val="auto"/>
        </w:rPr>
        <w:t>Neither the Securities and Exchange Commission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9" w:lineRule="exact"/>
        <w:rPr>
          <w:sz w:val="24"/>
          <w:szCs w:val="24"/>
          <w:color w:val="auto"/>
        </w:rPr>
      </w:pPr>
    </w:p>
    <w:tbl>
      <w:tblPr>
        <w:tblLayout w:type="fixed"/>
        <w:tblInd w:w="2540" w:type="dxa"/>
        <w:tblCellMar>
          <w:top w:w="0" w:type="dxa"/>
          <w:left w:w="0" w:type="dxa"/>
          <w:bottom w:w="0" w:type="dxa"/>
          <w:right w:w="0" w:type="dxa"/>
        </w:tblCellMar>
      </w:tblPr>
      <w:tr>
        <w:trPr>
          <w:trHeight w:val="115"/>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Underwriting</w:t>
            </w:r>
          </w:p>
        </w:tc>
        <w:tc>
          <w:tcPr>
            <w:tcW w:w="1320" w:type="dxa"/>
            <w:vAlign w:val="bottom"/>
            <w:gridSpan w:val="4"/>
          </w:tcPr>
          <w:p>
            <w:pPr>
              <w:ind w:left="200"/>
              <w:spacing w:after="0"/>
              <w:rPr>
                <w:sz w:val="20"/>
                <w:szCs w:val="20"/>
                <w:color w:val="auto"/>
              </w:rPr>
            </w:pPr>
            <w:r>
              <w:rPr>
                <w:rFonts w:ascii="Times New Roman" w:cs="Times New Roman" w:eastAsia="Times New Roman" w:hAnsi="Times New Roman"/>
                <w:sz w:val="10"/>
                <w:szCs w:val="10"/>
                <w:b w:val="1"/>
                <w:bCs w:val="1"/>
                <w:color w:val="auto"/>
              </w:rPr>
              <w:t>Proceeds to Fiserv, Inc.,</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100" w:type="dxa"/>
            <w:vAlign w:val="bottom"/>
            <w:gridSpan w:val="3"/>
          </w:tcPr>
          <w:p>
            <w:pPr>
              <w:jc w:val="right"/>
              <w:ind w:right="280"/>
              <w:spacing w:after="0" w:line="119" w:lineRule="exact"/>
              <w:rPr>
                <w:sz w:val="20"/>
                <w:szCs w:val="20"/>
                <w:color w:val="auto"/>
              </w:rPr>
            </w:pPr>
            <w:r>
              <w:rPr>
                <w:rFonts w:ascii="Times New Roman" w:cs="Times New Roman" w:eastAsia="Times New Roman" w:hAnsi="Times New Roman"/>
                <w:sz w:val="9"/>
                <w:szCs w:val="9"/>
                <w:b w:val="1"/>
                <w:bCs w:val="1"/>
                <w:color w:val="auto"/>
              </w:rPr>
              <w:t>Price to Public</w:t>
            </w:r>
            <w:r>
              <w:rPr>
                <w:rFonts w:ascii="Times New Roman" w:cs="Times New Roman" w:eastAsia="Times New Roman" w:hAnsi="Times New Roman"/>
                <w:sz w:val="13"/>
                <w:szCs w:val="13"/>
                <w:b w:val="1"/>
                <w:bCs w:val="1"/>
                <w:color w:val="auto"/>
                <w:vertAlign w:val="superscript"/>
              </w:rPr>
              <w:t>(1)</w:t>
            </w:r>
          </w:p>
        </w:tc>
        <w:tc>
          <w:tcPr>
            <w:tcW w:w="200" w:type="dxa"/>
            <w:vAlign w:val="bottom"/>
          </w:tcPr>
          <w:p>
            <w:pPr>
              <w:spacing w:after="0"/>
              <w:rPr>
                <w:sz w:val="10"/>
                <w:szCs w:val="10"/>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Discounts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w w:val="99"/>
              </w:rPr>
              <w:t>Before Expenses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vMerge w:val="restart"/>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Per 2030 note</w:t>
            </w:r>
          </w:p>
        </w:tc>
        <w:tc>
          <w:tcPr>
            <w:tcW w:w="11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740" w:type="dxa"/>
            <w:vAlign w:val="bottom"/>
            <w:vMerge w:val="continue"/>
            <w:shd w:val="clear" w:color="auto" w:fill="CCEEFF"/>
          </w:tcPr>
          <w:p>
            <w:pPr>
              <w:spacing w:after="0"/>
              <w:rPr>
                <w:sz w:val="9"/>
                <w:szCs w:val="9"/>
                <w:color w:val="auto"/>
              </w:rPr>
            </w:pPr>
          </w:p>
        </w:tc>
        <w:tc>
          <w:tcPr>
            <w:tcW w:w="1140" w:type="dxa"/>
            <w:vAlign w:val="bottom"/>
            <w:vMerge w:val="continue"/>
            <w:shd w:val="clear" w:color="auto" w:fill="CCEEFF"/>
          </w:tcPr>
          <w:p>
            <w:pPr>
              <w:spacing w:after="0"/>
              <w:rPr>
                <w:sz w:val="9"/>
                <w:szCs w:val="9"/>
                <w:color w:val="auto"/>
              </w:rPr>
            </w:pPr>
          </w:p>
        </w:tc>
        <w:tc>
          <w:tcPr>
            <w:tcW w:w="68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1"/>
                <w:szCs w:val="11"/>
                <w:color w:val="auto"/>
              </w:rPr>
              <w:t>99.936%</w:t>
            </w:r>
          </w:p>
        </w:tc>
        <w:tc>
          <w:tcPr>
            <w:tcW w:w="280" w:type="dxa"/>
            <w:vAlign w:val="bottom"/>
            <w:vMerge w:val="continue"/>
            <w:shd w:val="clear" w:color="auto" w:fill="CCEEFF"/>
          </w:tcPr>
          <w:p>
            <w:pPr>
              <w:spacing w:after="0"/>
              <w:rPr>
                <w:sz w:val="9"/>
                <w:szCs w:val="9"/>
                <w:color w:val="auto"/>
              </w:rPr>
            </w:pPr>
          </w:p>
        </w:tc>
        <w:tc>
          <w:tcPr>
            <w:tcW w:w="200" w:type="dxa"/>
            <w:vAlign w:val="bottom"/>
            <w:vMerge w:val="continue"/>
            <w:shd w:val="clear" w:color="auto" w:fill="CCEEFF"/>
          </w:tcPr>
          <w:p>
            <w:pPr>
              <w:spacing w:after="0"/>
              <w:rPr>
                <w:sz w:val="9"/>
                <w:szCs w:val="9"/>
                <w:color w:val="auto"/>
              </w:rPr>
            </w:pPr>
          </w:p>
        </w:tc>
        <w:tc>
          <w:tcPr>
            <w:tcW w:w="840" w:type="dxa"/>
            <w:vAlign w:val="bottom"/>
            <w:gridSpan w:val="2"/>
            <w:shd w:val="clear" w:color="auto" w:fill="CCEEFF"/>
          </w:tcPr>
          <w:p>
            <w:pPr>
              <w:jc w:val="right"/>
              <w:ind w:right="180"/>
              <w:spacing w:after="0" w:line="104" w:lineRule="exact"/>
              <w:rPr>
                <w:sz w:val="20"/>
                <w:szCs w:val="20"/>
                <w:color w:val="auto"/>
              </w:rPr>
            </w:pPr>
            <w:r>
              <w:rPr>
                <w:rFonts w:ascii="Times New Roman" w:cs="Times New Roman" w:eastAsia="Times New Roman" w:hAnsi="Times New Roman"/>
                <w:sz w:val="11"/>
                <w:szCs w:val="11"/>
                <w:color w:val="auto"/>
              </w:rPr>
              <w:t>0.350%</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1"/>
                <w:szCs w:val="11"/>
                <w:color w:val="auto"/>
              </w:rPr>
              <w:t>99.586%</w:t>
            </w:r>
          </w:p>
        </w:tc>
        <w:tc>
          <w:tcPr>
            <w:tcW w:w="1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74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Per 2034 note</w:t>
            </w:r>
          </w:p>
        </w:tc>
        <w:tc>
          <w:tcPr>
            <w:tcW w:w="1140" w:type="dxa"/>
            <w:vAlign w:val="bottom"/>
          </w:tcPr>
          <w:p>
            <w:pPr>
              <w:spacing w:after="0"/>
              <w:rPr>
                <w:sz w:val="9"/>
                <w:szCs w:val="9"/>
                <w:color w:val="auto"/>
              </w:rPr>
            </w:pPr>
          </w:p>
        </w:tc>
        <w:tc>
          <w:tcPr>
            <w:tcW w:w="96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1"/>
                <w:szCs w:val="11"/>
                <w:color w:val="auto"/>
              </w:rPr>
              <w:t>99.654%</w:t>
            </w:r>
          </w:p>
        </w:tc>
        <w:tc>
          <w:tcPr>
            <w:tcW w:w="1040" w:type="dxa"/>
            <w:vAlign w:val="bottom"/>
            <w:gridSpan w:val="3"/>
          </w:tcPr>
          <w:p>
            <w:pPr>
              <w:jc w:val="right"/>
              <w:ind w:right="180"/>
              <w:spacing w:after="0" w:line="114" w:lineRule="exact"/>
              <w:rPr>
                <w:sz w:val="20"/>
                <w:szCs w:val="20"/>
                <w:color w:val="auto"/>
              </w:rPr>
            </w:pPr>
            <w:r>
              <w:rPr>
                <w:rFonts w:ascii="Times New Roman" w:cs="Times New Roman" w:eastAsia="Times New Roman" w:hAnsi="Times New Roman"/>
                <w:sz w:val="11"/>
                <w:szCs w:val="11"/>
                <w:color w:val="auto"/>
              </w:rPr>
              <w:t>0.550%</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1"/>
                <w:szCs w:val="11"/>
                <w:color w:val="auto"/>
              </w:rPr>
              <w:t>99.104%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vMerge w:val="continue"/>
          </w:tcPr>
          <w:p>
            <w:pPr>
              <w:spacing w:after="0"/>
              <w:rPr>
                <w:sz w:val="9"/>
                <w:szCs w:val="9"/>
                <w:color w:val="auto"/>
              </w:rPr>
            </w:pPr>
          </w:p>
        </w:tc>
        <w:tc>
          <w:tcPr>
            <w:tcW w:w="174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Total</w:t>
            </w:r>
          </w:p>
        </w:tc>
        <w:tc>
          <w:tcPr>
            <w:tcW w:w="2100" w:type="dxa"/>
            <w:vAlign w:val="bottom"/>
            <w:gridSpan w:val="3"/>
            <w:shd w:val="clear" w:color="auto" w:fill="CCEEFF"/>
          </w:tcPr>
          <w:p>
            <w:pPr>
              <w:jc w:val="right"/>
              <w:ind w:right="280"/>
              <w:spacing w:after="0" w:line="114" w:lineRule="exact"/>
              <w:rPr>
                <w:sz w:val="20"/>
                <w:szCs w:val="20"/>
                <w:color w:val="auto"/>
              </w:rPr>
            </w:pPr>
            <w:r>
              <w:rPr>
                <w:rFonts w:ascii="Times New Roman" w:cs="Times New Roman" w:eastAsia="Times New Roman" w:hAnsi="Times New Roman"/>
                <w:sz w:val="11"/>
                <w:szCs w:val="11"/>
                <w:color w:val="auto"/>
              </w:rPr>
              <w:t>€  997,950,000</w:t>
            </w:r>
          </w:p>
        </w:tc>
        <w:tc>
          <w:tcPr>
            <w:tcW w:w="1040" w:type="dxa"/>
            <w:vAlign w:val="bottom"/>
            <w:gridSpan w:val="3"/>
            <w:shd w:val="clear" w:color="auto" w:fill="CCEEFF"/>
          </w:tcPr>
          <w:p>
            <w:pPr>
              <w:jc w:val="right"/>
              <w:ind w:right="280"/>
              <w:spacing w:after="0" w:line="114" w:lineRule="exact"/>
              <w:rPr>
                <w:sz w:val="20"/>
                <w:szCs w:val="20"/>
                <w:color w:val="auto"/>
              </w:rPr>
            </w:pPr>
            <w:r>
              <w:rPr>
                <w:rFonts w:ascii="Times New Roman" w:cs="Times New Roman" w:eastAsia="Times New Roman" w:hAnsi="Times New Roman"/>
                <w:sz w:val="11"/>
                <w:szCs w:val="11"/>
                <w:color w:val="auto"/>
              </w:rPr>
              <w:t>€ 4,500,000</w:t>
            </w:r>
          </w:p>
        </w:tc>
        <w:tc>
          <w:tcPr>
            <w:tcW w:w="300" w:type="dxa"/>
            <w:vAlign w:val="bottom"/>
            <w:gridSpan w:val="2"/>
            <w:shd w:val="clear" w:color="auto" w:fill="CCEEFF"/>
          </w:tcPr>
          <w:p>
            <w:pPr>
              <w:ind w:left="200"/>
              <w:spacing w:after="0" w:line="114"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993,450,000</w:t>
            </w: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1236345</wp:posOffset>
            </wp:positionH>
            <wp:positionV relativeFrom="paragraph">
              <wp:posOffset>72390</wp:posOffset>
            </wp:positionV>
            <wp:extent cx="51879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8795" cy="6350"/>
                    </a:xfrm>
                    <a:prstGeom prst="rect">
                      <a:avLst/>
                    </a:prstGeom>
                    <a:noFill/>
                  </pic:spPr>
                </pic:pic>
              </a:graphicData>
            </a:graphic>
          </wp:anchor>
        </w:drawing>
      </w:r>
    </w:p>
    <w:p>
      <w:pPr>
        <w:spacing w:after="0" w:line="108" w:lineRule="exact"/>
        <w:rPr>
          <w:sz w:val="24"/>
          <w:szCs w:val="24"/>
          <w:color w:val="auto"/>
        </w:rPr>
      </w:pPr>
    </w:p>
    <w:p>
      <w:pPr>
        <w:ind w:left="2240" w:hanging="291"/>
        <w:spacing w:after="0"/>
        <w:tabs>
          <w:tab w:leader="none" w:pos="224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Plus accrued interest if any, from June 23, 2026, if settlement occurs after that date.</w:t>
      </w:r>
    </w:p>
    <w:p>
      <w:pPr>
        <w:spacing w:after="0" w:line="29" w:lineRule="exact"/>
        <w:rPr>
          <w:sz w:val="24"/>
          <w:szCs w:val="24"/>
          <w:color w:val="auto"/>
        </w:rPr>
      </w:pPr>
    </w:p>
    <w:p>
      <w:pPr>
        <w:ind w:left="1940" w:right="1159" w:firstLine="295"/>
        <w:spacing w:after="0" w:line="229" w:lineRule="auto"/>
        <w:rPr>
          <w:sz w:val="20"/>
          <w:szCs w:val="20"/>
          <w:color w:val="auto"/>
        </w:rPr>
      </w:pPr>
      <w:r>
        <w:rPr>
          <w:rFonts w:ascii="Times New Roman" w:cs="Times New Roman" w:eastAsia="Times New Roman" w:hAnsi="Times New Roman"/>
          <w:sz w:val="11"/>
          <w:szCs w:val="11"/>
          <w:color w:val="auto"/>
        </w:rPr>
        <w:t>We expect to deliver the notes to investors in registered book-entry only form through Euroclear Bank S.A./N.V., as operator of the Euroclear System (“Euroclear”) and Clearstream Banking S.A. (“Clearstream” and, together with Euroclear, the “ICSDs” and each, an “ICSD”), on or about June 23, 2026. Upon issuance, the notes will be represented by one or more global notes in fully registered form (“global notes”), which are expected to be deposited with a common depositary for Euroclear and Clearstream and registered in the name of a nominee of the common depositary.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3088005</wp:posOffset>
            </wp:positionH>
            <wp:positionV relativeFrom="paragraph">
              <wp:posOffset>85090</wp:posOffset>
            </wp:positionV>
            <wp:extent cx="99187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91870" cy="6350"/>
                    </a:xfrm>
                    <a:prstGeom prst="rect">
                      <a:avLst/>
                    </a:prstGeom>
                    <a:noFill/>
                  </pic:spPr>
                </pic:pic>
              </a:graphicData>
            </a:graphic>
          </wp:anchor>
        </w:drawing>
      </w:r>
    </w:p>
    <w:p>
      <w:pPr>
        <w:spacing w:after="0" w:line="147" w:lineRule="exact"/>
        <w:rPr>
          <w:sz w:val="24"/>
          <w:szCs w:val="24"/>
          <w:color w:val="auto"/>
        </w:rPr>
      </w:pPr>
    </w:p>
    <w:tbl>
      <w:tblPr>
        <w:tblLayout w:type="fixed"/>
        <w:tblInd w:w="1960" w:type="dxa"/>
        <w:tblCellMar>
          <w:top w:w="0" w:type="dxa"/>
          <w:left w:w="0" w:type="dxa"/>
          <w:bottom w:w="0" w:type="dxa"/>
          <w:right w:w="0" w:type="dxa"/>
        </w:tblCellMar>
      </w:tblPr>
      <w:tr>
        <w:trPr>
          <w:trHeight w:val="144"/>
        </w:trPr>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540" w:type="dxa"/>
            <w:vAlign w:val="bottom"/>
            <w:gridSpan w:val="2"/>
          </w:tcPr>
          <w:p>
            <w:pPr>
              <w:jc w:val="center"/>
              <w:ind w:left="233"/>
              <w:spacing w:after="0"/>
              <w:rPr>
                <w:sz w:val="20"/>
                <w:szCs w:val="20"/>
                <w:color w:val="auto"/>
              </w:rPr>
            </w:pPr>
            <w:r>
              <w:rPr>
                <w:rFonts w:ascii="Times New Roman" w:cs="Times New Roman" w:eastAsia="Times New Roman" w:hAnsi="Times New Roman"/>
                <w:sz w:val="11"/>
                <w:szCs w:val="11"/>
                <w:i w:val="1"/>
                <w:iCs w:val="1"/>
                <w:color w:val="auto"/>
              </w:rPr>
              <w:t>Joint Book-Running Managers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50"/>
        </w:trPr>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Citigroup</w:t>
            </w:r>
          </w:p>
        </w:tc>
        <w:tc>
          <w:tcPr>
            <w:tcW w:w="680" w:type="dxa"/>
            <w:vAlign w:val="bottom"/>
          </w:tcPr>
          <w:p>
            <w:pPr>
              <w:spacing w:after="0"/>
              <w:rPr>
                <w:sz w:val="21"/>
                <w:szCs w:val="21"/>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J.P. Morgan</w:t>
            </w: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TD Securities</w:t>
            </w:r>
          </w:p>
        </w:tc>
        <w:tc>
          <w:tcPr>
            <w:tcW w:w="240" w:type="dxa"/>
            <w:vAlign w:val="bottom"/>
          </w:tcPr>
          <w:p>
            <w:pPr>
              <w:spacing w:after="0"/>
              <w:rPr>
                <w:sz w:val="21"/>
                <w:szCs w:val="21"/>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Wells Fargo Securities</w:t>
            </w:r>
          </w:p>
        </w:tc>
      </w:tr>
      <w:tr>
        <w:trPr>
          <w:trHeight w:val="248"/>
        </w:trPr>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BofA Securities</w:t>
            </w:r>
          </w:p>
        </w:tc>
        <w:tc>
          <w:tcPr>
            <w:tcW w:w="6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MUFG</w:t>
            </w:r>
          </w:p>
        </w:tc>
        <w:tc>
          <w:tcPr>
            <w:tcW w:w="20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PNC Capital Markets LLC</w:t>
            </w:r>
          </w:p>
        </w:tc>
        <w:tc>
          <w:tcPr>
            <w:tcW w:w="15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Truist Securities</w:t>
            </w:r>
          </w:p>
        </w:tc>
        <w:tc>
          <w:tcPr>
            <w:tcW w:w="240" w:type="dxa"/>
            <w:vAlign w:val="bottom"/>
          </w:tcPr>
          <w:p>
            <w:pPr>
              <w:spacing w:after="0"/>
              <w:rPr>
                <w:sz w:val="21"/>
                <w:szCs w:val="21"/>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US Bancorp</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Santander</w:t>
            </w:r>
          </w:p>
        </w:tc>
      </w:tr>
      <w:tr>
        <w:trPr>
          <w:trHeight w:val="164"/>
        </w:trPr>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540" w:type="dxa"/>
            <w:vAlign w:val="bottom"/>
            <w:gridSpan w:val="2"/>
          </w:tcPr>
          <w:p>
            <w:pPr>
              <w:jc w:val="center"/>
              <w:ind w:left="253"/>
              <w:spacing w:after="0"/>
              <w:rPr>
                <w:sz w:val="20"/>
                <w:szCs w:val="20"/>
                <w:color w:val="auto"/>
              </w:rPr>
            </w:pPr>
            <w:r>
              <w:rPr>
                <w:rFonts w:ascii="Times New Roman" w:cs="Times New Roman" w:eastAsia="Times New Roman" w:hAnsi="Times New Roman"/>
                <w:sz w:val="11"/>
                <w:szCs w:val="11"/>
                <w:i w:val="1"/>
                <w:iCs w:val="1"/>
                <w:color w:val="auto"/>
              </w:rPr>
              <w:t>Co-Managers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3"/>
        </w:trPr>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BBVA</w:t>
            </w:r>
          </w:p>
        </w:tc>
        <w:tc>
          <w:tcPr>
            <w:tcW w:w="27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Capital One Securities</w:t>
            </w: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Citizens Capital Markets</w:t>
            </w:r>
          </w:p>
        </w:tc>
        <w:tc>
          <w:tcPr>
            <w:tcW w:w="9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Deutsche Bank</w:t>
            </w:r>
          </w:p>
        </w:tc>
      </w:tr>
      <w:tr>
        <w:trPr>
          <w:trHeight w:val="165"/>
        </w:trPr>
        <w:tc>
          <w:tcPr>
            <w:tcW w:w="1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Fifth Third Securities</w:t>
            </w:r>
          </w:p>
        </w:tc>
        <w:tc>
          <w:tcPr>
            <w:tcW w:w="20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Lloyds Securities</w:t>
            </w:r>
          </w:p>
        </w:tc>
        <w:tc>
          <w:tcPr>
            <w:tcW w:w="15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NatWest</w:t>
            </w: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Scotiabank</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UniCredit</w:t>
            </w:r>
          </w:p>
        </w:tc>
      </w:tr>
      <w:tr>
        <w:trPr>
          <w:trHeight w:val="165"/>
        </w:trPr>
        <w:tc>
          <w:tcPr>
            <w:tcW w:w="1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Huntington Capital Markets</w:t>
            </w:r>
          </w:p>
        </w:tc>
        <w:tc>
          <w:tcPr>
            <w:tcW w:w="3540" w:type="dxa"/>
            <w:vAlign w:val="bottom"/>
            <w:gridSpan w:val="2"/>
          </w:tcPr>
          <w:p>
            <w:pPr>
              <w:ind w:left="1320"/>
              <w:spacing w:after="0"/>
              <w:rPr>
                <w:sz w:val="20"/>
                <w:szCs w:val="20"/>
                <w:color w:val="auto"/>
              </w:rPr>
            </w:pPr>
            <w:r>
              <w:rPr>
                <w:rFonts w:ascii="Times New Roman" w:cs="Times New Roman" w:eastAsia="Times New Roman" w:hAnsi="Times New Roman"/>
                <w:sz w:val="14"/>
                <w:szCs w:val="14"/>
                <w:b w:val="1"/>
                <w:bCs w:val="1"/>
                <w:color w:val="auto"/>
              </w:rPr>
              <w:t>KeyBanc Capital Markets</w:t>
            </w:r>
          </w:p>
        </w:tc>
        <w:tc>
          <w:tcPr>
            <w:tcW w:w="24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Regions Securities LLC</w:t>
            </w:r>
          </w:p>
        </w:tc>
      </w:tr>
      <w:tr>
        <w:trPr>
          <w:trHeight w:val="191"/>
        </w:trPr>
        <w:tc>
          <w:tcPr>
            <w:tcW w:w="3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FNB America Securities LLC</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Siebert Williams Shank</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3088005</wp:posOffset>
            </wp:positionH>
            <wp:positionV relativeFrom="paragraph">
              <wp:posOffset>50800</wp:posOffset>
            </wp:positionV>
            <wp:extent cx="99187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91870" cy="6350"/>
                    </a:xfrm>
                    <a:prstGeom prst="rect">
                      <a:avLst/>
                    </a:prstGeom>
                    <a:noFill/>
                  </pic:spPr>
                </pic:pic>
              </a:graphicData>
            </a:graphic>
          </wp:anchor>
        </w:drawing>
      </w:r>
    </w:p>
    <w:p>
      <w:pPr>
        <w:spacing w:after="0" w:line="134"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1"/>
          <w:szCs w:val="11"/>
          <w:b w:val="1"/>
          <w:bCs w:val="1"/>
          <w:color w:val="auto"/>
        </w:rPr>
        <w:t>The date of this prospectus supplement is June 16, 2026.</w:t>
      </w:r>
    </w:p>
    <w:p>
      <w:pPr>
        <w:sectPr>
          <w:pgSz w:w="11900" w:h="16838" w:orient="portrait"/>
          <w:cols w:equalWidth="0" w:num="1">
            <w:col w:w="10159"/>
          </w:cols>
          <w:pgMar w:left="300" w:top="20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tbl>
      <w:tblPr>
        <w:tblLayout w:type="fixed"/>
        <w:tblInd w:w="1420" w:type="dxa"/>
        <w:tblCellMar>
          <w:top w:w="0" w:type="dxa"/>
          <w:left w:w="0" w:type="dxa"/>
          <w:bottom w:w="0" w:type="dxa"/>
          <w:right w:w="0" w:type="dxa"/>
        </w:tblCellMar>
      </w:tblPr>
      <w:tr>
        <w:trPr>
          <w:trHeight w:val="183"/>
        </w:trPr>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18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8100" w:type="dxa"/>
            <w:vAlign w:val="bottom"/>
            <w:gridSpan w:val="26"/>
          </w:tcPr>
          <w:p>
            <w:pPr>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11"/>
                <w:szCs w:val="11"/>
                <w:b w:val="1"/>
                <w:bCs w:val="1"/>
                <w:color w:val="auto"/>
              </w:rPr>
              <w:t>ROSPECTUS</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11"/>
                <w:szCs w:val="11"/>
                <w:b w:val="1"/>
                <w:bCs w:val="1"/>
                <w:color w:val="auto"/>
              </w:rPr>
              <w:t>UPPLEMENT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660" w:type="dxa"/>
            <w:vAlign w:val="bottom"/>
            <w:gridSpan w:val="20"/>
            <w:vMerge w:val="restart"/>
          </w:tcPr>
          <w:p>
            <w:pPr>
              <w:spacing w:after="0"/>
              <w:rPr>
                <w:sz w:val="20"/>
                <w:szCs w:val="20"/>
                <w:color w:val="auto"/>
              </w:rPr>
            </w:pPr>
            <w:r>
              <w:rPr>
                <w:rFonts w:ascii="Times New Roman" w:cs="Times New Roman" w:eastAsia="Times New Roman" w:hAnsi="Times New Roman"/>
                <w:sz w:val="14"/>
                <w:szCs w:val="14"/>
                <w:color w:val="0000EE"/>
                <w:w w:val="98"/>
              </w:rPr>
              <w:t>ABOUT THIS PROSPECTUS SUPPLEMENT</w:t>
            </w:r>
          </w:p>
        </w:tc>
        <w:tc>
          <w:tcPr>
            <w:tcW w:w="5440" w:type="dxa"/>
            <w:vAlign w:val="bottom"/>
            <w:gridSpan w:val="6"/>
            <w:vMerge w:val="restart"/>
          </w:tcPr>
          <w:p>
            <w:pPr>
              <w:spacing w:after="0"/>
              <w:rPr>
                <w:sz w:val="24"/>
                <w:szCs w:val="24"/>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19"/>
        </w:trPr>
        <w:tc>
          <w:tcPr>
            <w:tcW w:w="2660" w:type="dxa"/>
            <w:vAlign w:val="bottom"/>
            <w:tcBorders>
              <w:bottom w:val="single" w:sz="8" w:color="0000EE"/>
            </w:tcBorders>
            <w:gridSpan w:val="20"/>
            <w:vMerge w:val="continue"/>
          </w:tcPr>
          <w:p>
            <w:pPr>
              <w:spacing w:after="0"/>
              <w:rPr>
                <w:sz w:val="9"/>
                <w:szCs w:val="9"/>
                <w:color w:val="auto"/>
              </w:rPr>
            </w:pPr>
          </w:p>
        </w:tc>
        <w:tc>
          <w:tcPr>
            <w:tcW w:w="544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jc w:val="right"/>
              <w:spacing w:after="0" w:line="104" w:lineRule="exact"/>
              <w:rPr>
                <w:sz w:val="20"/>
                <w:szCs w:val="20"/>
                <w:color w:val="auto"/>
              </w:rPr>
            </w:pPr>
            <w:r>
              <w:rPr>
                <w:rFonts w:ascii="Times New Roman" w:cs="Times New Roman" w:eastAsia="Times New Roman" w:hAnsi="Times New Roman"/>
                <w:sz w:val="11"/>
                <w:szCs w:val="11"/>
                <w:color w:val="auto"/>
              </w:rPr>
              <w:t>S-ii</w:t>
            </w:r>
          </w:p>
        </w:tc>
        <w:tc>
          <w:tcPr>
            <w:tcW w:w="0" w:type="dxa"/>
            <w:vAlign w:val="bottom"/>
          </w:tcPr>
          <w:p>
            <w:pPr>
              <w:spacing w:after="0"/>
              <w:rPr>
                <w:sz w:val="1"/>
                <w:szCs w:val="1"/>
                <w:color w:val="auto"/>
              </w:rPr>
            </w:pPr>
          </w:p>
        </w:tc>
      </w:tr>
      <w:tr>
        <w:trPr>
          <w:trHeight w:val="156"/>
        </w:trPr>
        <w:tc>
          <w:tcPr>
            <w:tcW w:w="8100" w:type="dxa"/>
            <w:vAlign w:val="bottom"/>
            <w:gridSpan w:val="26"/>
          </w:tcPr>
          <w:p>
            <w:pPr>
              <w:spacing w:after="0" w:line="156"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30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S-iv</w:t>
            </w:r>
          </w:p>
        </w:tc>
        <w:tc>
          <w:tcPr>
            <w:tcW w:w="0" w:type="dxa"/>
            <w:vAlign w:val="bottom"/>
          </w:tcPr>
          <w:p>
            <w:pPr>
              <w:spacing w:after="0"/>
              <w:rPr>
                <w:sz w:val="1"/>
                <w:szCs w:val="1"/>
                <w:color w:val="auto"/>
              </w:rPr>
            </w:pPr>
          </w:p>
        </w:tc>
      </w:tr>
      <w:tr>
        <w:trPr>
          <w:trHeight w:val="145"/>
        </w:trPr>
        <w:tc>
          <w:tcPr>
            <w:tcW w:w="2920" w:type="dxa"/>
            <w:vAlign w:val="bottom"/>
            <w:tcBorders>
              <w:top w:val="single" w:sz="8" w:color="0000EE"/>
            </w:tcBorders>
            <w:gridSpan w:val="23"/>
          </w:tcPr>
          <w:p>
            <w:pPr>
              <w:spacing w:after="0" w:line="145" w:lineRule="exact"/>
              <w:rPr>
                <w:sz w:val="20"/>
                <w:szCs w:val="20"/>
                <w:color w:val="auto"/>
              </w:rPr>
            </w:pPr>
            <w:r>
              <w:rPr>
                <w:rFonts w:ascii="Times New Roman" w:cs="Times New Roman" w:eastAsia="Times New Roman" w:hAnsi="Times New Roman"/>
                <w:sz w:val="14"/>
                <w:szCs w:val="14"/>
                <w:color w:val="0000EE"/>
              </w:rPr>
              <w:t>FORWARD-LOOKING STATEMENTS</w:t>
            </w:r>
          </w:p>
        </w:tc>
        <w:tc>
          <w:tcPr>
            <w:tcW w:w="518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S-v</w:t>
            </w:r>
          </w:p>
        </w:tc>
        <w:tc>
          <w:tcPr>
            <w:tcW w:w="0" w:type="dxa"/>
            <w:vAlign w:val="bottom"/>
          </w:tcPr>
          <w:p>
            <w:pPr>
              <w:spacing w:after="0"/>
              <w:rPr>
                <w:sz w:val="1"/>
                <w:szCs w:val="1"/>
                <w:color w:val="auto"/>
              </w:rPr>
            </w:pPr>
          </w:p>
        </w:tc>
      </w:tr>
      <w:tr>
        <w:trPr>
          <w:trHeight w:val="145"/>
        </w:trPr>
        <w:tc>
          <w:tcPr>
            <w:tcW w:w="2240" w:type="dxa"/>
            <w:vAlign w:val="bottom"/>
            <w:tcBorders>
              <w:top w:val="single" w:sz="8" w:color="0000EE"/>
            </w:tcBorders>
            <w:gridSpan w:val="17"/>
          </w:tcPr>
          <w:p>
            <w:pPr>
              <w:spacing w:after="0" w:line="145" w:lineRule="exact"/>
              <w:rPr>
                <w:sz w:val="20"/>
                <w:szCs w:val="20"/>
                <w:color w:val="auto"/>
              </w:rPr>
            </w:pPr>
            <w:r>
              <w:rPr>
                <w:rFonts w:ascii="Times New Roman" w:cs="Times New Roman" w:eastAsia="Times New Roman" w:hAnsi="Times New Roman"/>
                <w:sz w:val="14"/>
                <w:szCs w:val="14"/>
                <w:color w:val="0000EE"/>
              </w:rPr>
              <w:t>SUMMARY</w:t>
            </w:r>
          </w:p>
        </w:tc>
        <w:tc>
          <w:tcPr>
            <w:tcW w:w="5860" w:type="dxa"/>
            <w:vAlign w:val="bottom"/>
            <w:gridSpan w:val="9"/>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S-1</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980" w:type="dxa"/>
            <w:vAlign w:val="bottom"/>
            <w:tcBorders>
              <w:bottom w:val="single" w:sz="8" w:color="0000EE"/>
            </w:tcBorders>
            <w:gridSpan w:val="5"/>
          </w:tcPr>
          <w:p>
            <w:pPr>
              <w:spacing w:after="0" w:line="145" w:lineRule="exact"/>
              <w:rPr>
                <w:sz w:val="20"/>
                <w:szCs w:val="20"/>
                <w:color w:val="auto"/>
              </w:rPr>
            </w:pPr>
            <w:r>
              <w:rPr>
                <w:rFonts w:ascii="Times New Roman" w:cs="Times New Roman" w:eastAsia="Times New Roman" w:hAnsi="Times New Roman"/>
                <w:sz w:val="14"/>
                <w:szCs w:val="14"/>
                <w:color w:val="0000EE"/>
                <w:w w:val="97"/>
              </w:rPr>
              <w:t>RISK FACTORS</w:t>
            </w:r>
          </w:p>
        </w:tc>
        <w:tc>
          <w:tcPr>
            <w:tcW w:w="7120" w:type="dxa"/>
            <w:vAlign w:val="bottom"/>
            <w:gridSpan w:val="21"/>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S-8</w:t>
            </w:r>
          </w:p>
        </w:tc>
        <w:tc>
          <w:tcPr>
            <w:tcW w:w="0" w:type="dxa"/>
            <w:vAlign w:val="bottom"/>
          </w:tcPr>
          <w:p>
            <w:pPr>
              <w:spacing w:after="0"/>
              <w:rPr>
                <w:sz w:val="1"/>
                <w:szCs w:val="1"/>
                <w:color w:val="auto"/>
              </w:rPr>
            </w:pPr>
          </w:p>
        </w:tc>
      </w:tr>
      <w:tr>
        <w:trPr>
          <w:trHeight w:val="145"/>
        </w:trPr>
        <w:tc>
          <w:tcPr>
            <w:tcW w:w="8100" w:type="dxa"/>
            <w:vAlign w:val="bottom"/>
            <w:gridSpan w:val="26"/>
          </w:tcPr>
          <w:p>
            <w:pPr>
              <w:spacing w:after="0" w:line="145" w:lineRule="exact"/>
              <w:rPr>
                <w:sz w:val="20"/>
                <w:szCs w:val="20"/>
                <w:color w:val="auto"/>
              </w:rPr>
            </w:pPr>
            <w:r>
              <w:rPr>
                <w:rFonts w:ascii="Times New Roman" w:cs="Times New Roman" w:eastAsia="Times New Roman" w:hAnsi="Times New Roman"/>
                <w:sz w:val="14"/>
                <w:szCs w:val="14"/>
                <w:color w:val="0000EE"/>
              </w:rPr>
              <w:t>ISSUANCE IN EURO</w:t>
            </w:r>
          </w:p>
        </w:tc>
        <w:tc>
          <w:tcPr>
            <w:tcW w:w="3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S-13</w:t>
            </w:r>
          </w:p>
        </w:tc>
        <w:tc>
          <w:tcPr>
            <w:tcW w:w="0" w:type="dxa"/>
            <w:vAlign w:val="bottom"/>
          </w:tcPr>
          <w:p>
            <w:pPr>
              <w:spacing w:after="0"/>
              <w:rPr>
                <w:sz w:val="1"/>
                <w:szCs w:val="1"/>
                <w:color w:val="auto"/>
              </w:rPr>
            </w:pPr>
          </w:p>
        </w:tc>
      </w:tr>
      <w:tr>
        <w:trPr>
          <w:trHeight w:val="145"/>
        </w:trPr>
        <w:tc>
          <w:tcPr>
            <w:tcW w:w="1220" w:type="dxa"/>
            <w:vAlign w:val="bottom"/>
            <w:tcBorders>
              <w:top w:val="single" w:sz="8" w:color="0000EE"/>
              <w:bottom w:val="single" w:sz="8" w:color="0000EE"/>
            </w:tcBorders>
            <w:gridSpan w:val="8"/>
          </w:tcPr>
          <w:p>
            <w:pPr>
              <w:spacing w:after="0" w:line="145" w:lineRule="exact"/>
              <w:rPr>
                <w:sz w:val="20"/>
                <w:szCs w:val="20"/>
                <w:color w:val="auto"/>
              </w:rPr>
            </w:pPr>
            <w:r>
              <w:rPr>
                <w:rFonts w:ascii="Times New Roman" w:cs="Times New Roman" w:eastAsia="Times New Roman" w:hAnsi="Times New Roman"/>
                <w:sz w:val="14"/>
                <w:szCs w:val="14"/>
                <w:color w:val="0000EE"/>
                <w:w w:val="97"/>
              </w:rPr>
              <w:t>USE OF PROCEEDS</w:t>
            </w:r>
          </w:p>
        </w:tc>
        <w:tc>
          <w:tcPr>
            <w:tcW w:w="40" w:type="dxa"/>
            <w:vAlign w:val="bottom"/>
            <w:tcBorders>
              <w:top w:val="single" w:sz="8" w:color="0000EE"/>
            </w:tcBorders>
          </w:tcPr>
          <w:p>
            <w:pPr>
              <w:spacing w:after="0"/>
              <w:rPr>
                <w:sz w:val="12"/>
                <w:szCs w:val="12"/>
                <w:color w:val="auto"/>
              </w:rPr>
            </w:pPr>
          </w:p>
        </w:tc>
        <w:tc>
          <w:tcPr>
            <w:tcW w:w="6840" w:type="dxa"/>
            <w:vAlign w:val="bottom"/>
            <w:gridSpan w:val="17"/>
          </w:tcPr>
          <w:p>
            <w:pPr>
              <w:spacing w:after="0"/>
              <w:rPr>
                <w:sz w:val="12"/>
                <w:szCs w:val="12"/>
                <w:color w:val="auto"/>
              </w:rPr>
            </w:pPr>
          </w:p>
        </w:tc>
        <w:tc>
          <w:tcPr>
            <w:tcW w:w="3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S-14</w:t>
            </w:r>
          </w:p>
        </w:tc>
        <w:tc>
          <w:tcPr>
            <w:tcW w:w="0" w:type="dxa"/>
            <w:vAlign w:val="bottom"/>
          </w:tcPr>
          <w:p>
            <w:pPr>
              <w:spacing w:after="0"/>
              <w:rPr>
                <w:sz w:val="1"/>
                <w:szCs w:val="1"/>
                <w:color w:val="auto"/>
              </w:rPr>
            </w:pPr>
          </w:p>
        </w:tc>
      </w:tr>
      <w:tr>
        <w:trPr>
          <w:trHeight w:val="145"/>
        </w:trPr>
        <w:tc>
          <w:tcPr>
            <w:tcW w:w="1140" w:type="dxa"/>
            <w:vAlign w:val="bottom"/>
            <w:tcBorders>
              <w:bottom w:val="single" w:sz="8" w:color="0000EE"/>
            </w:tcBorders>
            <w:gridSpan w:val="7"/>
          </w:tcPr>
          <w:p>
            <w:pPr>
              <w:spacing w:after="0" w:line="145" w:lineRule="exact"/>
              <w:rPr>
                <w:sz w:val="20"/>
                <w:szCs w:val="20"/>
                <w:color w:val="auto"/>
              </w:rPr>
            </w:pPr>
            <w:r>
              <w:rPr>
                <w:rFonts w:ascii="Times New Roman" w:cs="Times New Roman" w:eastAsia="Times New Roman" w:hAnsi="Times New Roman"/>
                <w:sz w:val="14"/>
                <w:szCs w:val="14"/>
                <w:color w:val="0000EE"/>
                <w:w w:val="96"/>
              </w:rPr>
              <w:t>CAPITALIZATION</w:t>
            </w:r>
          </w:p>
        </w:tc>
        <w:tc>
          <w:tcPr>
            <w:tcW w:w="6960" w:type="dxa"/>
            <w:vAlign w:val="bottom"/>
            <w:gridSpan w:val="19"/>
          </w:tcPr>
          <w:p>
            <w:pPr>
              <w:spacing w:after="0"/>
              <w:rPr>
                <w:sz w:val="12"/>
                <w:szCs w:val="12"/>
                <w:color w:val="auto"/>
              </w:rPr>
            </w:pPr>
          </w:p>
        </w:tc>
        <w:tc>
          <w:tcPr>
            <w:tcW w:w="3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S-15</w:t>
            </w:r>
          </w:p>
        </w:tc>
        <w:tc>
          <w:tcPr>
            <w:tcW w:w="0" w:type="dxa"/>
            <w:vAlign w:val="bottom"/>
          </w:tcPr>
          <w:p>
            <w:pPr>
              <w:spacing w:after="0"/>
              <w:rPr>
                <w:sz w:val="1"/>
                <w:szCs w:val="1"/>
                <w:color w:val="auto"/>
              </w:rPr>
            </w:pPr>
          </w:p>
        </w:tc>
      </w:tr>
      <w:tr>
        <w:trPr>
          <w:trHeight w:val="145"/>
        </w:trPr>
        <w:tc>
          <w:tcPr>
            <w:tcW w:w="1900" w:type="dxa"/>
            <w:vAlign w:val="bottom"/>
            <w:tcBorders>
              <w:bottom w:val="single" w:sz="8" w:color="0000EE"/>
            </w:tcBorders>
            <w:gridSpan w:val="15"/>
          </w:tcPr>
          <w:p>
            <w:pPr>
              <w:spacing w:after="0" w:line="145" w:lineRule="exact"/>
              <w:rPr>
                <w:sz w:val="20"/>
                <w:szCs w:val="20"/>
                <w:color w:val="auto"/>
              </w:rPr>
            </w:pPr>
            <w:r>
              <w:rPr>
                <w:rFonts w:ascii="Times New Roman" w:cs="Times New Roman" w:eastAsia="Times New Roman" w:hAnsi="Times New Roman"/>
                <w:sz w:val="14"/>
                <w:szCs w:val="14"/>
                <w:color w:val="0000EE"/>
                <w:w w:val="98"/>
              </w:rPr>
              <w:t>DESCRIPTION OF THE NOTES</w:t>
            </w:r>
          </w:p>
        </w:tc>
        <w:tc>
          <w:tcPr>
            <w:tcW w:w="6200" w:type="dxa"/>
            <w:vAlign w:val="bottom"/>
            <w:gridSpan w:val="11"/>
          </w:tcPr>
          <w:p>
            <w:pPr>
              <w:spacing w:after="0"/>
              <w:rPr>
                <w:sz w:val="12"/>
                <w:szCs w:val="12"/>
                <w:color w:val="auto"/>
              </w:rPr>
            </w:pPr>
          </w:p>
        </w:tc>
        <w:tc>
          <w:tcPr>
            <w:tcW w:w="3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S-17</w:t>
            </w:r>
          </w:p>
        </w:tc>
        <w:tc>
          <w:tcPr>
            <w:tcW w:w="0" w:type="dxa"/>
            <w:vAlign w:val="bottom"/>
          </w:tcPr>
          <w:p>
            <w:pPr>
              <w:spacing w:after="0"/>
              <w:rPr>
                <w:sz w:val="1"/>
                <w:szCs w:val="1"/>
                <w:color w:val="auto"/>
              </w:rPr>
            </w:pPr>
          </w:p>
        </w:tc>
      </w:tr>
      <w:tr>
        <w:trPr>
          <w:trHeight w:val="145"/>
        </w:trPr>
        <w:tc>
          <w:tcPr>
            <w:tcW w:w="3620" w:type="dxa"/>
            <w:vAlign w:val="bottom"/>
            <w:tcBorders>
              <w:bottom w:val="single" w:sz="8" w:color="0000EE"/>
            </w:tcBorders>
            <w:gridSpan w:val="24"/>
          </w:tcPr>
          <w:p>
            <w:pPr>
              <w:spacing w:after="0" w:line="145" w:lineRule="exact"/>
              <w:rPr>
                <w:sz w:val="20"/>
                <w:szCs w:val="20"/>
                <w:color w:val="auto"/>
              </w:rPr>
            </w:pPr>
            <w:r>
              <w:rPr>
                <w:rFonts w:ascii="Times New Roman" w:cs="Times New Roman" w:eastAsia="Times New Roman" w:hAnsi="Times New Roman"/>
                <w:sz w:val="14"/>
                <w:szCs w:val="14"/>
                <w:color w:val="0000EE"/>
                <w:w w:val="96"/>
              </w:rPr>
              <w:t>CERTAIN U.S. FEDERAL INCOME TAX CONSIDERATIONS</w:t>
            </w:r>
          </w:p>
        </w:tc>
        <w:tc>
          <w:tcPr>
            <w:tcW w:w="4480" w:type="dxa"/>
            <w:vAlign w:val="bottom"/>
            <w:gridSpan w:val="2"/>
          </w:tcPr>
          <w:p>
            <w:pPr>
              <w:spacing w:after="0"/>
              <w:rPr>
                <w:sz w:val="12"/>
                <w:szCs w:val="12"/>
                <w:color w:val="auto"/>
              </w:rPr>
            </w:pPr>
          </w:p>
        </w:tc>
        <w:tc>
          <w:tcPr>
            <w:tcW w:w="3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S-38</w:t>
            </w:r>
          </w:p>
        </w:tc>
        <w:tc>
          <w:tcPr>
            <w:tcW w:w="0" w:type="dxa"/>
            <w:vAlign w:val="bottom"/>
          </w:tcPr>
          <w:p>
            <w:pPr>
              <w:spacing w:after="0"/>
              <w:rPr>
                <w:sz w:val="1"/>
                <w:szCs w:val="1"/>
                <w:color w:val="auto"/>
              </w:rPr>
            </w:pPr>
          </w:p>
        </w:tc>
      </w:tr>
      <w:tr>
        <w:trPr>
          <w:trHeight w:val="145"/>
        </w:trPr>
        <w:tc>
          <w:tcPr>
            <w:tcW w:w="8100" w:type="dxa"/>
            <w:vAlign w:val="bottom"/>
            <w:gridSpan w:val="26"/>
          </w:tcPr>
          <w:p>
            <w:pPr>
              <w:spacing w:after="0" w:line="145" w:lineRule="exact"/>
              <w:rPr>
                <w:sz w:val="20"/>
                <w:szCs w:val="20"/>
                <w:color w:val="auto"/>
              </w:rPr>
            </w:pPr>
            <w:r>
              <w:rPr>
                <w:rFonts w:ascii="Times New Roman" w:cs="Times New Roman" w:eastAsia="Times New Roman" w:hAnsi="Times New Roman"/>
                <w:sz w:val="14"/>
                <w:szCs w:val="14"/>
                <w:color w:val="0000EE"/>
              </w:rPr>
              <w:t>UNDERWRITING (CONFLICTS OF INTEREST)</w:t>
            </w:r>
          </w:p>
        </w:tc>
        <w:tc>
          <w:tcPr>
            <w:tcW w:w="3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S-45</w:t>
            </w:r>
          </w:p>
        </w:tc>
        <w:tc>
          <w:tcPr>
            <w:tcW w:w="0" w:type="dxa"/>
            <w:vAlign w:val="bottom"/>
          </w:tcPr>
          <w:p>
            <w:pPr>
              <w:spacing w:after="0"/>
              <w:rPr>
                <w:sz w:val="1"/>
                <w:szCs w:val="1"/>
                <w:color w:val="auto"/>
              </w:rPr>
            </w:pPr>
          </w:p>
        </w:tc>
      </w:tr>
      <w:tr>
        <w:trPr>
          <w:trHeight w:val="145"/>
        </w:trPr>
        <w:tc>
          <w:tcPr>
            <w:tcW w:w="1640" w:type="dxa"/>
            <w:vAlign w:val="bottom"/>
            <w:tcBorders>
              <w:top w:val="single" w:sz="8" w:color="0000EE"/>
              <w:bottom w:val="single" w:sz="8" w:color="0000EE"/>
            </w:tcBorders>
            <w:gridSpan w:val="12"/>
          </w:tcPr>
          <w:p>
            <w:pPr>
              <w:spacing w:after="0" w:line="145" w:lineRule="exact"/>
              <w:rPr>
                <w:sz w:val="20"/>
                <w:szCs w:val="20"/>
                <w:color w:val="auto"/>
              </w:rPr>
            </w:pPr>
            <w:r>
              <w:rPr>
                <w:rFonts w:ascii="Times New Roman" w:cs="Times New Roman" w:eastAsia="Times New Roman" w:hAnsi="Times New Roman"/>
                <w:sz w:val="14"/>
                <w:szCs w:val="14"/>
                <w:color w:val="0000EE"/>
                <w:w w:val="96"/>
              </w:rPr>
              <w:t>VALIDITY OF THE NOTES</w:t>
            </w:r>
          </w:p>
        </w:tc>
        <w:tc>
          <w:tcPr>
            <w:tcW w:w="1200" w:type="dxa"/>
            <w:vAlign w:val="bottom"/>
            <w:tcBorders>
              <w:top w:val="single" w:sz="8" w:color="0000EE"/>
            </w:tcBorders>
            <w:gridSpan w:val="10"/>
          </w:tcPr>
          <w:p>
            <w:pPr>
              <w:spacing w:after="0"/>
              <w:rPr>
                <w:sz w:val="12"/>
                <w:szCs w:val="12"/>
                <w:color w:val="auto"/>
              </w:rPr>
            </w:pPr>
          </w:p>
        </w:tc>
        <w:tc>
          <w:tcPr>
            <w:tcW w:w="5260" w:type="dxa"/>
            <w:vAlign w:val="bottom"/>
            <w:gridSpan w:val="4"/>
          </w:tcPr>
          <w:p>
            <w:pPr>
              <w:spacing w:after="0"/>
              <w:rPr>
                <w:sz w:val="12"/>
                <w:szCs w:val="12"/>
                <w:color w:val="auto"/>
              </w:rPr>
            </w:pPr>
          </w:p>
        </w:tc>
        <w:tc>
          <w:tcPr>
            <w:tcW w:w="3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S-53</w:t>
            </w:r>
          </w:p>
        </w:tc>
        <w:tc>
          <w:tcPr>
            <w:tcW w:w="0" w:type="dxa"/>
            <w:vAlign w:val="bottom"/>
          </w:tcPr>
          <w:p>
            <w:pPr>
              <w:spacing w:after="0"/>
              <w:rPr>
                <w:sz w:val="1"/>
                <w:szCs w:val="1"/>
                <w:color w:val="auto"/>
              </w:rPr>
            </w:pPr>
          </w:p>
        </w:tc>
      </w:tr>
      <w:tr>
        <w:trPr>
          <w:trHeight w:val="145"/>
        </w:trPr>
        <w:tc>
          <w:tcPr>
            <w:tcW w:w="600" w:type="dxa"/>
            <w:vAlign w:val="bottom"/>
            <w:tcBorders>
              <w:bottom w:val="single" w:sz="8" w:color="0000EE"/>
            </w:tcBorders>
          </w:tcPr>
          <w:p>
            <w:pPr>
              <w:spacing w:after="0" w:line="145" w:lineRule="exact"/>
              <w:rPr>
                <w:sz w:val="20"/>
                <w:szCs w:val="20"/>
                <w:color w:val="auto"/>
              </w:rPr>
            </w:pPr>
            <w:r>
              <w:rPr>
                <w:rFonts w:ascii="Times New Roman" w:cs="Times New Roman" w:eastAsia="Times New Roman" w:hAnsi="Times New Roman"/>
                <w:sz w:val="14"/>
                <w:szCs w:val="14"/>
                <w:color w:val="0000EE"/>
                <w:w w:val="95"/>
              </w:rPr>
              <w:t>EXPERTS</w:t>
            </w:r>
          </w:p>
        </w:tc>
        <w:tc>
          <w:tcPr>
            <w:tcW w:w="7500" w:type="dxa"/>
            <w:vAlign w:val="bottom"/>
            <w:gridSpan w:val="25"/>
          </w:tcPr>
          <w:p>
            <w:pPr>
              <w:spacing w:after="0"/>
              <w:rPr>
                <w:sz w:val="12"/>
                <w:szCs w:val="12"/>
                <w:color w:val="auto"/>
              </w:rPr>
            </w:pPr>
          </w:p>
        </w:tc>
        <w:tc>
          <w:tcPr>
            <w:tcW w:w="3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S-53</w:t>
            </w:r>
          </w:p>
        </w:tc>
        <w:tc>
          <w:tcPr>
            <w:tcW w:w="0" w:type="dxa"/>
            <w:vAlign w:val="bottom"/>
          </w:tcPr>
          <w:p>
            <w:pPr>
              <w:spacing w:after="0"/>
              <w:rPr>
                <w:sz w:val="1"/>
                <w:szCs w:val="1"/>
                <w:color w:val="auto"/>
              </w:rPr>
            </w:pPr>
          </w:p>
        </w:tc>
      </w:tr>
      <w:tr>
        <w:trPr>
          <w:trHeight w:val="343"/>
        </w:trPr>
        <w:tc>
          <w:tcPr>
            <w:tcW w:w="8100" w:type="dxa"/>
            <w:vAlign w:val="bottom"/>
            <w:gridSpan w:val="26"/>
          </w:tcPr>
          <w:p>
            <w:pPr>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11"/>
                <w:szCs w:val="11"/>
                <w:b w:val="1"/>
                <w:bCs w:val="1"/>
                <w:color w:val="auto"/>
              </w:rPr>
              <w:t>ROSPECTUS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88"/>
              </w:rPr>
              <w:t>Page</w:t>
            </w:r>
          </w:p>
        </w:tc>
        <w:tc>
          <w:tcPr>
            <w:tcW w:w="0" w:type="dxa"/>
            <w:vAlign w:val="bottom"/>
          </w:tcPr>
          <w:p>
            <w:pPr>
              <w:spacing w:after="0"/>
              <w:rPr>
                <w:sz w:val="1"/>
                <w:szCs w:val="1"/>
                <w:color w:val="auto"/>
              </w:rPr>
            </w:pPr>
          </w:p>
        </w:tc>
      </w:tr>
      <w:tr>
        <w:trPr>
          <w:trHeight w:val="207"/>
        </w:trPr>
        <w:tc>
          <w:tcPr>
            <w:tcW w:w="17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4"/>
                <w:szCs w:val="14"/>
                <w:color w:val="0000EE"/>
                <w:w w:val="97"/>
              </w:rPr>
              <w:t>ABOUT THIS PROSPECTUS</w:t>
            </w:r>
          </w:p>
        </w:tc>
        <w:tc>
          <w:tcPr>
            <w:tcW w:w="6380" w:type="dxa"/>
            <w:vAlign w:val="bottom"/>
            <w:gridSpan w:val="12"/>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5"/>
        </w:trPr>
        <w:tc>
          <w:tcPr>
            <w:tcW w:w="8100" w:type="dxa"/>
            <w:vAlign w:val="bottom"/>
            <w:gridSpan w:val="26"/>
          </w:tcPr>
          <w:p>
            <w:pPr>
              <w:spacing w:after="0" w:line="145" w:lineRule="exact"/>
              <w:rPr>
                <w:sz w:val="20"/>
                <w:szCs w:val="20"/>
                <w:color w:val="auto"/>
              </w:rPr>
            </w:pPr>
            <w:r>
              <w:rPr>
                <w:rFonts w:ascii="Times New Roman" w:cs="Times New Roman" w:eastAsia="Times New Roman" w:hAnsi="Times New Roman"/>
                <w:sz w:val="14"/>
                <w:szCs w:val="14"/>
                <w:color w:val="0000EE"/>
              </w:rPr>
              <w:t>FORWARD-LOOKING STATEMENTS</w:t>
            </w:r>
          </w:p>
        </w:tc>
        <w:tc>
          <w:tcPr>
            <w:tcW w:w="3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5"/>
        </w:trPr>
        <w:tc>
          <w:tcPr>
            <w:tcW w:w="2240" w:type="dxa"/>
            <w:vAlign w:val="bottom"/>
            <w:tcBorders>
              <w:top w:val="single" w:sz="8" w:color="0000EE"/>
            </w:tcBorders>
            <w:gridSpan w:val="17"/>
          </w:tcPr>
          <w:p>
            <w:pPr>
              <w:spacing w:after="0" w:line="145" w:lineRule="exact"/>
              <w:rPr>
                <w:sz w:val="20"/>
                <w:szCs w:val="20"/>
                <w:color w:val="auto"/>
              </w:rPr>
            </w:pPr>
            <w:r>
              <w:rPr>
                <w:rFonts w:ascii="Times New Roman" w:cs="Times New Roman" w:eastAsia="Times New Roman" w:hAnsi="Times New Roman"/>
                <w:sz w:val="14"/>
                <w:szCs w:val="14"/>
                <w:color w:val="0000EE"/>
              </w:rPr>
              <w:t>RISK FACTORS</w:t>
            </w:r>
          </w:p>
        </w:tc>
        <w:tc>
          <w:tcPr>
            <w:tcW w:w="5860" w:type="dxa"/>
            <w:vAlign w:val="bottom"/>
            <w:gridSpan w:val="9"/>
          </w:tcPr>
          <w:p>
            <w:pPr>
              <w:spacing w:after="0"/>
              <w:rPr>
                <w:sz w:val="12"/>
                <w:szCs w:val="12"/>
                <w:color w:val="auto"/>
              </w:rPr>
            </w:pPr>
          </w:p>
        </w:tc>
        <w:tc>
          <w:tcPr>
            <w:tcW w:w="3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5"/>
        </w:trPr>
        <w:tc>
          <w:tcPr>
            <w:tcW w:w="800" w:type="dxa"/>
            <w:vAlign w:val="bottom"/>
            <w:tcBorders>
              <w:top w:val="single" w:sz="8" w:color="0000EE"/>
              <w:bottom w:val="single" w:sz="8" w:color="0000EE"/>
            </w:tcBorders>
            <w:gridSpan w:val="3"/>
          </w:tcPr>
          <w:p>
            <w:pPr>
              <w:spacing w:after="0" w:line="145" w:lineRule="exact"/>
              <w:rPr>
                <w:sz w:val="20"/>
                <w:szCs w:val="20"/>
                <w:color w:val="auto"/>
              </w:rPr>
            </w:pPr>
            <w:r>
              <w:rPr>
                <w:rFonts w:ascii="Times New Roman" w:cs="Times New Roman" w:eastAsia="Times New Roman" w:hAnsi="Times New Roman"/>
                <w:sz w:val="14"/>
                <w:szCs w:val="14"/>
                <w:color w:val="0000EE"/>
                <w:w w:val="94"/>
              </w:rPr>
              <w:t>FISERV, INC.</w:t>
            </w:r>
          </w:p>
        </w:tc>
        <w:tc>
          <w:tcPr>
            <w:tcW w:w="160" w:type="dxa"/>
            <w:vAlign w:val="bottom"/>
            <w:tcBorders>
              <w:top w:val="single" w:sz="8" w:color="0000EE"/>
            </w:tcBorders>
          </w:tcPr>
          <w:p>
            <w:pPr>
              <w:spacing w:after="0"/>
              <w:rPr>
                <w:sz w:val="12"/>
                <w:szCs w:val="12"/>
                <w:color w:val="auto"/>
              </w:rPr>
            </w:pPr>
          </w:p>
        </w:tc>
        <w:tc>
          <w:tcPr>
            <w:tcW w:w="7140" w:type="dxa"/>
            <w:vAlign w:val="bottom"/>
            <w:gridSpan w:val="22"/>
          </w:tcPr>
          <w:p>
            <w:pPr>
              <w:spacing w:after="0"/>
              <w:rPr>
                <w:sz w:val="12"/>
                <w:szCs w:val="12"/>
                <w:color w:val="auto"/>
              </w:rPr>
            </w:pPr>
          </w:p>
        </w:tc>
        <w:tc>
          <w:tcPr>
            <w:tcW w:w="3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5"/>
        </w:trPr>
        <w:tc>
          <w:tcPr>
            <w:tcW w:w="2640" w:type="dxa"/>
            <w:vAlign w:val="bottom"/>
            <w:tcBorders>
              <w:bottom w:val="single" w:sz="8" w:color="0000EE"/>
            </w:tcBorders>
            <w:gridSpan w:val="19"/>
          </w:tcPr>
          <w:p>
            <w:pPr>
              <w:spacing w:after="0" w:line="145" w:lineRule="exact"/>
              <w:rPr>
                <w:sz w:val="20"/>
                <w:szCs w:val="20"/>
                <w:color w:val="auto"/>
              </w:rPr>
            </w:pPr>
            <w:r>
              <w:rPr>
                <w:rFonts w:ascii="Times New Roman" w:cs="Times New Roman" w:eastAsia="Times New Roman" w:hAnsi="Times New Roman"/>
                <w:sz w:val="14"/>
                <w:szCs w:val="14"/>
                <w:color w:val="0000EE"/>
                <w:w w:val="97"/>
              </w:rPr>
              <w:t>FISERV FUNDING UNLIMITED COMPANY</w:t>
            </w:r>
          </w:p>
        </w:tc>
        <w:tc>
          <w:tcPr>
            <w:tcW w:w="5460" w:type="dxa"/>
            <w:vAlign w:val="bottom"/>
            <w:gridSpan w:val="7"/>
          </w:tcPr>
          <w:p>
            <w:pPr>
              <w:spacing w:after="0"/>
              <w:rPr>
                <w:sz w:val="12"/>
                <w:szCs w:val="12"/>
                <w:color w:val="auto"/>
              </w:rPr>
            </w:pPr>
          </w:p>
        </w:tc>
        <w:tc>
          <w:tcPr>
            <w:tcW w:w="3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5"/>
        </w:trPr>
        <w:tc>
          <w:tcPr>
            <w:tcW w:w="1220" w:type="dxa"/>
            <w:vAlign w:val="bottom"/>
            <w:tcBorders>
              <w:bottom w:val="single" w:sz="8" w:color="0000EE"/>
            </w:tcBorders>
            <w:gridSpan w:val="8"/>
          </w:tcPr>
          <w:p>
            <w:pPr>
              <w:spacing w:after="0" w:line="145" w:lineRule="exact"/>
              <w:rPr>
                <w:sz w:val="20"/>
                <w:szCs w:val="20"/>
                <w:color w:val="auto"/>
              </w:rPr>
            </w:pPr>
            <w:r>
              <w:rPr>
                <w:rFonts w:ascii="Times New Roman" w:cs="Times New Roman" w:eastAsia="Times New Roman" w:hAnsi="Times New Roman"/>
                <w:sz w:val="14"/>
                <w:szCs w:val="14"/>
                <w:color w:val="0000EE"/>
                <w:w w:val="97"/>
              </w:rPr>
              <w:t>USE OF PROCEEDS</w:t>
            </w:r>
          </w:p>
        </w:tc>
        <w:tc>
          <w:tcPr>
            <w:tcW w:w="6880" w:type="dxa"/>
            <w:vAlign w:val="bottom"/>
            <w:gridSpan w:val="18"/>
          </w:tcPr>
          <w:p>
            <w:pPr>
              <w:spacing w:after="0"/>
              <w:rPr>
                <w:sz w:val="12"/>
                <w:szCs w:val="12"/>
                <w:color w:val="auto"/>
              </w:rPr>
            </w:pPr>
          </w:p>
        </w:tc>
        <w:tc>
          <w:tcPr>
            <w:tcW w:w="3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5"/>
        </w:trPr>
        <w:tc>
          <w:tcPr>
            <w:tcW w:w="8100" w:type="dxa"/>
            <w:vAlign w:val="bottom"/>
            <w:gridSpan w:val="26"/>
          </w:tcPr>
          <w:p>
            <w:pPr>
              <w:spacing w:after="0" w:line="145" w:lineRule="exact"/>
              <w:rPr>
                <w:sz w:val="20"/>
                <w:szCs w:val="20"/>
                <w:color w:val="auto"/>
              </w:rPr>
            </w:pPr>
            <w:r>
              <w:rPr>
                <w:rFonts w:ascii="Times New Roman" w:cs="Times New Roman" w:eastAsia="Times New Roman" w:hAnsi="Times New Roman"/>
                <w:sz w:val="14"/>
                <w:szCs w:val="14"/>
                <w:color w:val="0000EE"/>
              </w:rPr>
              <w:t>DESCRIPTION OF DEBT SECURITIES AND GUARANTEES OF DEBT SECURITIES</w:t>
            </w:r>
          </w:p>
        </w:tc>
        <w:tc>
          <w:tcPr>
            <w:tcW w:w="3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5"/>
        </w:trPr>
        <w:tc>
          <w:tcPr>
            <w:tcW w:w="5020" w:type="dxa"/>
            <w:vAlign w:val="bottom"/>
            <w:tcBorders>
              <w:top w:val="single" w:sz="8" w:color="0000EE"/>
            </w:tcBorders>
            <w:gridSpan w:val="25"/>
          </w:tcPr>
          <w:p>
            <w:pPr>
              <w:spacing w:after="0" w:line="145" w:lineRule="exact"/>
              <w:rPr>
                <w:sz w:val="20"/>
                <w:szCs w:val="20"/>
                <w:color w:val="auto"/>
              </w:rPr>
            </w:pPr>
            <w:r>
              <w:rPr>
                <w:rFonts w:ascii="Times New Roman" w:cs="Times New Roman" w:eastAsia="Times New Roman" w:hAnsi="Times New Roman"/>
                <w:sz w:val="14"/>
                <w:szCs w:val="14"/>
                <w:color w:val="0000EE"/>
              </w:rPr>
              <w:t>DESCRIPTION OF CAPITAL STOCK</w:t>
            </w:r>
          </w:p>
        </w:tc>
        <w:tc>
          <w:tcPr>
            <w:tcW w:w="3080" w:type="dxa"/>
            <w:vAlign w:val="bottom"/>
          </w:tcPr>
          <w:p>
            <w:pPr>
              <w:spacing w:after="0"/>
              <w:rPr>
                <w:sz w:val="12"/>
                <w:szCs w:val="12"/>
                <w:color w:val="auto"/>
              </w:rPr>
            </w:pPr>
          </w:p>
        </w:tc>
        <w:tc>
          <w:tcPr>
            <w:tcW w:w="3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1120" w:type="dxa"/>
            <w:vAlign w:val="bottom"/>
            <w:gridSpan w:val="6"/>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38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100" w:type="dxa"/>
            <w:vAlign w:val="bottom"/>
            <w:gridSpan w:val="26"/>
          </w:tcPr>
          <w:p>
            <w:pPr>
              <w:spacing w:after="0" w:line="145" w:lineRule="exact"/>
              <w:rPr>
                <w:sz w:val="20"/>
                <w:szCs w:val="20"/>
                <w:color w:val="auto"/>
              </w:rPr>
            </w:pPr>
            <w:r>
              <w:rPr>
                <w:rFonts w:ascii="Times New Roman" w:cs="Times New Roman" w:eastAsia="Times New Roman" w:hAnsi="Times New Roman"/>
                <w:sz w:val="14"/>
                <w:szCs w:val="14"/>
                <w:color w:val="0000EE"/>
              </w:rPr>
              <w:t>DESCRIPTION OF DEPOSITARY SHARES</w:t>
            </w:r>
          </w:p>
        </w:tc>
        <w:tc>
          <w:tcPr>
            <w:tcW w:w="3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5"/>
        </w:trPr>
        <w:tc>
          <w:tcPr>
            <w:tcW w:w="2540" w:type="dxa"/>
            <w:vAlign w:val="bottom"/>
            <w:tcBorders>
              <w:top w:val="single" w:sz="8" w:color="0000EE"/>
            </w:tcBorders>
            <w:gridSpan w:val="18"/>
          </w:tcPr>
          <w:p>
            <w:pPr>
              <w:spacing w:after="0" w:line="145" w:lineRule="exact"/>
              <w:rPr>
                <w:sz w:val="20"/>
                <w:szCs w:val="20"/>
                <w:color w:val="auto"/>
              </w:rPr>
            </w:pPr>
            <w:r>
              <w:rPr>
                <w:rFonts w:ascii="Times New Roman" w:cs="Times New Roman" w:eastAsia="Times New Roman" w:hAnsi="Times New Roman"/>
                <w:sz w:val="14"/>
                <w:szCs w:val="14"/>
                <w:color w:val="0000EE"/>
              </w:rPr>
              <w:t>DESCRIPTION OF WARRANTS</w:t>
            </w:r>
          </w:p>
        </w:tc>
        <w:tc>
          <w:tcPr>
            <w:tcW w:w="5560" w:type="dxa"/>
            <w:vAlign w:val="bottom"/>
            <w:gridSpan w:val="8"/>
          </w:tcPr>
          <w:p>
            <w:pPr>
              <w:spacing w:after="0"/>
              <w:rPr>
                <w:sz w:val="12"/>
                <w:szCs w:val="12"/>
                <w:color w:val="auto"/>
              </w:rPr>
            </w:pPr>
          </w:p>
        </w:tc>
        <w:tc>
          <w:tcPr>
            <w:tcW w:w="3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
        </w:trPr>
        <w:tc>
          <w:tcPr>
            <w:tcW w:w="1120" w:type="dxa"/>
            <w:vAlign w:val="bottom"/>
            <w:gridSpan w:val="6"/>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538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720" w:type="dxa"/>
            <w:vAlign w:val="bottom"/>
            <w:tcBorders>
              <w:bottom w:val="single" w:sz="8" w:color="0000EE"/>
            </w:tcBorders>
            <w:gridSpan w:val="21"/>
          </w:tcPr>
          <w:p>
            <w:pPr>
              <w:spacing w:after="0" w:line="145" w:lineRule="exact"/>
              <w:rPr>
                <w:sz w:val="20"/>
                <w:szCs w:val="20"/>
                <w:color w:val="auto"/>
              </w:rPr>
            </w:pPr>
            <w:r>
              <w:rPr>
                <w:rFonts w:ascii="Times New Roman" w:cs="Times New Roman" w:eastAsia="Times New Roman" w:hAnsi="Times New Roman"/>
                <w:sz w:val="14"/>
                <w:szCs w:val="14"/>
                <w:color w:val="0000EE"/>
                <w:w w:val="97"/>
              </w:rPr>
              <w:t>DESCRIPTION OF PURCHASE CONTRACTS</w:t>
            </w:r>
          </w:p>
        </w:tc>
        <w:tc>
          <w:tcPr>
            <w:tcW w:w="5380" w:type="dxa"/>
            <w:vAlign w:val="bottom"/>
            <w:gridSpan w:val="5"/>
          </w:tcPr>
          <w:p>
            <w:pPr>
              <w:spacing w:after="0"/>
              <w:rPr>
                <w:sz w:val="12"/>
                <w:szCs w:val="12"/>
                <w:color w:val="auto"/>
              </w:rPr>
            </w:pPr>
          </w:p>
        </w:tc>
        <w:tc>
          <w:tcPr>
            <w:tcW w:w="3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5"/>
        </w:trPr>
        <w:tc>
          <w:tcPr>
            <w:tcW w:w="1560" w:type="dxa"/>
            <w:vAlign w:val="bottom"/>
            <w:tcBorders>
              <w:bottom w:val="single" w:sz="8" w:color="0000EE"/>
            </w:tcBorders>
            <w:gridSpan w:val="10"/>
          </w:tcPr>
          <w:p>
            <w:pPr>
              <w:spacing w:after="0" w:line="145" w:lineRule="exact"/>
              <w:rPr>
                <w:sz w:val="20"/>
                <w:szCs w:val="20"/>
                <w:color w:val="auto"/>
              </w:rPr>
            </w:pPr>
            <w:r>
              <w:rPr>
                <w:rFonts w:ascii="Times New Roman" w:cs="Times New Roman" w:eastAsia="Times New Roman" w:hAnsi="Times New Roman"/>
                <w:sz w:val="14"/>
                <w:szCs w:val="14"/>
                <w:color w:val="0000EE"/>
                <w:w w:val="97"/>
              </w:rPr>
              <w:t>DESCRIPTION OF UNITS</w:t>
            </w:r>
          </w:p>
        </w:tc>
        <w:tc>
          <w:tcPr>
            <w:tcW w:w="6540" w:type="dxa"/>
            <w:vAlign w:val="bottom"/>
            <w:gridSpan w:val="16"/>
          </w:tcPr>
          <w:p>
            <w:pPr>
              <w:spacing w:after="0"/>
              <w:rPr>
                <w:sz w:val="12"/>
                <w:szCs w:val="12"/>
                <w:color w:val="auto"/>
              </w:rPr>
            </w:pPr>
          </w:p>
        </w:tc>
        <w:tc>
          <w:tcPr>
            <w:tcW w:w="3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5"/>
        </w:trPr>
        <w:tc>
          <w:tcPr>
            <w:tcW w:w="8100" w:type="dxa"/>
            <w:vAlign w:val="bottom"/>
            <w:gridSpan w:val="26"/>
          </w:tcPr>
          <w:p>
            <w:pPr>
              <w:spacing w:after="0" w:line="145" w:lineRule="exact"/>
              <w:rPr>
                <w:sz w:val="20"/>
                <w:szCs w:val="20"/>
                <w:color w:val="auto"/>
              </w:rPr>
            </w:pPr>
            <w:r>
              <w:rPr>
                <w:rFonts w:ascii="Times New Roman" w:cs="Times New Roman" w:eastAsia="Times New Roman" w:hAnsi="Times New Roman"/>
                <w:sz w:val="14"/>
                <w:szCs w:val="14"/>
                <w:color w:val="0000EE"/>
              </w:rPr>
              <w:t>SELLING SHAREHOLDERS</w:t>
            </w:r>
          </w:p>
        </w:tc>
        <w:tc>
          <w:tcPr>
            <w:tcW w:w="3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5"/>
        </w:trPr>
        <w:tc>
          <w:tcPr>
            <w:tcW w:w="1580" w:type="dxa"/>
            <w:vAlign w:val="bottom"/>
            <w:tcBorders>
              <w:top w:val="single" w:sz="8" w:color="0000EE"/>
              <w:bottom w:val="single" w:sz="8" w:color="0000EE"/>
            </w:tcBorders>
            <w:gridSpan w:val="11"/>
          </w:tcPr>
          <w:p>
            <w:pPr>
              <w:spacing w:after="0" w:line="145" w:lineRule="exact"/>
              <w:rPr>
                <w:sz w:val="20"/>
                <w:szCs w:val="20"/>
                <w:color w:val="auto"/>
              </w:rPr>
            </w:pPr>
            <w:r>
              <w:rPr>
                <w:rFonts w:ascii="Times New Roman" w:cs="Times New Roman" w:eastAsia="Times New Roman" w:hAnsi="Times New Roman"/>
                <w:sz w:val="14"/>
                <w:szCs w:val="14"/>
                <w:color w:val="0000EE"/>
                <w:w w:val="97"/>
              </w:rPr>
              <w:t>PLAN OF DISTRIBUTION</w:t>
            </w:r>
          </w:p>
        </w:tc>
        <w:tc>
          <w:tcPr>
            <w:tcW w:w="120" w:type="dxa"/>
            <w:vAlign w:val="bottom"/>
            <w:tcBorders>
              <w:top w:val="single" w:sz="8" w:color="0000EE"/>
            </w:tcBorders>
            <w:gridSpan w:val="2"/>
          </w:tcPr>
          <w:p>
            <w:pPr>
              <w:spacing w:after="0"/>
              <w:rPr>
                <w:sz w:val="12"/>
                <w:szCs w:val="12"/>
                <w:color w:val="auto"/>
              </w:rPr>
            </w:pPr>
          </w:p>
        </w:tc>
        <w:tc>
          <w:tcPr>
            <w:tcW w:w="6400" w:type="dxa"/>
            <w:vAlign w:val="bottom"/>
            <w:gridSpan w:val="13"/>
          </w:tcPr>
          <w:p>
            <w:pPr>
              <w:spacing w:after="0"/>
              <w:rPr>
                <w:sz w:val="12"/>
                <w:szCs w:val="12"/>
                <w:color w:val="auto"/>
              </w:rPr>
            </w:pPr>
          </w:p>
        </w:tc>
        <w:tc>
          <w:tcPr>
            <w:tcW w:w="3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5"/>
        </w:trPr>
        <w:tc>
          <w:tcPr>
            <w:tcW w:w="8100" w:type="dxa"/>
            <w:vAlign w:val="bottom"/>
            <w:gridSpan w:val="26"/>
          </w:tcPr>
          <w:p>
            <w:pPr>
              <w:spacing w:after="0" w:line="145"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3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5"/>
        </w:trPr>
        <w:tc>
          <w:tcPr>
            <w:tcW w:w="1120" w:type="dxa"/>
            <w:vAlign w:val="bottom"/>
            <w:tcBorders>
              <w:top w:val="single" w:sz="8" w:color="0000EE"/>
              <w:bottom w:val="single" w:sz="8" w:color="0000EE"/>
            </w:tcBorders>
            <w:gridSpan w:val="6"/>
          </w:tcPr>
          <w:p>
            <w:pPr>
              <w:spacing w:after="0" w:line="145" w:lineRule="exact"/>
              <w:rPr>
                <w:sz w:val="20"/>
                <w:szCs w:val="20"/>
                <w:color w:val="auto"/>
              </w:rPr>
            </w:pPr>
            <w:r>
              <w:rPr>
                <w:rFonts w:ascii="Times New Roman" w:cs="Times New Roman" w:eastAsia="Times New Roman" w:hAnsi="Times New Roman"/>
                <w:sz w:val="14"/>
                <w:szCs w:val="14"/>
                <w:color w:val="0000EE"/>
                <w:w w:val="95"/>
              </w:rPr>
              <w:t>LEGAL MATTERS</w:t>
            </w:r>
          </w:p>
        </w:tc>
        <w:tc>
          <w:tcPr>
            <w:tcW w:w="1800" w:type="dxa"/>
            <w:vAlign w:val="bottom"/>
            <w:tcBorders>
              <w:top w:val="single" w:sz="8" w:color="0000EE"/>
            </w:tcBorders>
            <w:gridSpan w:val="17"/>
          </w:tcPr>
          <w:p>
            <w:pPr>
              <w:spacing w:after="0"/>
              <w:rPr>
                <w:sz w:val="12"/>
                <w:szCs w:val="12"/>
                <w:color w:val="auto"/>
              </w:rPr>
            </w:pPr>
          </w:p>
        </w:tc>
        <w:tc>
          <w:tcPr>
            <w:tcW w:w="5180" w:type="dxa"/>
            <w:vAlign w:val="bottom"/>
            <w:gridSpan w:val="3"/>
          </w:tcPr>
          <w:p>
            <w:pPr>
              <w:spacing w:after="0"/>
              <w:rPr>
                <w:sz w:val="12"/>
                <w:szCs w:val="12"/>
                <w:color w:val="auto"/>
              </w:rPr>
            </w:pPr>
          </w:p>
        </w:tc>
        <w:tc>
          <w:tcPr>
            <w:tcW w:w="3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45"/>
        </w:trPr>
        <w:tc>
          <w:tcPr>
            <w:tcW w:w="600" w:type="dxa"/>
            <w:vAlign w:val="bottom"/>
            <w:tcBorders>
              <w:bottom w:val="single" w:sz="8" w:color="0000EE"/>
            </w:tcBorders>
          </w:tcPr>
          <w:p>
            <w:pPr>
              <w:spacing w:after="0" w:line="145" w:lineRule="exact"/>
              <w:rPr>
                <w:sz w:val="20"/>
                <w:szCs w:val="20"/>
                <w:color w:val="auto"/>
              </w:rPr>
            </w:pPr>
            <w:r>
              <w:rPr>
                <w:rFonts w:ascii="Times New Roman" w:cs="Times New Roman" w:eastAsia="Times New Roman" w:hAnsi="Times New Roman"/>
                <w:sz w:val="14"/>
                <w:szCs w:val="14"/>
                <w:color w:val="0000EE"/>
                <w:w w:val="95"/>
              </w:rPr>
              <w:t>EXPERTS</w:t>
            </w:r>
          </w:p>
        </w:tc>
        <w:tc>
          <w:tcPr>
            <w:tcW w:w="7500" w:type="dxa"/>
            <w:vAlign w:val="bottom"/>
            <w:gridSpan w:val="25"/>
          </w:tcPr>
          <w:p>
            <w:pPr>
              <w:spacing w:after="0"/>
              <w:rPr>
                <w:sz w:val="12"/>
                <w:szCs w:val="12"/>
                <w:color w:val="auto"/>
              </w:rPr>
            </w:pPr>
          </w:p>
        </w:tc>
        <w:tc>
          <w:tcPr>
            <w:tcW w:w="3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S-i</w:t>
      </w:r>
    </w:p>
    <w:p>
      <w:pPr>
        <w:sectPr>
          <w:pgSz w:w="11900" w:h="16838" w:orient="portrait"/>
          <w:cols w:equalWidth="0" w:num="1">
            <w:col w:w="10159"/>
          </w:cols>
          <w:pgMar w:left="300" w:top="38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174" w:lineRule="exact"/>
        <w:rPr>
          <w:sz w:val="20"/>
          <w:szCs w:val="20"/>
          <w:color w:val="auto"/>
        </w:rPr>
      </w:pPr>
    </w:p>
    <w:p>
      <w:pPr>
        <w:ind w:left="1420" w:right="359" w:firstLine="337"/>
        <w:spacing w:after="0" w:line="277" w:lineRule="auto"/>
        <w:rPr>
          <w:sz w:val="20"/>
          <w:szCs w:val="20"/>
          <w:color w:val="auto"/>
        </w:rPr>
      </w:pPr>
      <w:r>
        <w:rPr>
          <w:rFonts w:ascii="Times New Roman" w:cs="Times New Roman" w:eastAsia="Times New Roman" w:hAnsi="Times New Roman"/>
          <w:sz w:val="13"/>
          <w:szCs w:val="13"/>
          <w:color w:val="auto"/>
        </w:rPr>
        <w:t>This document has two parts. The first part is this prospectus supplement, which describes the specific terms of this offering. The second part is the accompanying prospectus, which provides more general information, some of which may not apply to this offering. You should read the entire prospectus supplement, as well as the accompanying prospectus and the documents incorporated by reference that are described under “Where You Can Find More Information” in this prospectus supplement and the accompanying prospectus. In the event that the description of the offering in this prospectus supplement is inconsistent with the accompanying prospectus, you should rely on the information contained in this prospectus supplement.</w:t>
      </w:r>
    </w:p>
    <w:p>
      <w:pPr>
        <w:spacing w:after="0" w:line="130" w:lineRule="exact"/>
        <w:rPr>
          <w:sz w:val="20"/>
          <w:szCs w:val="20"/>
          <w:color w:val="auto"/>
        </w:rPr>
      </w:pPr>
    </w:p>
    <w:p>
      <w:pPr>
        <w:ind w:left="1420" w:right="459" w:firstLine="337"/>
        <w:spacing w:after="0" w:line="251" w:lineRule="auto"/>
        <w:rPr>
          <w:sz w:val="20"/>
          <w:szCs w:val="20"/>
          <w:color w:val="auto"/>
        </w:rPr>
      </w:pPr>
      <w:r>
        <w:rPr>
          <w:rFonts w:ascii="Times New Roman" w:cs="Times New Roman" w:eastAsia="Times New Roman" w:hAnsi="Times New Roman"/>
          <w:sz w:val="14"/>
          <w:szCs w:val="14"/>
          <w:color w:val="auto"/>
        </w:rPr>
        <w:t>We have not, and the underwriters have not, authorized any other person to provide you with different or additional information other than that contained or incorporated by reference in this prospectus supplement, the accompanying prospectus and any free writing prospectus that we have authorized for use in connection with this offering. We are not, and the underwriters are not, making an offer to sell these securities in any jurisdiction where the offer or sale is not permitted. You should not assume that the information contained in or incorporated by reference into this prospectus supplement, the accompanying prospectus and any free writing prospectus filed by us with the SEC is accurate as of any date other than its respective date. Our business, financial condition, liquidity, results of operations and prospects may have changed since those dates.</w:t>
      </w:r>
    </w:p>
    <w:p>
      <w:pPr>
        <w:spacing w:after="0" w:line="14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References in this prospectus supplement to “$,” “dollars,” “USD” or “U.S. dollars” are to the lawful currency of the United States of America.</w:t>
      </w:r>
    </w:p>
    <w:p>
      <w:pPr>
        <w:spacing w:after="0" w:line="1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References to “€” or “euro” are to the lawful currency of the member states of the European Union that have adopted the euro as their currency.</w:t>
      </w:r>
    </w:p>
    <w:p>
      <w:pPr>
        <w:spacing w:after="0" w:line="157" w:lineRule="exact"/>
        <w:rPr>
          <w:sz w:val="20"/>
          <w:szCs w:val="20"/>
          <w:color w:val="auto"/>
        </w:rPr>
      </w:pPr>
    </w:p>
    <w:p>
      <w:pPr>
        <w:ind w:left="1420" w:right="519" w:firstLine="337"/>
        <w:spacing w:after="0" w:line="273" w:lineRule="auto"/>
        <w:rPr>
          <w:sz w:val="20"/>
          <w:szCs w:val="20"/>
          <w:color w:val="auto"/>
        </w:rPr>
      </w:pPr>
      <w:r>
        <w:rPr>
          <w:rFonts w:ascii="Times New Roman" w:cs="Times New Roman" w:eastAsia="Times New Roman" w:hAnsi="Times New Roman"/>
          <w:sz w:val="14"/>
          <w:szCs w:val="14"/>
          <w:color w:val="auto"/>
        </w:rPr>
        <w:t>Unless otherwise indicated or unless the context requires otherwise, references in this prospectus supplement to “we,” “our,” “us” and “Fiserv” refer to Fiserv, Inc., a Wisconsin corporation, and its consolidated subsidiaries.</w:t>
      </w:r>
    </w:p>
    <w:p>
      <w:pPr>
        <w:spacing w:after="0" w:line="130" w:lineRule="exact"/>
        <w:rPr>
          <w:sz w:val="20"/>
          <w:szCs w:val="20"/>
          <w:color w:val="auto"/>
        </w:rPr>
      </w:pPr>
    </w:p>
    <w:p>
      <w:pPr>
        <w:ind w:left="1420" w:right="459" w:firstLine="337"/>
        <w:spacing w:after="0" w:line="249" w:lineRule="auto"/>
        <w:rPr>
          <w:sz w:val="20"/>
          <w:szCs w:val="20"/>
          <w:color w:val="auto"/>
        </w:rPr>
      </w:pPr>
      <w:r>
        <w:rPr>
          <w:rFonts w:ascii="Times New Roman" w:cs="Times New Roman" w:eastAsia="Times New Roman" w:hAnsi="Times New Roman"/>
          <w:sz w:val="14"/>
          <w:szCs w:val="14"/>
          <w:color w:val="auto"/>
        </w:rPr>
        <w:t>IN CONNECTION WITH THE ISSUE OF THE NOTES, CITIGROUP GLOBAL MARKETS LIMITED, IN ITS ROLE AS STABILIZING MANAGER (THE “STABILIZING MANAGER”) FOR ITS OWN ACCOUNT MAY, TO THE EXTENT PERMITTED BY APPLICABLE LAWS AND DIRECTIVES, OVER-ALLOT NOTES OR EFFECT TRANSACTIONS WITH A VIEW TO SUPPORTING THE MARKET PRICE OF THE NOTES AT A LEVEL HIGHER THAN THAT WHICH MIGHT OTHERWISE PREVAIL. HOWEVER, THERE IS NO ASSURANCE THAT THE STABILIZING MANAGER (OR PERSONS ACTING ON BEHALF OF THE STABILIZING MANAGER) WILL UNDERTAKE ANY STABILIZATION ACTION. ANY STABILIZATION ACTION MAY BEGIN ON OR AFTER THE DATE ON WHICH ADEQUATE PUBLIC DISCLOSURE OF THE FINAL TERMS OF THE OFFER OF THE NOTES IS MADE, AND, IF BEGUN, MAY CEASE AT ANY TIME, BUT IT MUST END NO LATER THAN THE EARLIER OF 30 DAYS AFTER THE ISSUE OF THE NOTES AND 60 DAYS AFTER THE DATE OF THE ALLOTMENT OF THE NOTES. ANY STABILIZATION ACTION OR OVER-ALLOTMENT COMMENCED WILL BE CARRIED OUT IN ACCORDANCE WITH APPLICABLE LAWS AND REGULATIONS.</w:t>
      </w:r>
    </w:p>
    <w:p>
      <w:pPr>
        <w:spacing w:after="0" w:line="146" w:lineRule="exact"/>
        <w:rPr>
          <w:sz w:val="20"/>
          <w:szCs w:val="20"/>
          <w:color w:val="auto"/>
        </w:rPr>
      </w:pPr>
    </w:p>
    <w:p>
      <w:pPr>
        <w:ind w:left="1420" w:right="399" w:firstLine="337"/>
        <w:spacing w:after="0" w:line="279" w:lineRule="auto"/>
        <w:rPr>
          <w:sz w:val="20"/>
          <w:szCs w:val="20"/>
          <w:color w:val="auto"/>
        </w:rPr>
      </w:pPr>
      <w:r>
        <w:rPr>
          <w:rFonts w:ascii="Times New Roman" w:cs="Times New Roman" w:eastAsia="Times New Roman" w:hAnsi="Times New Roman"/>
          <w:sz w:val="13"/>
          <w:szCs w:val="13"/>
          <w:b w:val="1"/>
          <w:bCs w:val="1"/>
          <w:color w:val="auto"/>
        </w:rPr>
        <w:t xml:space="preserve">Prohibition of Sales to EEA Retail Investors: </w:t>
      </w:r>
      <w:r>
        <w:rPr>
          <w:rFonts w:ascii="Times New Roman" w:cs="Times New Roman" w:eastAsia="Times New Roman" w:hAnsi="Times New Roman"/>
          <w:sz w:val="13"/>
          <w:szCs w:val="13"/>
          <w:color w:val="auto"/>
        </w:rPr>
        <w:t>The notes are not intended to be offered, sold, distributed or otherwise made available to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should not be offered, sold, distributed or otherwise made available to any retail investor in the European Economic Area (“EEA”). For these purposes,</w:t>
      </w:r>
    </w:p>
    <w:p>
      <w:pPr>
        <w:spacing w:after="0" w:line="1" w:lineRule="exact"/>
        <w:rPr>
          <w:sz w:val="20"/>
          <w:szCs w:val="20"/>
          <w:color w:val="auto"/>
        </w:rPr>
      </w:pPr>
    </w:p>
    <w:p>
      <w:pPr>
        <w:ind w:left="1420" w:right="339" w:firstLine="5"/>
        <w:spacing w:after="0" w:line="247" w:lineRule="auto"/>
        <w:tabs>
          <w:tab w:leader="none" w:pos="1608"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expression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Article 2(e) of Regulation (EU) 2017/1129 (as amended, the “Prospectus Regulation”); and (b) the expression “offer” includes the communication in any form and by any means of sufficient information on the terms of the offer and the securities to be offered so as to enable an investor to decide to purchase or subscribe for such securities. Consequently, no key information document required by Regulation (EU) No 1286/2014 (as amended, the “PRIIPs Regulation”) for offering, selling or distributing the notes or otherwise making them available to retail</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S-ii</w:t>
      </w:r>
    </w:p>
    <w:p>
      <w:pPr>
        <w:sectPr>
          <w:pgSz w:w="11900" w:h="16838" w:orient="portrait"/>
          <w:cols w:equalWidth="0" w:num="1">
            <w:col w:w="10159"/>
          </w:cols>
          <w:pgMar w:left="300" w:top="381"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379"/>
        <w:spacing w:after="0" w:line="273" w:lineRule="auto"/>
        <w:rPr>
          <w:sz w:val="20"/>
          <w:szCs w:val="20"/>
          <w:color w:val="auto"/>
        </w:rPr>
      </w:pPr>
      <w:r>
        <w:rPr>
          <w:rFonts w:ascii="Times New Roman" w:cs="Times New Roman" w:eastAsia="Times New Roman" w:hAnsi="Times New Roman"/>
          <w:sz w:val="14"/>
          <w:szCs w:val="14"/>
          <w:color w:val="auto"/>
        </w:rPr>
        <w:t>investors in the EEA has been prepared, and therefore offering or selling the notes or otherwise making them available to any retail investor in the EEA may be unlawful under the PRIIPs Regulation.</w:t>
      </w:r>
    </w:p>
    <w:p>
      <w:pPr>
        <w:spacing w:after="0" w:line="126" w:lineRule="exact"/>
        <w:rPr>
          <w:sz w:val="20"/>
          <w:szCs w:val="20"/>
          <w:color w:val="auto"/>
        </w:rPr>
      </w:pPr>
    </w:p>
    <w:p>
      <w:pPr>
        <w:ind w:left="1420" w:right="299" w:firstLine="337"/>
        <w:spacing w:after="0" w:line="283" w:lineRule="auto"/>
        <w:rPr>
          <w:sz w:val="20"/>
          <w:szCs w:val="20"/>
          <w:color w:val="auto"/>
        </w:rPr>
      </w:pPr>
      <w:r>
        <w:rPr>
          <w:rFonts w:ascii="Times New Roman" w:cs="Times New Roman" w:eastAsia="Times New Roman" w:hAnsi="Times New Roman"/>
          <w:sz w:val="13"/>
          <w:szCs w:val="13"/>
          <w:b w:val="1"/>
          <w:bCs w:val="1"/>
          <w:color w:val="auto"/>
        </w:rPr>
        <w:t xml:space="preserve">MiFID II professionals/ECPs-only: </w:t>
      </w:r>
      <w:r>
        <w:rPr>
          <w:rFonts w:ascii="Times New Roman" w:cs="Times New Roman" w:eastAsia="Times New Roman" w:hAnsi="Times New Roman"/>
          <w:sz w:val="13"/>
          <w:szCs w:val="13"/>
          <w:color w:val="auto"/>
        </w:rPr>
        <w:t>Manufacturer target market (MiFID II product governance) is eligible counterparties and professional clients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only (all distribution channels). Any person subsequently offering, selling or recommending the notes (a “distributor”) should take into consideration the manufacturers’ target market assessment; however, a distributor subject to MiFID II is responsible for undertaking its own target market assessment in respect of the notes (by either adopting or refining the manufacturers’ target market assessment) and determining appropriate distribution channels.</w:t>
      </w:r>
    </w:p>
    <w:p>
      <w:pPr>
        <w:spacing w:after="0" w:line="122" w:lineRule="exact"/>
        <w:rPr>
          <w:sz w:val="20"/>
          <w:szCs w:val="20"/>
          <w:color w:val="auto"/>
        </w:rPr>
      </w:pPr>
    </w:p>
    <w:p>
      <w:pPr>
        <w:ind w:left="1420" w:right="319" w:firstLine="337"/>
        <w:spacing w:after="0" w:line="249" w:lineRule="auto"/>
        <w:rPr>
          <w:sz w:val="20"/>
          <w:szCs w:val="20"/>
          <w:color w:val="auto"/>
        </w:rPr>
      </w:pPr>
      <w:r>
        <w:rPr>
          <w:rFonts w:ascii="Times New Roman" w:cs="Times New Roman" w:eastAsia="Times New Roman" w:hAnsi="Times New Roman"/>
          <w:sz w:val="14"/>
          <w:szCs w:val="14"/>
          <w:b w:val="1"/>
          <w:bCs w:val="1"/>
          <w:color w:val="auto"/>
        </w:rPr>
        <w:t xml:space="preserve">Prohibition of Sales to UK Retail Investors: </w:t>
      </w:r>
      <w:r>
        <w:rPr>
          <w:rFonts w:ascii="Times New Roman" w:cs="Times New Roman" w:eastAsia="Times New Roman" w:hAnsi="Times New Roman"/>
          <w:sz w:val="14"/>
          <w:szCs w:val="14"/>
          <w:color w:val="auto"/>
        </w:rPr>
        <w:t>The notes are not intended to be offered, sold, distributed or otherwise made available to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should not be offered, sold, distributed or otherwise made available to any retail investor in the United Kingdom (“UK”). For these purposes, (a) the expression “retail investor” means a person who is one (or both) of the following: (i) not a “professional client,” as defined in point (8) of Article 2(1) of Regulation (EU) No 600/2014 as it forms part of assimilated law in the UK by virtue of the European Union (Withdrawal) Act 2018 (as amended, and together with any statutory instruments made in exercise of the powers conferred by such Act, the “EUWA”); (ii) not a “qualified investor” as defined in paragraph 15 of Schedule 1 to The Public Offers and Admissions to Trading Regulations 2024 (the “POATRs”); and (b) the expression “offer” includes the communication in any form and by any means of sufficient information on the terms of the offer and the securities to be offered so as to enable an investor to decide to buy or subscribe for such securities. Consequently, no disclosure document required by the FCA Product Disclosure Sourcebook (the “DISC Sourcebook”) for offering, selling or distributing the notes or otherwise making them available to retail investors in the UK has been prepared and therefore offering, selling or distributing the notes or otherwise making them available to any retail investor in the UK may be unlawful under the DISC Sourcebook and The Consumer Composite Investments (Designated Activities) Regulations 2024.</w:t>
      </w:r>
    </w:p>
    <w:p>
      <w:pPr>
        <w:spacing w:after="0" w:line="152" w:lineRule="exact"/>
        <w:rPr>
          <w:sz w:val="20"/>
          <w:szCs w:val="20"/>
          <w:color w:val="auto"/>
        </w:rPr>
      </w:pPr>
    </w:p>
    <w:p>
      <w:pPr>
        <w:ind w:left="1420" w:right="299" w:firstLine="337"/>
        <w:spacing w:after="0" w:line="249" w:lineRule="auto"/>
        <w:rPr>
          <w:sz w:val="20"/>
          <w:szCs w:val="20"/>
          <w:color w:val="auto"/>
        </w:rPr>
      </w:pPr>
      <w:r>
        <w:rPr>
          <w:rFonts w:ascii="Times New Roman" w:cs="Times New Roman" w:eastAsia="Times New Roman" w:hAnsi="Times New Roman"/>
          <w:sz w:val="14"/>
          <w:szCs w:val="14"/>
          <w:color w:val="auto"/>
        </w:rPr>
        <w:t>In the UK, this prospectus supplement and the accompanying prospectus are only being distributed to, and are only directed at, and any offer subsequently made may only be directed at non-retail investors (being persons who are not retail investors as defined in the paragraph above) who are also: (i) persons having professional experience in matters relating to investments who falls within the definition of “investment professionals” in Article 19(5) of the Financial Services and Markets Act 2000 (Financial Promotion) Order 2005 (the “Order”); (ii) high net worth companies, unincorporated associations and partnerships and trustees of high value trusts described in Article 49(a) to (d) of the Order; or (iii) persons to whom an invitation or inducement to engage in investment activity (within the meaning of Section 21 of the Financial Services and Markets Act 2000 (“FSMA”)) in connection with the issue or sale of any securities may otherwise (each such person being referred to as a “Relevant Person”). In the UK, any investment or investment activity to which this prospectus supplement and the accompanying prospectus relate is available only to, and will be engaged in only with, Relevant Persons. This prospectus supplement and the accompanying prospectus and their contents are confidential and should not be distributed, published or reproduced (in whole or in part) or disclosed by recipients to any other persons in the UK. Any person in the UK that is not a Relevant Person should not act or rely on this prospectus supplement and/or the accompanying prospectus or any of their contents.</w:t>
      </w:r>
    </w:p>
    <w:p>
      <w:pPr>
        <w:spacing w:after="0" w:line="148" w:lineRule="exact"/>
        <w:rPr>
          <w:sz w:val="20"/>
          <w:szCs w:val="20"/>
          <w:color w:val="auto"/>
        </w:rPr>
      </w:pPr>
    </w:p>
    <w:p>
      <w:pPr>
        <w:jc w:val="both"/>
        <w:ind w:left="1420" w:right="479" w:firstLine="337"/>
        <w:spacing w:after="0" w:line="259"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have not been approved for the purposes of Section 21 of the FSMA by a person authorized under the FSMA. This prospectus supplement and the accompanying prospectus are being distributed and communicated to persons in the UK only in circumstances in which Section 21(1) of the FSMA does not apply to the issuer.</w:t>
      </w:r>
    </w:p>
    <w:p>
      <w:pPr>
        <w:spacing w:after="0" w:line="137" w:lineRule="exact"/>
        <w:rPr>
          <w:sz w:val="20"/>
          <w:szCs w:val="20"/>
          <w:color w:val="auto"/>
        </w:rPr>
      </w:pPr>
    </w:p>
    <w:p>
      <w:pPr>
        <w:ind w:left="1420" w:right="339" w:firstLine="337"/>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United Kingdom MiFIR professionals/ECPs-only: </w:t>
      </w:r>
      <w:r>
        <w:rPr>
          <w:rFonts w:ascii="Times New Roman" w:cs="Times New Roman" w:eastAsia="Times New Roman" w:hAnsi="Times New Roman"/>
          <w:sz w:val="14"/>
          <w:szCs w:val="14"/>
          <w:color w:val="auto"/>
        </w:rPr>
        <w:t>Manufacturer target market (FCA Handbook Product Intervention and Product Governance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Sourcebook (the “UK MiFIR Product Governance Rules”)) is eligible counterparties and professional clients only (all distribution channels). Any distributor should take into consideration the manufacturers’ target market assessment; however, a distributor subject to UK MiFIR Product Governance Rules is responsible for undertaking its own target market assessment in respect of the notes (by either adopting or refining the manufacturers’ target market assessment) and determining appropriate distribution channels.</w:t>
      </w:r>
    </w:p>
    <w:p>
      <w:pPr>
        <w:spacing w:after="0" w:line="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S-iii</w:t>
      </w:r>
    </w:p>
    <w:p>
      <w:pPr>
        <w:sectPr>
          <w:pgSz w:w="11900" w:h="16838" w:orient="portrait"/>
          <w:cols w:equalWidth="0" w:num="1">
            <w:col w:w="10159"/>
          </w:cols>
          <w:pgMar w:left="300" w:top="381"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4" w:lineRule="exact"/>
        <w:rPr>
          <w:sz w:val="20"/>
          <w:szCs w:val="20"/>
          <w:color w:val="auto"/>
        </w:rPr>
      </w:pPr>
    </w:p>
    <w:p>
      <w:pPr>
        <w:ind w:left="1420" w:right="319" w:firstLine="337"/>
        <w:spacing w:after="0" w:line="255"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We have also filed with the SEC a registration statement on Form S-3, including exhibits, with respect to the notes offered by this prospectus supplement. This prospectus supplement and the accompanying prospectus are part of the registration statement, but do not contain all of the information included in the registration statement or the exhibits. Our filings with the SEC are available to the public through the SEC’s Internet site at http://www.sec.gov.</w:t>
      </w:r>
    </w:p>
    <w:p>
      <w:pPr>
        <w:spacing w:after="0" w:line="14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We are “incorporating by reference” specified documents that we file with the SEC, which means:</w:t>
      </w:r>
    </w:p>
    <w:p>
      <w:pPr>
        <w:spacing w:after="0" w:line="98" w:lineRule="exact"/>
        <w:rPr>
          <w:sz w:val="20"/>
          <w:szCs w:val="20"/>
          <w:color w:val="auto"/>
        </w:rPr>
      </w:pPr>
    </w:p>
    <w:p>
      <w:pPr>
        <w:ind w:left="2160" w:hanging="322"/>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documents are considered part of this prospectus supplement and the accompanying prospectus;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disclosing important information to you by referring you to those documents; and</w:t>
      </w:r>
    </w:p>
    <w:p>
      <w:pPr>
        <w:spacing w:after="0" w:line="97" w:lineRule="exact"/>
        <w:rPr>
          <w:rFonts w:ascii="Times New Roman" w:cs="Times New Roman" w:eastAsia="Times New Roman" w:hAnsi="Times New Roman"/>
          <w:sz w:val="14"/>
          <w:szCs w:val="14"/>
          <w:color w:val="auto"/>
        </w:rPr>
      </w:pPr>
    </w:p>
    <w:p>
      <w:pPr>
        <w:ind w:left="2160" w:right="799" w:hanging="322"/>
        <w:spacing w:after="0" w:line="273"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we file with the SEC after the date of this prospectus supplement will automatically update and supersede information included or incorporated by reference in this prospectus supplement and the accompanying prospectus.</w:t>
      </w:r>
    </w:p>
    <w:p>
      <w:pPr>
        <w:spacing w:after="0" w:line="130" w:lineRule="exact"/>
        <w:rPr>
          <w:sz w:val="20"/>
          <w:szCs w:val="20"/>
          <w:color w:val="auto"/>
        </w:rPr>
      </w:pPr>
    </w:p>
    <w:p>
      <w:pPr>
        <w:ind w:left="1420" w:right="319" w:firstLine="337"/>
        <w:spacing w:after="0" w:line="312" w:lineRule="auto"/>
        <w:rPr>
          <w:sz w:val="20"/>
          <w:szCs w:val="20"/>
          <w:color w:val="auto"/>
        </w:rPr>
      </w:pPr>
      <w:r>
        <w:rPr>
          <w:rFonts w:ascii="Times New Roman" w:cs="Times New Roman" w:eastAsia="Times New Roman" w:hAnsi="Times New Roman"/>
          <w:sz w:val="13"/>
          <w:szCs w:val="13"/>
          <w:color w:val="auto"/>
        </w:rPr>
        <w:t>We incorporate by reference the documents listed below and any future filings we make with the SEC under Sections 13(a), 13(c), 14 or 15(d) of the Exchange Act after the date of this prospectus supplement and before the end of the offering of the securities pursuant to this prospectus supplement:</w:t>
      </w:r>
    </w:p>
    <w:p>
      <w:pPr>
        <w:spacing w:after="0" w:line="35" w:lineRule="exact"/>
        <w:rPr>
          <w:sz w:val="20"/>
          <w:szCs w:val="20"/>
          <w:color w:val="auto"/>
        </w:rPr>
      </w:pPr>
    </w:p>
    <w:p>
      <w:pPr>
        <w:ind w:left="2160" w:hanging="322"/>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w:t>
      </w:r>
      <w:hyperlink r:id="rId19">
        <w:r>
          <w:rPr>
            <w:rFonts w:ascii="Times New Roman" w:cs="Times New Roman" w:eastAsia="Times New Roman" w:hAnsi="Times New Roman"/>
            <w:sz w:val="14"/>
            <w:szCs w:val="14"/>
            <w:u w:val="single" w:color="auto"/>
            <w:color w:val="0000EE"/>
          </w:rPr>
          <w:t>Annual Report on 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w:t>
      </w:r>
      <w:hyperlink r:id="rId20">
        <w:r>
          <w:rPr>
            <w:rFonts w:ascii="Times New Roman" w:cs="Times New Roman" w:eastAsia="Times New Roman" w:hAnsi="Times New Roman"/>
            <w:sz w:val="14"/>
            <w:szCs w:val="14"/>
            <w:u w:val="single" w:color="auto"/>
            <w:color w:val="0000EE"/>
          </w:rPr>
          <w:t>Quarterly Report on 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quarter ended March 31, 2026;</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on </w:t>
      </w:r>
      <w:hyperlink r:id="rId21">
        <w:r>
          <w:rPr>
            <w:rFonts w:ascii="Times New Roman" w:cs="Times New Roman" w:eastAsia="Times New Roman" w:hAnsi="Times New Roman"/>
            <w:sz w:val="14"/>
            <w:szCs w:val="14"/>
            <w:u w:val="single" w:color="auto"/>
            <w:color w:val="0000EE"/>
          </w:rPr>
          <w:t>February 20, 2026</w:t>
        </w:r>
      </w:hyperlink>
      <w:r>
        <w:rPr>
          <w:rFonts w:ascii="Times New Roman" w:cs="Times New Roman" w:eastAsia="Times New Roman" w:hAnsi="Times New Roman"/>
          <w:sz w:val="14"/>
          <w:szCs w:val="14"/>
          <w:color w:val="auto"/>
        </w:rPr>
        <w:t xml:space="preserve">, </w:t>
      </w:r>
      <w:hyperlink r:id="rId22">
        <w:r>
          <w:rPr>
            <w:rFonts w:ascii="Times New Roman" w:cs="Times New Roman" w:eastAsia="Times New Roman" w:hAnsi="Times New Roman"/>
            <w:sz w:val="14"/>
            <w:szCs w:val="14"/>
            <w:u w:val="single" w:color="auto"/>
            <w:color w:val="0000EE"/>
          </w:rPr>
          <w:t>May 22,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23">
        <w:r>
          <w:rPr>
            <w:rFonts w:ascii="Times New Roman" w:cs="Times New Roman" w:eastAsia="Times New Roman" w:hAnsi="Times New Roman"/>
            <w:sz w:val="14"/>
            <w:szCs w:val="14"/>
            <w:u w:val="single" w:color="auto"/>
            <w:color w:val="0000EE"/>
          </w:rPr>
          <w:t>June 15, 2026</w:t>
        </w:r>
      </w:hyperlink>
      <w:r>
        <w:rPr>
          <w:rFonts w:ascii="Times New Roman" w:cs="Times New Roman" w:eastAsia="Times New Roman" w:hAnsi="Times New Roman"/>
          <w:sz w:val="14"/>
          <w:szCs w:val="14"/>
          <w:color w:val="auto"/>
        </w:rPr>
        <w:t>; and</w:t>
      </w:r>
    </w:p>
    <w:p>
      <w:pPr>
        <w:spacing w:after="0" w:line="97" w:lineRule="exact"/>
        <w:rPr>
          <w:rFonts w:ascii="Times New Roman" w:cs="Times New Roman" w:eastAsia="Times New Roman" w:hAnsi="Times New Roman"/>
          <w:sz w:val="14"/>
          <w:szCs w:val="14"/>
          <w:color w:val="auto"/>
        </w:rPr>
      </w:pPr>
    </w:p>
    <w:p>
      <w:pPr>
        <w:ind w:left="2160" w:right="339" w:hanging="322"/>
        <w:spacing w:after="0" w:line="273"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in the Definitive Proxy Statement for our 2026 annual meeting filed with the SEC on </w:t>
      </w:r>
      <w:hyperlink r:id="rId24">
        <w:r>
          <w:rPr>
            <w:rFonts w:ascii="Times New Roman" w:cs="Times New Roman" w:eastAsia="Times New Roman" w:hAnsi="Times New Roman"/>
            <w:sz w:val="14"/>
            <w:szCs w:val="14"/>
            <w:u w:val="single" w:color="auto"/>
            <w:color w:val="0000EE"/>
          </w:rPr>
          <w:t>April 2,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that is incorporated by reference into our Annual Report on Form 10-K for the year ended December 31, 2025.</w:t>
      </w:r>
    </w:p>
    <w:p>
      <w:pPr>
        <w:spacing w:after="0" w:line="130" w:lineRule="exact"/>
        <w:rPr>
          <w:rFonts w:ascii="Times New Roman" w:cs="Times New Roman" w:eastAsia="Times New Roman" w:hAnsi="Times New Roman"/>
          <w:sz w:val="14"/>
          <w:szCs w:val="14"/>
          <w:color w:val="auto"/>
        </w:rPr>
      </w:pPr>
    </w:p>
    <w:p>
      <w:pPr>
        <w:ind w:left="1420" w:right="399" w:firstLine="337"/>
        <w:spacing w:after="0" w:line="273" w:lineRule="auto"/>
        <w:rPr>
          <w:sz w:val="20"/>
          <w:szCs w:val="20"/>
          <w:color w:val="auto"/>
        </w:rPr>
      </w:pPr>
      <w:r>
        <w:rPr>
          <w:rFonts w:ascii="Times New Roman" w:cs="Times New Roman" w:eastAsia="Times New Roman" w:hAnsi="Times New Roman"/>
          <w:sz w:val="14"/>
          <w:szCs w:val="14"/>
          <w:color w:val="auto"/>
        </w:rPr>
        <w:t>Notwithstanding the foregoing, documents or portions thereof containing information furnished under Items 2.02 and 7.01 of any Current Report on Form 8-K, including the related exhibits under Item 9.01, are not incorporated by reference into this prospectus supplement.</w:t>
      </w:r>
    </w:p>
    <w:p>
      <w:pPr>
        <w:spacing w:after="0" w:line="130" w:lineRule="exact"/>
        <w:rPr>
          <w:rFonts w:ascii="Times New Roman" w:cs="Times New Roman" w:eastAsia="Times New Roman" w:hAnsi="Times New Roman"/>
          <w:sz w:val="14"/>
          <w:szCs w:val="14"/>
          <w:color w:val="auto"/>
        </w:rPr>
      </w:pPr>
    </w:p>
    <w:p>
      <w:pPr>
        <w:ind w:left="1760"/>
        <w:spacing w:after="0"/>
        <w:rPr>
          <w:sz w:val="20"/>
          <w:szCs w:val="20"/>
          <w:color w:val="auto"/>
        </w:rPr>
      </w:pPr>
      <w:r>
        <w:rPr>
          <w:rFonts w:ascii="Times New Roman" w:cs="Times New Roman" w:eastAsia="Times New Roman" w:hAnsi="Times New Roman"/>
          <w:sz w:val="14"/>
          <w:szCs w:val="14"/>
          <w:color w:val="auto"/>
        </w:rPr>
        <w:t>You may request a copy of any of these filings, at no cost, by request directed to us at the following address or telephone number:</w:t>
      </w:r>
    </w:p>
    <w:p>
      <w:pPr>
        <w:spacing w:after="0" w:line="87"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Fiserv, Inc.</w:t>
      </w:r>
    </w:p>
    <w:p>
      <w:pPr>
        <w:spacing w:after="0" w:line="18"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600 N. Vel R. Phillips Avenue</w:t>
      </w:r>
    </w:p>
    <w:p>
      <w:pPr>
        <w:spacing w:after="0" w:line="4"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Milwaukee, WI 53203</w:t>
      </w:r>
    </w:p>
    <w:p>
      <w:pPr>
        <w:spacing w:after="0" w:line="4"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(262) 879-5000</w:t>
      </w:r>
    </w:p>
    <w:p>
      <w:pPr>
        <w:spacing w:after="0" w:line="4"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Attention: Secretary</w:t>
      </w:r>
    </w:p>
    <w:p>
      <w:pPr>
        <w:spacing w:after="0" w:line="157" w:lineRule="exact"/>
        <w:rPr>
          <w:rFonts w:ascii="Times New Roman" w:cs="Times New Roman" w:eastAsia="Times New Roman" w:hAnsi="Times New Roman"/>
          <w:sz w:val="14"/>
          <w:szCs w:val="14"/>
          <w:color w:val="auto"/>
        </w:rPr>
      </w:pPr>
    </w:p>
    <w:p>
      <w:pPr>
        <w:ind w:left="1420" w:right="439" w:firstLine="337"/>
        <w:spacing w:after="0" w:line="273" w:lineRule="auto"/>
        <w:rPr>
          <w:sz w:val="20"/>
          <w:szCs w:val="20"/>
          <w:color w:val="auto"/>
        </w:rPr>
      </w:pPr>
      <w:r>
        <w:rPr>
          <w:rFonts w:ascii="Times New Roman" w:cs="Times New Roman" w:eastAsia="Times New Roman" w:hAnsi="Times New Roman"/>
          <w:sz w:val="14"/>
          <w:szCs w:val="14"/>
          <w:color w:val="auto"/>
        </w:rPr>
        <w:t>You can also find these filings on our website at www.fiserv.com. We are not incorporating the information on or accessible through our website other than these filings into this prospectus supplement.</w:t>
      </w:r>
    </w:p>
    <w:p>
      <w:pPr>
        <w:spacing w:after="0" w:line="78" w:lineRule="exact"/>
        <w:rPr>
          <w:rFonts w:ascii="Times New Roman" w:cs="Times New Roman" w:eastAsia="Times New Roman" w:hAnsi="Times New Roman"/>
          <w:sz w:val="14"/>
          <w:szCs w:val="14"/>
          <w:color w:val="auto"/>
        </w:rPr>
      </w:pPr>
    </w:p>
    <w:p>
      <w:pPr>
        <w:ind w:left="5520"/>
        <w:spacing w:after="0"/>
        <w:rPr>
          <w:sz w:val="20"/>
          <w:szCs w:val="20"/>
          <w:color w:val="auto"/>
        </w:rPr>
      </w:pPr>
      <w:r>
        <w:rPr>
          <w:rFonts w:ascii="Times New Roman" w:cs="Times New Roman" w:eastAsia="Times New Roman" w:hAnsi="Times New Roman"/>
          <w:sz w:val="14"/>
          <w:szCs w:val="14"/>
          <w:color w:val="auto"/>
        </w:rPr>
        <w:t>S-iv</w:t>
      </w:r>
    </w:p>
    <w:p>
      <w:pPr>
        <w:sectPr>
          <w:pgSz w:w="11900" w:h="16838" w:orient="portrait"/>
          <w:cols w:equalWidth="0" w:num="1">
            <w:col w:w="10159"/>
          </w:cols>
          <w:pgMar w:left="300" w:top="381"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74" w:lineRule="exact"/>
        <w:rPr>
          <w:sz w:val="20"/>
          <w:szCs w:val="20"/>
          <w:color w:val="auto"/>
        </w:rPr>
      </w:pPr>
    </w:p>
    <w:p>
      <w:pPr>
        <w:ind w:left="1420" w:right="359" w:firstLine="337"/>
        <w:spacing w:after="0" w:line="247" w:lineRule="auto"/>
        <w:rPr>
          <w:sz w:val="20"/>
          <w:szCs w:val="20"/>
          <w:color w:val="auto"/>
        </w:rPr>
      </w:pPr>
      <w:r>
        <w:rPr>
          <w:rFonts w:ascii="Times New Roman" w:cs="Times New Roman" w:eastAsia="Times New Roman" w:hAnsi="Times New Roman"/>
          <w:sz w:val="14"/>
          <w:szCs w:val="14"/>
          <w:color w:val="auto"/>
        </w:rPr>
        <w:t>This prospectus supplement, the accompanying prospectus and the information incorporated by reference into this prospectus supplement and the accompanying prospectus contain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outlook, or similar expression, and can generally be identified as forward-looking because they include words such as “believes,” “anticipates,” “expects,” “could,” “should,” “confident,” “likely,” “plan,” or words of similar meaning. Statements that describe our future plans, objectives or goals are also forward-looking statements. The forward-looking statements included or incorporated by reference into this prospectus supplement and the accompanying prospectus involve significant risks and uncertainties, and a number of factors, both foreseen and unforeseen, could cause actual results to differ materially from our current expectations. The factors that may affect our results include, among others, the following: our ability to compete effectively against new and existing competitors and to continue to introduce competitive new products and services on a timely, cost-effective basis; changes in customer demand for our products and services; the ability of our technology to keep pace with a rapidly evolving marketplace; our ability to successfully implement and achieve the expected benefits associated with our One Fiserv action plan; the success of our merchant alliances, some of which we do not control; the impact of a security breach or operational failure on our business, including disruptions caused by other participants in the global financial system; losses due to chargebacks, refunds or returns as a result of fraud or the failure of our vendors and merchants to satisfy their obligations; changes in local, regional, national and international economic or political conditions, including those resulting from heightened inflation, rising interest rates, taxes, trade policies and tariffs, a recession, bank failures, or international hostilities, and the impact they may have on us and our employees, clients, vendors, supply chain, operations and sales; our ability to use artificial intelligence to improve our products and services and enhance our operations; the effect of proposed and enacted legislative and regulatory actions affecting us or the financial services industry as a whole; our ability to comply with government regulations and applicable card association and network rules; the protection and validity of intellectual property rights; the outcome of pending and future litigation and governmental proceedings; our ability to successfully identify, complete and integrate acquisitions, and to realize the anticipated benefits associated with the same; the impact of our growth strategies; our ability to attract and retain key personnel; adverse impacts from currency exchange rates or currency controls; changes in corporate tax and interest rates; and other factors identified in “Risk Factors” in our Annual Report on Form 10-K for the year ended December 31, 2025 and in other documents that we file with the Securities and Exchange Commission, which are available at http://www.sec.gov. You should consider these factors carefully in evaluating forward-looking statements and are cautioned not to place undue reliance on such statements, which speak only as of the date of this prospectus supplement or the date of the incorporated document. We undertake no obligation to update forward-looking statements to reflect events or circumstances occurring after the date of this prospectus supplement.</w:t>
      </w:r>
    </w:p>
    <w:p>
      <w:pPr>
        <w:spacing w:after="0" w:line="3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S-v</w:t>
      </w:r>
    </w:p>
    <w:p>
      <w:pPr>
        <w:sectPr>
          <w:pgSz w:w="11900" w:h="16838" w:orient="portrait"/>
          <w:cols w:equalWidth="0" w:num="1">
            <w:col w:w="10159"/>
          </w:cols>
          <w:pgMar w:left="300" w:top="381"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161290</wp:posOffset>
            </wp:positionV>
            <wp:extent cx="5364480" cy="46488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5364480" cy="4648835"/>
                    </a:xfrm>
                    <a:prstGeom prst="rect">
                      <a:avLst/>
                    </a:prstGeom>
                    <a:noFill/>
                  </pic:spPr>
                </pic:pic>
              </a:graphicData>
            </a:graphic>
          </wp:anchor>
        </w:drawing>
      </w:r>
    </w:p>
    <w:p>
      <w:pPr>
        <w:spacing w:after="0" w:line="3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74" w:lineRule="exact"/>
        <w:rPr>
          <w:sz w:val="20"/>
          <w:szCs w:val="20"/>
          <w:color w:val="auto"/>
        </w:rPr>
      </w:pPr>
    </w:p>
    <w:p>
      <w:pPr>
        <w:ind w:left="1560" w:right="499" w:firstLine="326"/>
        <w:spacing w:after="0" w:line="281" w:lineRule="auto"/>
        <w:rPr>
          <w:sz w:val="20"/>
          <w:szCs w:val="20"/>
          <w:color w:val="auto"/>
        </w:rPr>
      </w:pPr>
      <w:r>
        <w:rPr>
          <w:rFonts w:ascii="Times New Roman" w:cs="Times New Roman" w:eastAsia="Times New Roman" w:hAnsi="Times New Roman"/>
          <w:sz w:val="13"/>
          <w:szCs w:val="13"/>
          <w:color w:val="auto"/>
        </w:rPr>
        <w:t>This summary highlights information contained or incorporated by reference into this prospectus supplement and the accompanying prospectus. This summary may not contain all of the information that may be important to you. You should read this entire prospectus supplement, including the “Risk Factors” section of this prospectus supplement, the accompanying prospectus, the risk factors discussed in our most recent Annual Report on Form 10-K and the other information incorporated by reference carefully before making a decision to invest in our notes.</w:t>
      </w:r>
    </w:p>
    <w:p>
      <w:pPr>
        <w:spacing w:after="0" w:line="28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17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Fiserv</w:t>
      </w:r>
    </w:p>
    <w:p>
      <w:pPr>
        <w:spacing w:after="0" w:line="91" w:lineRule="exact"/>
        <w:rPr>
          <w:sz w:val="20"/>
          <w:szCs w:val="20"/>
          <w:color w:val="auto"/>
        </w:rPr>
      </w:pPr>
    </w:p>
    <w:p>
      <w:pPr>
        <w:ind w:left="1560" w:right="639" w:firstLine="326"/>
        <w:spacing w:after="0" w:line="233" w:lineRule="auto"/>
        <w:rPr>
          <w:sz w:val="20"/>
          <w:szCs w:val="20"/>
          <w:color w:val="auto"/>
        </w:rPr>
      </w:pPr>
      <w:r>
        <w:rPr>
          <w:rFonts w:ascii="Times New Roman" w:cs="Times New Roman" w:eastAsia="Times New Roman" w:hAnsi="Times New Roman"/>
          <w:sz w:val="14"/>
          <w:szCs w:val="14"/>
          <w:color w:val="auto"/>
        </w:rPr>
        <w:t>We are a leading global provider of payments and financial services technology solutions. We are publicly traded on the NASDAQ Global Select Market under the symbol “FISV” and part of the S&amp;P 500 Index. We serve clients around the globe, including merchants, banks, credit unions, other financial institutions, corporate and public sector clients. We help clients achieve best-in-class results through a commitment to innovation and excellence in areas including account processing and digital banking solutions; card issuer processing and network services; payments; e-commerce; merchant acquiring and processing; and the Clover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cloud-based point-of-sale (“POS”) and business management platform.</w:t>
      </w:r>
    </w:p>
    <w:p>
      <w:pPr>
        <w:spacing w:after="0" w:line="154" w:lineRule="exact"/>
        <w:rPr>
          <w:sz w:val="20"/>
          <w:szCs w:val="20"/>
          <w:color w:val="auto"/>
        </w:rPr>
      </w:pPr>
    </w:p>
    <w:p>
      <w:pPr>
        <w:ind w:left="1560" w:right="579" w:firstLine="326"/>
        <w:spacing w:after="0" w:line="289" w:lineRule="auto"/>
        <w:rPr>
          <w:sz w:val="20"/>
          <w:szCs w:val="20"/>
          <w:color w:val="auto"/>
        </w:rPr>
      </w:pPr>
      <w:r>
        <w:rPr>
          <w:rFonts w:ascii="Times New Roman" w:cs="Times New Roman" w:eastAsia="Times New Roman" w:hAnsi="Times New Roman"/>
          <w:sz w:val="13"/>
          <w:szCs w:val="13"/>
          <w:color w:val="auto"/>
        </w:rPr>
        <w:t>We are focused on providing exceptional client service, world-class execution, value-added technology solutions, and cutting-edge innovation. Our long-term focus is to meet our financial commitments, deliver compelling, innovative solutions that address our clients’ most critical needs, and realize productivity and efficiency gains by embedding artificial intelligence in our products, services and business operations.</w:t>
      </w:r>
    </w:p>
    <w:p>
      <w:pPr>
        <w:spacing w:after="0" w:line="122" w:lineRule="exact"/>
        <w:rPr>
          <w:sz w:val="20"/>
          <w:szCs w:val="20"/>
          <w:color w:val="auto"/>
        </w:rPr>
      </w:pPr>
    </w:p>
    <w:p>
      <w:pPr>
        <w:ind w:left="1560" w:right="479" w:firstLine="326"/>
        <w:spacing w:after="0" w:line="253" w:lineRule="auto"/>
        <w:rPr>
          <w:sz w:val="20"/>
          <w:szCs w:val="20"/>
          <w:color w:val="auto"/>
        </w:rPr>
      </w:pPr>
      <w:r>
        <w:rPr>
          <w:rFonts w:ascii="Times New Roman" w:cs="Times New Roman" w:eastAsia="Times New Roman" w:hAnsi="Times New Roman"/>
          <w:sz w:val="14"/>
          <w:szCs w:val="14"/>
          <w:color w:val="auto"/>
        </w:rPr>
        <w:t>In 2025, we had $21.2 billion in total revenue, $5.8 billion in operating income and $6.1 billion of net cash provided by operating activities, and in the three months ended March 31, 2026, we had $5.0 billion in total revenue, $918 million in operating income and $599 million of net cash provided by operating activities. Processing and services revenue, which represented 80% of our total revenue in 2025 and 81% of our total revenue in the three months ended March 31, 2026, is primarily generated from account- and transaction-based fees under multi-year contracts that generally have high renewal rates.</w:t>
      </w:r>
    </w:p>
    <w:p>
      <w:pPr>
        <w:spacing w:after="0" w:line="144" w:lineRule="exact"/>
        <w:rPr>
          <w:sz w:val="20"/>
          <w:szCs w:val="20"/>
          <w:color w:val="auto"/>
        </w:rPr>
      </w:pPr>
    </w:p>
    <w:p>
      <w:pPr>
        <w:ind w:left="1560" w:right="759" w:firstLine="326"/>
        <w:spacing w:after="0" w:line="273" w:lineRule="auto"/>
        <w:rPr>
          <w:sz w:val="20"/>
          <w:szCs w:val="20"/>
          <w:color w:val="auto"/>
        </w:rPr>
      </w:pPr>
      <w:r>
        <w:rPr>
          <w:rFonts w:ascii="Times New Roman" w:cs="Times New Roman" w:eastAsia="Times New Roman" w:hAnsi="Times New Roman"/>
          <w:sz w:val="14"/>
          <w:szCs w:val="14"/>
          <w:color w:val="auto"/>
        </w:rPr>
        <w:t>We serve our global client base by working among our geographic teams across various regions, including the United States of America (“U.S.”) and Canada; Europe, Middle East and Africa; Latin America; and Asia Pacific.</w:t>
      </w:r>
    </w:p>
    <w:p>
      <w:pPr>
        <w:spacing w:after="0" w:line="130" w:lineRule="exact"/>
        <w:rPr>
          <w:sz w:val="20"/>
          <w:szCs w:val="20"/>
          <w:color w:val="auto"/>
        </w:rPr>
      </w:pPr>
    </w:p>
    <w:p>
      <w:pPr>
        <w:ind w:left="1560" w:right="459" w:firstLine="326"/>
        <w:spacing w:after="0" w:line="255" w:lineRule="auto"/>
        <w:rPr>
          <w:sz w:val="20"/>
          <w:szCs w:val="20"/>
          <w:color w:val="auto"/>
        </w:rPr>
      </w:pPr>
      <w:r>
        <w:rPr>
          <w:rFonts w:ascii="Times New Roman" w:cs="Times New Roman" w:eastAsia="Times New Roman" w:hAnsi="Times New Roman"/>
          <w:sz w:val="14"/>
          <w:szCs w:val="14"/>
          <w:color w:val="auto"/>
        </w:rPr>
        <w:t>We have grown our business organically by signing new clients, as well as through acquisitions, expanding the products and services we provide to existing clients, offering new and enhanced products and services developed through innovation and acquisition, and extending our capabilities geographically, all of which have enabled us to deliver a wide range of products and services and created new opportunities for growth. Our operations are comprised of the Merchant Solutions (“Merchant”) segment and the Financial Solutions (“Financial”) segment.</w:t>
      </w:r>
    </w:p>
    <w:p>
      <w:pPr>
        <w:spacing w:after="0" w:line="14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Our headquarters are located at 600 N. Vel R. Phillips Avenue, Milwaukee, WI 53203, and our telephone number is (262) 879-5000.</w:t>
      </w:r>
    </w:p>
    <w:p>
      <w:pPr>
        <w:spacing w:after="0" w:line="24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Merchant</w:t>
      </w:r>
    </w:p>
    <w:p>
      <w:pPr>
        <w:spacing w:after="0" w:line="91" w:lineRule="exact"/>
        <w:rPr>
          <w:sz w:val="20"/>
          <w:szCs w:val="20"/>
          <w:color w:val="auto"/>
        </w:rPr>
      </w:pPr>
    </w:p>
    <w:p>
      <w:pPr>
        <w:ind w:left="1560" w:right="459" w:firstLine="326"/>
        <w:spacing w:after="0" w:line="273" w:lineRule="auto"/>
        <w:rPr>
          <w:sz w:val="20"/>
          <w:szCs w:val="20"/>
          <w:color w:val="auto"/>
        </w:rPr>
      </w:pPr>
      <w:r>
        <w:rPr>
          <w:rFonts w:ascii="Times New Roman" w:cs="Times New Roman" w:eastAsia="Times New Roman" w:hAnsi="Times New Roman"/>
          <w:sz w:val="14"/>
          <w:szCs w:val="14"/>
          <w:color w:val="auto"/>
        </w:rPr>
        <w:t>The businesses in our Merchant segment provide commerce-enabling products and services to companies of all sizes around the world. These products and services include merchant acquiring and digital commerce</w:t>
      </w: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10159"/>
          </w:cols>
          <w:pgMar w:left="300" w:top="381"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161290</wp:posOffset>
            </wp:positionV>
            <wp:extent cx="5364480" cy="55352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5364480" cy="5535295"/>
                    </a:xfrm>
                    <a:prstGeom prst="rect">
                      <a:avLst/>
                    </a:prstGeom>
                    <a:noFill/>
                  </pic:spPr>
                </pic:pic>
              </a:graphicData>
            </a:graphic>
          </wp:anchor>
        </w:drawing>
      </w:r>
    </w:p>
    <w:p>
      <w:pPr>
        <w:spacing w:after="0" w:line="361" w:lineRule="exact"/>
        <w:rPr>
          <w:sz w:val="20"/>
          <w:szCs w:val="20"/>
          <w:color w:val="auto"/>
        </w:rPr>
      </w:pPr>
    </w:p>
    <w:p>
      <w:pPr>
        <w:ind w:left="1560" w:right="619"/>
        <w:spacing w:after="0" w:line="273" w:lineRule="auto"/>
        <w:rPr>
          <w:sz w:val="20"/>
          <w:szCs w:val="20"/>
          <w:color w:val="auto"/>
        </w:rPr>
      </w:pPr>
      <w:r>
        <w:rPr>
          <w:rFonts w:ascii="Times New Roman" w:cs="Times New Roman" w:eastAsia="Times New Roman" w:hAnsi="Times New Roman"/>
          <w:sz w:val="14"/>
          <w:szCs w:val="14"/>
          <w:color w:val="auto"/>
        </w:rPr>
        <w:t>services; mobile payment services; security and fraud protection solutions; stored-value solutions; and pay-by-bank solutions. The business lines aggregated within the Merchant segment consist of the following:</w:t>
      </w:r>
    </w:p>
    <w:p>
      <w:pPr>
        <w:spacing w:after="0" w:line="54" w:lineRule="exact"/>
        <w:rPr>
          <w:sz w:val="20"/>
          <w:szCs w:val="20"/>
          <w:color w:val="auto"/>
        </w:rPr>
      </w:pPr>
    </w:p>
    <w:p>
      <w:pPr>
        <w:ind w:left="2280" w:right="599" w:hanging="312"/>
        <w:spacing w:after="0" w:line="213" w:lineRule="auto"/>
        <w:tabs>
          <w:tab w:leader="none" w:pos="22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Small Business </w:t>
      </w:r>
      <w:r>
        <w:rPr>
          <w:rFonts w:ascii="Times New Roman" w:cs="Times New Roman" w:eastAsia="Times New Roman" w:hAnsi="Times New Roman"/>
          <w:sz w:val="14"/>
          <w:szCs w:val="14"/>
          <w:color w:val="auto"/>
        </w:rPr>
        <w:t>- provides products and services to small businesses and independent software vendors (“ISVs”), including Clover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POS and business management platform for small business clients</w:t>
      </w:r>
    </w:p>
    <w:p>
      <w:pPr>
        <w:spacing w:after="0" w:line="77" w:lineRule="exact"/>
        <w:rPr>
          <w:rFonts w:ascii="Times New Roman" w:cs="Times New Roman" w:eastAsia="Times New Roman" w:hAnsi="Times New Roman"/>
          <w:sz w:val="14"/>
          <w:szCs w:val="14"/>
          <w:color w:val="auto"/>
        </w:rPr>
      </w:pPr>
    </w:p>
    <w:p>
      <w:pPr>
        <w:ind w:left="2280" w:right="539" w:hanging="312"/>
        <w:spacing w:after="0" w:line="279" w:lineRule="auto"/>
        <w:tabs>
          <w:tab w:leader="none" w:pos="22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Enterprise </w:t>
      </w:r>
      <w:r>
        <w:rPr>
          <w:rFonts w:ascii="Times New Roman" w:cs="Times New Roman" w:eastAsia="Times New Roman" w:hAnsi="Times New Roman"/>
          <w:sz w:val="14"/>
          <w:szCs w:val="14"/>
          <w:color w:val="auto"/>
        </w:rPr>
        <w:t>- provides products and services to large businesses, including our integrated omnichannel operating system for enterprise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clients</w:t>
      </w:r>
    </w:p>
    <w:p>
      <w:pPr>
        <w:spacing w:after="0" w:line="49" w:lineRule="exact"/>
        <w:rPr>
          <w:rFonts w:ascii="Times New Roman" w:cs="Times New Roman" w:eastAsia="Times New Roman" w:hAnsi="Times New Roman"/>
          <w:sz w:val="14"/>
          <w:szCs w:val="14"/>
          <w:color w:val="auto"/>
        </w:rPr>
      </w:pPr>
    </w:p>
    <w:p>
      <w:pPr>
        <w:ind w:left="2280" w:right="619" w:hanging="312"/>
        <w:spacing w:after="0" w:line="279" w:lineRule="auto"/>
        <w:tabs>
          <w:tab w:leader="none" w:pos="22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Processing </w:t>
      </w:r>
      <w:r>
        <w:rPr>
          <w:rFonts w:ascii="Times New Roman" w:cs="Times New Roman" w:eastAsia="Times New Roman" w:hAnsi="Times New Roman"/>
          <w:sz w:val="14"/>
          <w:szCs w:val="14"/>
          <w:color w:val="auto"/>
        </w:rPr>
        <w:t>- provides products and services to financial institutions, joint ventures, and other third party resellers which have direct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relationships with merchants</w:t>
      </w:r>
    </w:p>
    <w:p>
      <w:pPr>
        <w:spacing w:after="0" w:line="126" w:lineRule="exact"/>
        <w:rPr>
          <w:sz w:val="20"/>
          <w:szCs w:val="20"/>
          <w:color w:val="auto"/>
        </w:rPr>
      </w:pPr>
    </w:p>
    <w:p>
      <w:pPr>
        <w:ind w:left="1560" w:right="499" w:firstLine="326"/>
        <w:spacing w:after="0" w:line="259" w:lineRule="auto"/>
        <w:rPr>
          <w:sz w:val="20"/>
          <w:szCs w:val="20"/>
          <w:color w:val="auto"/>
        </w:rPr>
      </w:pPr>
      <w:r>
        <w:rPr>
          <w:rFonts w:ascii="Times New Roman" w:cs="Times New Roman" w:eastAsia="Times New Roman" w:hAnsi="Times New Roman"/>
          <w:sz w:val="14"/>
          <w:szCs w:val="14"/>
          <w:color w:val="auto"/>
        </w:rPr>
        <w:t>We distribute the products and services in our Merchant segment businesses through a variety of channels, including direct sales teams, strategic partnerships with agent sales forces, ISVs, financial institutions and other strategic partners in the form of joint venture alliances, revenue sharing alliances and referral agreements.</w:t>
      </w:r>
    </w:p>
    <w:p>
      <w:pPr>
        <w:spacing w:after="0" w:line="21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Financial</w:t>
      </w:r>
    </w:p>
    <w:p>
      <w:pPr>
        <w:spacing w:after="0" w:line="91" w:lineRule="exact"/>
        <w:rPr>
          <w:sz w:val="20"/>
          <w:szCs w:val="20"/>
          <w:color w:val="auto"/>
        </w:rPr>
      </w:pPr>
    </w:p>
    <w:p>
      <w:pPr>
        <w:ind w:left="1560" w:right="479" w:firstLine="326"/>
        <w:spacing w:after="0" w:line="259" w:lineRule="auto"/>
        <w:rPr>
          <w:sz w:val="20"/>
          <w:szCs w:val="20"/>
          <w:color w:val="auto"/>
        </w:rPr>
      </w:pPr>
      <w:r>
        <w:rPr>
          <w:rFonts w:ascii="Times New Roman" w:cs="Times New Roman" w:eastAsia="Times New Roman" w:hAnsi="Times New Roman"/>
          <w:sz w:val="14"/>
          <w:szCs w:val="14"/>
          <w:color w:val="auto"/>
        </w:rPr>
        <w:t>The businesses in our Financial segment provide products and services to financial institution, corporate and public sector clients across the world, enabling the processing of customer loan and deposit accounts, digital payments and card transactions. The business lines aggregated within the Financial segment consist of the following:</w:t>
      </w:r>
    </w:p>
    <w:p>
      <w:pPr>
        <w:spacing w:after="0" w:line="64" w:lineRule="exact"/>
        <w:rPr>
          <w:sz w:val="20"/>
          <w:szCs w:val="20"/>
          <w:color w:val="auto"/>
        </w:rPr>
      </w:pPr>
    </w:p>
    <w:p>
      <w:pPr>
        <w:ind w:left="2280" w:right="899" w:hanging="312"/>
        <w:spacing w:after="0" w:line="279" w:lineRule="auto"/>
        <w:tabs>
          <w:tab w:leader="none" w:pos="22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Digital Payments </w:t>
      </w:r>
      <w:r>
        <w:rPr>
          <w:rFonts w:ascii="Times New Roman" w:cs="Times New Roman" w:eastAsia="Times New Roman" w:hAnsi="Times New Roman"/>
          <w:sz w:val="14"/>
          <w:szCs w:val="14"/>
          <w:color w:val="auto"/>
        </w:rPr>
        <w:t>- provides debit card processing services; debit network services; security and fraud protection products; bill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payment; person-to-person payments; and account-to-account transfers</w:t>
      </w:r>
    </w:p>
    <w:p>
      <w:pPr>
        <w:spacing w:after="0" w:line="49" w:lineRule="exact"/>
        <w:rPr>
          <w:rFonts w:ascii="Times New Roman" w:cs="Times New Roman" w:eastAsia="Times New Roman" w:hAnsi="Times New Roman"/>
          <w:sz w:val="14"/>
          <w:szCs w:val="14"/>
          <w:color w:val="auto"/>
        </w:rPr>
      </w:pPr>
    </w:p>
    <w:p>
      <w:pPr>
        <w:ind w:left="2280" w:right="1039" w:hanging="312"/>
        <w:spacing w:after="0" w:line="279" w:lineRule="auto"/>
        <w:tabs>
          <w:tab w:leader="none" w:pos="22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Issuing </w:t>
      </w:r>
      <w:r>
        <w:rPr>
          <w:rFonts w:ascii="Times New Roman" w:cs="Times New Roman" w:eastAsia="Times New Roman" w:hAnsi="Times New Roman"/>
          <w:sz w:val="14"/>
          <w:szCs w:val="14"/>
          <w:color w:val="auto"/>
        </w:rPr>
        <w:t>- provides credit card processing services; prepaid card processing services; card production services; print services;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government payment processing; and student loan processing</w:t>
      </w:r>
    </w:p>
    <w:p>
      <w:pPr>
        <w:spacing w:after="0" w:line="49" w:lineRule="exact"/>
        <w:rPr>
          <w:rFonts w:ascii="Times New Roman" w:cs="Times New Roman" w:eastAsia="Times New Roman" w:hAnsi="Times New Roman"/>
          <w:sz w:val="14"/>
          <w:szCs w:val="14"/>
          <w:color w:val="auto"/>
        </w:rPr>
      </w:pPr>
    </w:p>
    <w:p>
      <w:pPr>
        <w:ind w:left="2280" w:right="859" w:hanging="312"/>
        <w:spacing w:after="0" w:line="279" w:lineRule="auto"/>
        <w:tabs>
          <w:tab w:leader="none" w:pos="22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Banking </w:t>
      </w:r>
      <w:r>
        <w:rPr>
          <w:rFonts w:ascii="Times New Roman" w:cs="Times New Roman" w:eastAsia="Times New Roman" w:hAnsi="Times New Roman"/>
          <w:sz w:val="14"/>
          <w:szCs w:val="14"/>
          <w:color w:val="auto"/>
        </w:rPr>
        <w:t>- provides customer loan and deposit account processing; digital banking; financial and risk management; professional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services and consulting; and check processing</w:t>
      </w:r>
    </w:p>
    <w:p>
      <w:pPr>
        <w:spacing w:after="0" w:line="20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Corporate and Other</w:t>
      </w:r>
    </w:p>
    <w:p>
      <w:pPr>
        <w:spacing w:after="0" w:line="91" w:lineRule="exact"/>
        <w:rPr>
          <w:sz w:val="20"/>
          <w:szCs w:val="20"/>
          <w:color w:val="auto"/>
        </w:rPr>
      </w:pPr>
    </w:p>
    <w:p>
      <w:pPr>
        <w:ind w:left="1560" w:right="479" w:firstLine="326"/>
        <w:spacing w:after="0" w:line="251" w:lineRule="auto"/>
        <w:rPr>
          <w:sz w:val="20"/>
          <w:szCs w:val="20"/>
          <w:color w:val="auto"/>
        </w:rPr>
      </w:pPr>
      <w:r>
        <w:rPr>
          <w:rFonts w:ascii="Times New Roman" w:cs="Times New Roman" w:eastAsia="Times New Roman" w:hAnsi="Times New Roman"/>
          <w:sz w:val="14"/>
          <w:szCs w:val="14"/>
          <w:color w:val="auto"/>
        </w:rPr>
        <w:t>Corporate and Other supports the reportable segments described above, and consists of amortization of acquisition-related intangible assets, unallocated corporate expenses and other activities that are not considered when we evaluate segment performance, such as gains or losses on sales of businesses, certain assets or investments, costs associated with acquisition activity, certain services revenue associated with various dispositions, expenses associated with our One Fiserv transformation initiative, and postage reimbursements. Our One Fiserv action plan is a comprehensive, strategic initiative aimed to enhance client service, accelerate product development, address operational inefficiencies, and optimize capital management.</w:t>
      </w:r>
    </w:p>
    <w:p>
      <w:pPr>
        <w:spacing w:after="0" w:line="22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91" w:lineRule="exact"/>
        <w:rPr>
          <w:sz w:val="20"/>
          <w:szCs w:val="20"/>
          <w:color w:val="auto"/>
        </w:rPr>
      </w:pPr>
    </w:p>
    <w:p>
      <w:pPr>
        <w:ind w:left="1560" w:right="599" w:firstLine="326"/>
        <w:spacing w:after="0" w:line="273" w:lineRule="auto"/>
        <w:rPr>
          <w:sz w:val="20"/>
          <w:szCs w:val="20"/>
          <w:color w:val="auto"/>
        </w:rPr>
      </w:pPr>
      <w:r>
        <w:rPr>
          <w:rFonts w:ascii="Times New Roman" w:cs="Times New Roman" w:eastAsia="Times New Roman" w:hAnsi="Times New Roman"/>
          <w:sz w:val="14"/>
          <w:szCs w:val="14"/>
          <w:color w:val="auto"/>
        </w:rPr>
        <w:t>See the “Risk Factors” section of this prospectus supplement and the risk factors incorporated by reference into this prospectus supplement and the accompanying prospectus for more information on risks relating to our business and the notes.</w:t>
      </w:r>
    </w:p>
    <w:p>
      <w:pPr>
        <w:spacing w:after="0" w:line="29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8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Executive Leadership Changes</w:t>
      </w:r>
    </w:p>
    <w:p>
      <w:pPr>
        <w:spacing w:after="0" w:line="9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On June 15, 2026, the Company announced the following leadership changes:</w:t>
      </w:r>
    </w:p>
    <w:p>
      <w:pPr>
        <w:spacing w:after="0" w:line="98" w:lineRule="exact"/>
        <w:rPr>
          <w:sz w:val="20"/>
          <w:szCs w:val="20"/>
          <w:color w:val="auto"/>
        </w:rPr>
      </w:pPr>
    </w:p>
    <w:p>
      <w:pPr>
        <w:jc w:val="both"/>
        <w:ind w:left="2280" w:right="659" w:hanging="312"/>
        <w:spacing w:after="0" w:line="259" w:lineRule="auto"/>
        <w:tabs>
          <w:tab w:leader="none" w:pos="22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Michael P. Lyons resigned as Chief Executive Officer and as a member of our board of directors, effective as of June 12, 2026. Mr. Lyons’s resignation was not the result of any disagreement with the Company on any matter relating to the Company’s operations, policies or practices.</w:t>
      </w:r>
    </w:p>
    <w:p>
      <w:pPr>
        <w:spacing w:after="0" w:line="2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10159"/>
          </w:cols>
          <w:pgMar w:left="300" w:top="381"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161290</wp:posOffset>
            </wp:positionV>
            <wp:extent cx="5364480" cy="22390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5364480" cy="2239010"/>
                    </a:xfrm>
                    <a:prstGeom prst="rect">
                      <a:avLst/>
                    </a:prstGeom>
                    <a:noFill/>
                  </pic:spPr>
                </pic:pic>
              </a:graphicData>
            </a:graphic>
          </wp:anchor>
        </w:drawing>
      </w:r>
    </w:p>
    <w:p>
      <w:pPr>
        <w:spacing w:after="0" w:line="361" w:lineRule="exact"/>
        <w:rPr>
          <w:sz w:val="20"/>
          <w:szCs w:val="20"/>
          <w:color w:val="auto"/>
        </w:rPr>
      </w:pPr>
    </w:p>
    <w:p>
      <w:pPr>
        <w:ind w:left="2280" w:right="459" w:hanging="312"/>
        <w:spacing w:after="0" w:line="259" w:lineRule="auto"/>
        <w:tabs>
          <w:tab w:leader="none" w:pos="22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Mr. Lyons’s resignation, Takis Georgakopoulos was appointed as Chief Executive Officer of the Company and as a member of our board of directors on June 14, 2026. Upon his appointment as Chief Executive Officer, Mr. Georgakopoulos ceased to serve as Co-President, Head of Merchant and Technology of the Company.</w:t>
      </w:r>
    </w:p>
    <w:p>
      <w:pPr>
        <w:spacing w:after="0" w:line="68" w:lineRule="exact"/>
        <w:rPr>
          <w:rFonts w:ascii="Times New Roman" w:cs="Times New Roman" w:eastAsia="Times New Roman" w:hAnsi="Times New Roman"/>
          <w:sz w:val="14"/>
          <w:szCs w:val="14"/>
          <w:color w:val="auto"/>
        </w:rPr>
      </w:pPr>
    </w:p>
    <w:p>
      <w:pPr>
        <w:ind w:left="2280" w:right="539" w:hanging="312"/>
        <w:spacing w:after="0" w:line="259" w:lineRule="auto"/>
        <w:tabs>
          <w:tab w:leader="none" w:pos="22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Mr. Georgakopoulos’s appointment as Chief Executive Officer, Dhivya Suryadevara’s title was updated to President of the Company, effective as of June 14, 2026. Upon her appointment as President, Ms. Suryadevara ceased to serve as Co-President of the Company.</w:t>
      </w:r>
    </w:p>
    <w:p>
      <w:pPr>
        <w:spacing w:after="0" w:line="21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Tender Offer for 5.150% Senior Notes due 2027 and 4.400% Senior Notes due 2049</w:t>
      </w:r>
    </w:p>
    <w:p>
      <w:pPr>
        <w:spacing w:after="0" w:line="91" w:lineRule="exact"/>
        <w:rPr>
          <w:sz w:val="20"/>
          <w:szCs w:val="20"/>
          <w:color w:val="auto"/>
        </w:rPr>
      </w:pPr>
    </w:p>
    <w:p>
      <w:pPr>
        <w:ind w:left="1560" w:right="459" w:firstLine="326"/>
        <w:spacing w:after="0" w:line="255" w:lineRule="auto"/>
        <w:rPr>
          <w:sz w:val="20"/>
          <w:szCs w:val="20"/>
          <w:color w:val="auto"/>
        </w:rPr>
      </w:pPr>
      <w:r>
        <w:rPr>
          <w:rFonts w:ascii="Times New Roman" w:cs="Times New Roman" w:eastAsia="Times New Roman" w:hAnsi="Times New Roman"/>
          <w:sz w:val="14"/>
          <w:szCs w:val="14"/>
          <w:color w:val="auto"/>
        </w:rPr>
        <w:t>On June 16, 2026, we commenced an offer to purchase for cash any and all of our $750.0 million aggregate principal amount of 5.150% senior notes due 2027 (the “5.150% Senior Notes”) and any and all of our $2.0 billion aggregate principal amount of 4.400% senior notes due 2049 (the “4.400% Senior Notes”), subject to the relevant terms and conditions set forth in the Offer to Purchase related to the tender offer. The tender offer will expire at 5:00 p.m., New York City time, on June 23, 2026, unless the tender offer is extended or earlier terminated.</w:t>
      </w:r>
    </w:p>
    <w:p>
      <w:pPr>
        <w:spacing w:after="0" w:line="143" w:lineRule="exact"/>
        <w:rPr>
          <w:sz w:val="20"/>
          <w:szCs w:val="20"/>
          <w:color w:val="auto"/>
        </w:rPr>
      </w:pPr>
    </w:p>
    <w:p>
      <w:pPr>
        <w:ind w:left="1560" w:right="459" w:firstLine="326"/>
        <w:spacing w:after="0" w:line="253" w:lineRule="auto"/>
        <w:rPr>
          <w:sz w:val="20"/>
          <w:szCs w:val="20"/>
          <w:color w:val="auto"/>
        </w:rPr>
      </w:pPr>
      <w:r>
        <w:rPr>
          <w:rFonts w:ascii="Times New Roman" w:cs="Times New Roman" w:eastAsia="Times New Roman" w:hAnsi="Times New Roman"/>
          <w:sz w:val="14"/>
          <w:szCs w:val="14"/>
          <w:color w:val="auto"/>
        </w:rPr>
        <w:t>The consummation of the tender offer is conditioned upon, among other things, the completion of this offering and the satisfaction of the customary general conditions described in the Offer to Purchase related to the tender offer. The consummation of this offering is not conditioned on the completion of the tender offer. We cannot provide any assurance that the tender offer will be consummated or, if consummated, the principal amount of such notes that will be tendered. This prospectus supplement and accompanying prospectus do not constitute an offer by us to purchase the 5.150% Senior Notes and the 4.400% Senior Notes.</w:t>
      </w:r>
    </w:p>
    <w:p>
      <w:pPr>
        <w:spacing w:after="0" w:line="2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S-3</w:t>
      </w:r>
    </w:p>
    <w:p>
      <w:pPr>
        <w:sectPr>
          <w:pgSz w:w="11900" w:h="16838" w:orient="portrait"/>
          <w:cols w:equalWidth="0" w:num="1">
            <w:col w:w="10159"/>
          </w:cols>
          <w:pgMar w:left="300" w:top="381"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161290</wp:posOffset>
            </wp:positionV>
            <wp:extent cx="5364480" cy="5134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5364480" cy="5134610"/>
                    </a:xfrm>
                    <a:prstGeom prst="rect">
                      <a:avLst/>
                    </a:prstGeom>
                    <a:noFill/>
                  </pic:spPr>
                </pic:pic>
              </a:graphicData>
            </a:graphic>
          </wp:anchor>
        </w:drawing>
      </w:r>
    </w:p>
    <w:p>
      <w:pPr>
        <w:spacing w:after="0" w:line="35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70" w:lineRule="exact"/>
        <w:rPr>
          <w:sz w:val="20"/>
          <w:szCs w:val="20"/>
          <w:color w:val="auto"/>
        </w:rPr>
      </w:pPr>
    </w:p>
    <w:p>
      <w:pPr>
        <w:ind w:left="1560" w:right="979" w:firstLine="326"/>
        <w:spacing w:after="0" w:line="262" w:lineRule="auto"/>
        <w:rPr>
          <w:sz w:val="20"/>
          <w:szCs w:val="20"/>
          <w:color w:val="auto"/>
        </w:rPr>
      </w:pPr>
      <w:r>
        <w:rPr>
          <w:rFonts w:ascii="Times New Roman" w:cs="Times New Roman" w:eastAsia="Times New Roman" w:hAnsi="Times New Roman"/>
          <w:sz w:val="14"/>
          <w:szCs w:val="14"/>
          <w:i w:val="1"/>
          <w:iCs w:val="1"/>
          <w:color w:val="auto"/>
        </w:rPr>
        <w:t>The following is a brief summary of some of the terms of this offering. For a more complete description of the terms of the notes, see “Description of the Notes” in this prospectus supplement and “Description of Debt Securities and Guarantees of Debt Securities” in the accompanying prospectus.</w:t>
      </w:r>
    </w:p>
    <w:p>
      <w:pPr>
        <w:spacing w:after="0" w:line="159" w:lineRule="exact"/>
        <w:rPr>
          <w:sz w:val="20"/>
          <w:szCs w:val="20"/>
          <w:color w:val="auto"/>
        </w:rPr>
      </w:pPr>
    </w:p>
    <w:tbl>
      <w:tblPr>
        <w:tblLayout w:type="fixed"/>
        <w:tblInd w:w="1420" w:type="dxa"/>
        <w:tblCellMar>
          <w:top w:w="0" w:type="dxa"/>
          <w:left w:w="0" w:type="dxa"/>
          <w:bottom w:w="0" w:type="dxa"/>
          <w:right w:w="0" w:type="dxa"/>
        </w:tblCellMar>
      </w:tblPr>
      <w:tr>
        <w:trPr>
          <w:trHeight w:val="179"/>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Issuer</w:t>
            </w:r>
          </w:p>
        </w:tc>
        <w:tc>
          <w:tcPr>
            <w:tcW w:w="5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Fiserv, Inc.</w:t>
            </w:r>
          </w:p>
        </w:tc>
      </w:tr>
      <w:tr>
        <w:trPr>
          <w:trHeight w:val="256"/>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Notes Offered</w:t>
            </w:r>
          </w:p>
        </w:tc>
        <w:tc>
          <w:tcPr>
            <w:tcW w:w="5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€500,000,000 aggregate principal amount of 3.750% Senior Notes due 2030 (the “2030</w:t>
            </w:r>
          </w:p>
        </w:tc>
      </w:tr>
      <w:tr>
        <w:trPr>
          <w:trHeight w:val="165"/>
        </w:trPr>
        <w:tc>
          <w:tcPr>
            <w:tcW w:w="2940" w:type="dxa"/>
            <w:vAlign w:val="bottom"/>
          </w:tcPr>
          <w:p>
            <w:pPr>
              <w:spacing w:after="0"/>
              <w:rPr>
                <w:sz w:val="14"/>
                <w:szCs w:val="14"/>
                <w:color w:val="auto"/>
              </w:rPr>
            </w:pPr>
          </w:p>
        </w:tc>
        <w:tc>
          <w:tcPr>
            <w:tcW w:w="5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notes”) and €500,000,000 aggregate principal amount of 4.250% Senior Notes due 2034</w:t>
            </w:r>
          </w:p>
        </w:tc>
      </w:tr>
      <w:tr>
        <w:trPr>
          <w:trHeight w:val="179"/>
        </w:trPr>
        <w:tc>
          <w:tcPr>
            <w:tcW w:w="2940" w:type="dxa"/>
            <w:vAlign w:val="bottom"/>
          </w:tcPr>
          <w:p>
            <w:pPr>
              <w:spacing w:after="0"/>
              <w:rPr>
                <w:sz w:val="15"/>
                <w:szCs w:val="15"/>
                <w:color w:val="auto"/>
              </w:rPr>
            </w:pPr>
          </w:p>
        </w:tc>
        <w:tc>
          <w:tcPr>
            <w:tcW w:w="5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(the “2034 notes” and, together with the 2030 notes, the “notes”).</w:t>
            </w:r>
          </w:p>
        </w:tc>
      </w:tr>
      <w:tr>
        <w:trPr>
          <w:trHeight w:val="245"/>
        </w:trPr>
        <w:tc>
          <w:tcPr>
            <w:tcW w:w="2940" w:type="dxa"/>
            <w:vAlign w:val="bottom"/>
          </w:tcPr>
          <w:p>
            <w:pPr>
              <w:spacing w:after="0"/>
              <w:rPr>
                <w:sz w:val="21"/>
                <w:szCs w:val="21"/>
                <w:color w:val="auto"/>
              </w:rPr>
            </w:pPr>
          </w:p>
        </w:tc>
        <w:tc>
          <w:tcPr>
            <w:tcW w:w="5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The offering and sale of each series of notes is not conditioned on the sale of any other</w:t>
            </w:r>
          </w:p>
        </w:tc>
      </w:tr>
      <w:tr>
        <w:trPr>
          <w:trHeight w:val="179"/>
        </w:trPr>
        <w:tc>
          <w:tcPr>
            <w:tcW w:w="2940" w:type="dxa"/>
            <w:vAlign w:val="bottom"/>
          </w:tcPr>
          <w:p>
            <w:pPr>
              <w:spacing w:after="0"/>
              <w:rPr>
                <w:sz w:val="15"/>
                <w:szCs w:val="15"/>
                <w:color w:val="auto"/>
              </w:rPr>
            </w:pPr>
          </w:p>
        </w:tc>
        <w:tc>
          <w:tcPr>
            <w:tcW w:w="5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series of notes.</w:t>
            </w:r>
          </w:p>
        </w:tc>
      </w:tr>
      <w:tr>
        <w:trPr>
          <w:trHeight w:val="245"/>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Maturity Dates</w:t>
            </w:r>
          </w:p>
        </w:tc>
        <w:tc>
          <w:tcPr>
            <w:tcW w:w="5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Unless earlier redeemed or repurchased by us, the 2030 notes will mature on October 15,</w:t>
            </w:r>
          </w:p>
        </w:tc>
      </w:tr>
      <w:tr>
        <w:trPr>
          <w:trHeight w:val="179"/>
        </w:trPr>
        <w:tc>
          <w:tcPr>
            <w:tcW w:w="2940" w:type="dxa"/>
            <w:vAlign w:val="bottom"/>
          </w:tcPr>
          <w:p>
            <w:pPr>
              <w:spacing w:after="0"/>
              <w:rPr>
                <w:sz w:val="15"/>
                <w:szCs w:val="15"/>
                <w:color w:val="auto"/>
              </w:rPr>
            </w:pPr>
          </w:p>
        </w:tc>
        <w:tc>
          <w:tcPr>
            <w:tcW w:w="5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2030 and the 2034 notes will mature on June 23, 2034.</w:t>
            </w:r>
          </w:p>
        </w:tc>
      </w:tr>
      <w:tr>
        <w:trPr>
          <w:trHeight w:val="259"/>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CUSIP / Common Code / ISIN</w:t>
            </w:r>
          </w:p>
        </w:tc>
        <w:tc>
          <w:tcPr>
            <w:tcW w:w="5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2030 notes: 337738 BR8 / 341094089 / XS3410940897</w:t>
            </w:r>
          </w:p>
        </w:tc>
      </w:tr>
      <w:tr>
        <w:trPr>
          <w:trHeight w:val="259"/>
        </w:trPr>
        <w:tc>
          <w:tcPr>
            <w:tcW w:w="2940" w:type="dxa"/>
            <w:vAlign w:val="bottom"/>
          </w:tcPr>
          <w:p>
            <w:pPr>
              <w:spacing w:after="0"/>
              <w:rPr>
                <w:sz w:val="22"/>
                <w:szCs w:val="22"/>
                <w:color w:val="auto"/>
              </w:rPr>
            </w:pPr>
          </w:p>
        </w:tc>
        <w:tc>
          <w:tcPr>
            <w:tcW w:w="5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2034 notes: 337738 BS6 / 341094119 / XS3410941192</w:t>
            </w:r>
          </w:p>
        </w:tc>
      </w:tr>
      <w:tr>
        <w:trPr>
          <w:trHeight w:val="245"/>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Rate</w:t>
            </w:r>
          </w:p>
        </w:tc>
        <w:tc>
          <w:tcPr>
            <w:tcW w:w="5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The 2030 notes will bear interest at 3.750% per year and the 2034 notes will bear interest at</w:t>
            </w:r>
          </w:p>
        </w:tc>
      </w:tr>
      <w:tr>
        <w:trPr>
          <w:trHeight w:val="179"/>
        </w:trPr>
        <w:tc>
          <w:tcPr>
            <w:tcW w:w="2940" w:type="dxa"/>
            <w:vAlign w:val="bottom"/>
          </w:tcPr>
          <w:p>
            <w:pPr>
              <w:spacing w:after="0"/>
              <w:rPr>
                <w:sz w:val="15"/>
                <w:szCs w:val="15"/>
                <w:color w:val="auto"/>
              </w:rPr>
            </w:pPr>
          </w:p>
        </w:tc>
        <w:tc>
          <w:tcPr>
            <w:tcW w:w="5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4.250% per year.</w:t>
            </w:r>
          </w:p>
        </w:tc>
      </w:tr>
      <w:tr>
        <w:trPr>
          <w:trHeight w:val="245"/>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Payment Dates</w:t>
            </w:r>
          </w:p>
        </w:tc>
        <w:tc>
          <w:tcPr>
            <w:tcW w:w="5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October 15 of each year, beginning on October 15, 2026, for the 2030 notes and June 23 of</w:t>
            </w:r>
          </w:p>
        </w:tc>
      </w:tr>
      <w:tr>
        <w:trPr>
          <w:trHeight w:val="179"/>
        </w:trPr>
        <w:tc>
          <w:tcPr>
            <w:tcW w:w="2940" w:type="dxa"/>
            <w:vAlign w:val="bottom"/>
          </w:tcPr>
          <w:p>
            <w:pPr>
              <w:spacing w:after="0"/>
              <w:rPr>
                <w:sz w:val="15"/>
                <w:szCs w:val="15"/>
                <w:color w:val="auto"/>
              </w:rPr>
            </w:pPr>
          </w:p>
        </w:tc>
        <w:tc>
          <w:tcPr>
            <w:tcW w:w="5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each year, beginning on June 23, 2027, for the 2034 notes.</w:t>
            </w:r>
          </w:p>
        </w:tc>
      </w:tr>
      <w:tr>
        <w:trPr>
          <w:trHeight w:val="259"/>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Ranking</w:t>
            </w:r>
          </w:p>
        </w:tc>
        <w:tc>
          <w:tcPr>
            <w:tcW w:w="5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The notes will be:</w:t>
            </w:r>
          </w:p>
        </w:tc>
      </w:tr>
      <w:tr>
        <w:trPr>
          <w:trHeight w:val="256"/>
        </w:trPr>
        <w:tc>
          <w:tcPr>
            <w:tcW w:w="2940" w:type="dxa"/>
            <w:vAlign w:val="bottom"/>
          </w:tcPr>
          <w:p>
            <w:pPr>
              <w:spacing w:after="0"/>
              <w:rPr>
                <w:sz w:val="22"/>
                <w:szCs w:val="22"/>
                <w:color w:val="auto"/>
              </w:rPr>
            </w:pPr>
          </w:p>
        </w:tc>
        <w:tc>
          <w:tcPr>
            <w:tcW w:w="5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  our general unsecured obligations and will rank equally in right of payment with our</w:t>
            </w:r>
          </w:p>
        </w:tc>
      </w:tr>
      <w:tr>
        <w:trPr>
          <w:trHeight w:val="179"/>
        </w:trPr>
        <w:tc>
          <w:tcPr>
            <w:tcW w:w="2940" w:type="dxa"/>
            <w:vAlign w:val="bottom"/>
          </w:tcPr>
          <w:p>
            <w:pPr>
              <w:spacing w:after="0"/>
              <w:rPr>
                <w:sz w:val="15"/>
                <w:szCs w:val="15"/>
                <w:color w:val="auto"/>
              </w:rPr>
            </w:pPr>
          </w:p>
        </w:tc>
        <w:tc>
          <w:tcPr>
            <w:tcW w:w="55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other unsecured senior indebtedness from time to time outstanding;</w:t>
            </w:r>
          </w:p>
        </w:tc>
      </w:tr>
      <w:tr>
        <w:trPr>
          <w:trHeight w:val="245"/>
        </w:trPr>
        <w:tc>
          <w:tcPr>
            <w:tcW w:w="2940" w:type="dxa"/>
            <w:vAlign w:val="bottom"/>
          </w:tcPr>
          <w:p>
            <w:pPr>
              <w:spacing w:after="0"/>
              <w:rPr>
                <w:sz w:val="21"/>
                <w:szCs w:val="21"/>
                <w:color w:val="auto"/>
              </w:rPr>
            </w:pPr>
          </w:p>
        </w:tc>
        <w:tc>
          <w:tcPr>
            <w:tcW w:w="5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  effectively subordinated to any secured indebtedness to the extent of the value of the</w:t>
            </w:r>
          </w:p>
        </w:tc>
      </w:tr>
      <w:tr>
        <w:trPr>
          <w:trHeight w:val="179"/>
        </w:trPr>
        <w:tc>
          <w:tcPr>
            <w:tcW w:w="2940" w:type="dxa"/>
            <w:vAlign w:val="bottom"/>
          </w:tcPr>
          <w:p>
            <w:pPr>
              <w:spacing w:after="0"/>
              <w:rPr>
                <w:sz w:val="15"/>
                <w:szCs w:val="15"/>
                <w:color w:val="auto"/>
              </w:rPr>
            </w:pPr>
          </w:p>
        </w:tc>
        <w:tc>
          <w:tcPr>
            <w:tcW w:w="55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collateral securing such indebtedness; and</w:t>
            </w:r>
          </w:p>
        </w:tc>
      </w:tr>
      <w:tr>
        <w:trPr>
          <w:trHeight w:val="245"/>
        </w:trPr>
        <w:tc>
          <w:tcPr>
            <w:tcW w:w="2940" w:type="dxa"/>
            <w:vAlign w:val="bottom"/>
          </w:tcPr>
          <w:p>
            <w:pPr>
              <w:spacing w:after="0"/>
              <w:rPr>
                <w:sz w:val="21"/>
                <w:szCs w:val="21"/>
                <w:color w:val="auto"/>
              </w:rPr>
            </w:pPr>
          </w:p>
        </w:tc>
        <w:tc>
          <w:tcPr>
            <w:tcW w:w="5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  structurally subordinated in right of payment to all indebtedness and other liabilities and</w:t>
            </w:r>
          </w:p>
        </w:tc>
      </w:tr>
      <w:tr>
        <w:trPr>
          <w:trHeight w:val="179"/>
        </w:trPr>
        <w:tc>
          <w:tcPr>
            <w:tcW w:w="2940" w:type="dxa"/>
            <w:vAlign w:val="bottom"/>
          </w:tcPr>
          <w:p>
            <w:pPr>
              <w:spacing w:after="0"/>
              <w:rPr>
                <w:sz w:val="15"/>
                <w:szCs w:val="15"/>
                <w:color w:val="auto"/>
              </w:rPr>
            </w:pPr>
          </w:p>
        </w:tc>
        <w:tc>
          <w:tcPr>
            <w:tcW w:w="55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preferred equity of any of our subsidiaries.</w:t>
            </w:r>
          </w:p>
        </w:tc>
      </w:tr>
      <w:tr>
        <w:trPr>
          <w:trHeight w:val="245"/>
        </w:trPr>
        <w:tc>
          <w:tcPr>
            <w:tcW w:w="2940" w:type="dxa"/>
            <w:vAlign w:val="bottom"/>
          </w:tcPr>
          <w:p>
            <w:pPr>
              <w:spacing w:after="0"/>
              <w:rPr>
                <w:sz w:val="21"/>
                <w:szCs w:val="21"/>
                <w:color w:val="auto"/>
              </w:rPr>
            </w:pPr>
          </w:p>
        </w:tc>
        <w:tc>
          <w:tcPr>
            <w:tcW w:w="5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As of March 31, 2026, Fiserv, Inc. had outstanding approximately $23.6 billion of</w:t>
            </w:r>
          </w:p>
        </w:tc>
      </w:tr>
      <w:tr>
        <w:trPr>
          <w:trHeight w:val="165"/>
        </w:trPr>
        <w:tc>
          <w:tcPr>
            <w:tcW w:w="2940" w:type="dxa"/>
            <w:vAlign w:val="bottom"/>
          </w:tcPr>
          <w:p>
            <w:pPr>
              <w:spacing w:after="0"/>
              <w:rPr>
                <w:sz w:val="14"/>
                <w:szCs w:val="14"/>
                <w:color w:val="auto"/>
              </w:rPr>
            </w:pPr>
          </w:p>
        </w:tc>
        <w:tc>
          <w:tcPr>
            <w:tcW w:w="5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unsecured senior indebtedness. Also at that date, Fiserv, Inc. had approximately</w:t>
            </w:r>
          </w:p>
        </w:tc>
      </w:tr>
      <w:tr>
        <w:trPr>
          <w:trHeight w:val="165"/>
        </w:trPr>
        <w:tc>
          <w:tcPr>
            <w:tcW w:w="2940" w:type="dxa"/>
            <w:vAlign w:val="bottom"/>
          </w:tcPr>
          <w:p>
            <w:pPr>
              <w:spacing w:after="0"/>
              <w:rPr>
                <w:sz w:val="14"/>
                <w:szCs w:val="14"/>
                <w:color w:val="auto"/>
              </w:rPr>
            </w:pPr>
          </w:p>
        </w:tc>
        <w:tc>
          <w:tcPr>
            <w:tcW w:w="5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$718 million of secured indebtedness (consisting primarily of financing leases outstanding)</w:t>
            </w:r>
          </w:p>
        </w:tc>
      </w:tr>
      <w:tr>
        <w:trPr>
          <w:trHeight w:val="165"/>
        </w:trPr>
        <w:tc>
          <w:tcPr>
            <w:tcW w:w="2940" w:type="dxa"/>
            <w:vAlign w:val="bottom"/>
          </w:tcPr>
          <w:p>
            <w:pPr>
              <w:spacing w:after="0"/>
              <w:rPr>
                <w:sz w:val="14"/>
                <w:szCs w:val="14"/>
                <w:color w:val="auto"/>
              </w:rPr>
            </w:pPr>
          </w:p>
        </w:tc>
        <w:tc>
          <w:tcPr>
            <w:tcW w:w="5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and approximately $60 million of financed software, and its subsidiaries had approximately</w:t>
            </w:r>
          </w:p>
        </w:tc>
      </w:tr>
      <w:tr>
        <w:trPr>
          <w:trHeight w:val="179"/>
        </w:trPr>
        <w:tc>
          <w:tcPr>
            <w:tcW w:w="2940" w:type="dxa"/>
            <w:vAlign w:val="bottom"/>
          </w:tcPr>
          <w:p>
            <w:pPr>
              <w:spacing w:after="0"/>
              <w:rPr>
                <w:sz w:val="15"/>
                <w:szCs w:val="15"/>
                <w:color w:val="auto"/>
              </w:rPr>
            </w:pPr>
          </w:p>
        </w:tc>
        <w:tc>
          <w:tcPr>
            <w:tcW w:w="5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$4.8 billion of indebtedness to third parties, and had issued no preferred equity.</w:t>
            </w:r>
          </w:p>
        </w:tc>
      </w:tr>
      <w:tr>
        <w:trPr>
          <w:trHeight w:val="245"/>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Optional Redemption</w:t>
            </w:r>
          </w:p>
        </w:tc>
        <w:tc>
          <w:tcPr>
            <w:tcW w:w="5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The notes will be redeemable, at our option, in whole or in part, at any time and from time</w:t>
            </w:r>
          </w:p>
        </w:tc>
      </w:tr>
      <w:tr>
        <w:trPr>
          <w:trHeight w:val="165"/>
        </w:trPr>
        <w:tc>
          <w:tcPr>
            <w:tcW w:w="2940" w:type="dxa"/>
            <w:vAlign w:val="bottom"/>
          </w:tcPr>
          <w:p>
            <w:pPr>
              <w:spacing w:after="0"/>
              <w:rPr>
                <w:sz w:val="14"/>
                <w:szCs w:val="14"/>
                <w:color w:val="auto"/>
              </w:rPr>
            </w:pPr>
          </w:p>
        </w:tc>
        <w:tc>
          <w:tcPr>
            <w:tcW w:w="5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 time at the applicable redemption price described in “Description of the Notes—</w:t>
            </w:r>
          </w:p>
        </w:tc>
      </w:tr>
      <w:tr>
        <w:trPr>
          <w:trHeight w:val="179"/>
        </w:trPr>
        <w:tc>
          <w:tcPr>
            <w:tcW w:w="2940" w:type="dxa"/>
            <w:vAlign w:val="bottom"/>
          </w:tcPr>
          <w:p>
            <w:pPr>
              <w:spacing w:after="0"/>
              <w:rPr>
                <w:sz w:val="15"/>
                <w:szCs w:val="15"/>
                <w:color w:val="auto"/>
              </w:rPr>
            </w:pPr>
          </w:p>
        </w:tc>
        <w:tc>
          <w:tcPr>
            <w:tcW w:w="5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Optional Redemption.”</w:t>
            </w:r>
          </w:p>
        </w:tc>
      </w:tr>
      <w:tr>
        <w:trPr>
          <w:trHeight w:val="245"/>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Offer to Repurchase Upon Change of Control</w:t>
            </w:r>
          </w:p>
        </w:tc>
        <w:tc>
          <w:tcPr>
            <w:tcW w:w="5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Upon the occurrence of a change of control triggering event (including certain ratings</w:t>
            </w:r>
          </w:p>
        </w:tc>
      </w:tr>
      <w:tr>
        <w:trPr>
          <w:trHeight w:val="165"/>
        </w:trPr>
        <w:tc>
          <w:tcPr>
            <w:tcW w:w="29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Triggering Event</w:t>
            </w:r>
          </w:p>
        </w:tc>
        <w:tc>
          <w:tcPr>
            <w:tcW w:w="5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downgrades) as provided in the indenture, we will be required to offer to repurchase the</w:t>
            </w:r>
          </w:p>
        </w:tc>
      </w:tr>
      <w:tr>
        <w:trPr>
          <w:trHeight w:val="165"/>
        </w:trPr>
        <w:tc>
          <w:tcPr>
            <w:tcW w:w="2940" w:type="dxa"/>
            <w:vAlign w:val="bottom"/>
          </w:tcPr>
          <w:p>
            <w:pPr>
              <w:spacing w:after="0"/>
              <w:rPr>
                <w:sz w:val="14"/>
                <w:szCs w:val="14"/>
                <w:color w:val="auto"/>
              </w:rPr>
            </w:pPr>
          </w:p>
        </w:tc>
        <w:tc>
          <w:tcPr>
            <w:tcW w:w="5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notes for cash at a price of 101% of the aggregate principal amount of the notes</w:t>
            </w:r>
          </w:p>
        </w:tc>
      </w:tr>
      <w:tr>
        <w:trPr>
          <w:trHeight w:val="179"/>
        </w:trPr>
        <w:tc>
          <w:tcPr>
            <w:tcW w:w="2940" w:type="dxa"/>
            <w:vAlign w:val="bottom"/>
          </w:tcPr>
          <w:p>
            <w:pPr>
              <w:spacing w:after="0"/>
              <w:rPr>
                <w:sz w:val="15"/>
                <w:szCs w:val="15"/>
                <w:color w:val="auto"/>
              </w:rPr>
            </w:pPr>
          </w:p>
        </w:tc>
        <w:tc>
          <w:tcPr>
            <w:tcW w:w="5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outstanding</w:t>
            </w:r>
          </w:p>
        </w:tc>
      </w:tr>
      <w:tr>
        <w:trPr>
          <w:trHeight w:val="129"/>
        </w:trPr>
        <w:tc>
          <w:tcPr>
            <w:tcW w:w="2940" w:type="dxa"/>
            <w:vAlign w:val="bottom"/>
            <w:tcBorders>
              <w:bottom w:val="single" w:sz="8" w:color="auto"/>
            </w:tcBorders>
          </w:tcPr>
          <w:p>
            <w:pPr>
              <w:spacing w:after="0"/>
              <w:rPr>
                <w:sz w:val="11"/>
                <w:szCs w:val="11"/>
                <w:color w:val="auto"/>
              </w:rPr>
            </w:pPr>
          </w:p>
        </w:tc>
        <w:tc>
          <w:tcPr>
            <w:tcW w:w="5520" w:type="dxa"/>
            <w:vAlign w:val="bottom"/>
            <w:tcBorders>
              <w:bottom w:val="single" w:sz="8" w:color="auto"/>
            </w:tcBorders>
          </w:tcPr>
          <w:p>
            <w:pPr>
              <w:spacing w:after="0"/>
              <w:rPr>
                <w:sz w:val="11"/>
                <w:szCs w:val="11"/>
                <w:color w:val="auto"/>
              </w:rPr>
            </w:pPr>
          </w:p>
        </w:tc>
      </w:tr>
      <w:tr>
        <w:trPr>
          <w:trHeight w:val="275"/>
        </w:trPr>
        <w:tc>
          <w:tcPr>
            <w:tcW w:w="2940" w:type="dxa"/>
            <w:vAlign w:val="bottom"/>
          </w:tcPr>
          <w:p>
            <w:pPr>
              <w:spacing w:after="0"/>
              <w:rPr>
                <w:sz w:val="23"/>
                <w:szCs w:val="23"/>
                <w:color w:val="auto"/>
              </w:rPr>
            </w:pPr>
          </w:p>
        </w:tc>
        <w:tc>
          <w:tcPr>
            <w:tcW w:w="552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S-4</w:t>
            </w:r>
          </w:p>
        </w:tc>
      </w:tr>
    </w:tbl>
    <w:p>
      <w:pPr>
        <w:sectPr>
          <w:pgSz w:w="11900" w:h="16838" w:orient="portrait"/>
          <w:cols w:equalWidth="0" w:num="1">
            <w:col w:w="10159"/>
          </w:cols>
          <w:pgMar w:left="300" w:top="381"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4" w:lineRule="exact"/>
        <w:rPr>
          <w:sz w:val="20"/>
          <w:szCs w:val="20"/>
          <w:color w:val="auto"/>
        </w:rPr>
      </w:pPr>
    </w:p>
    <w:tbl>
      <w:tblPr>
        <w:tblLayout w:type="fixed"/>
        <w:tblInd w:w="1430" w:type="dxa"/>
        <w:tblCellMar>
          <w:top w:w="0" w:type="dxa"/>
          <w:left w:w="0" w:type="dxa"/>
          <w:bottom w:w="0" w:type="dxa"/>
          <w:right w:w="0" w:type="dxa"/>
        </w:tblCellMar>
      </w:tblPr>
      <w:tr>
        <w:trPr>
          <w:trHeight w:val="305"/>
        </w:trPr>
        <w:tc>
          <w:tcPr>
            <w:tcW w:w="2400" w:type="dxa"/>
            <w:vAlign w:val="bottom"/>
            <w:tcBorders>
              <w:top w:val="single" w:sz="8" w:color="auto"/>
              <w:left w:val="single" w:sz="8" w:color="auto"/>
            </w:tcBorders>
          </w:tcPr>
          <w:p>
            <w:pPr>
              <w:spacing w:after="0"/>
              <w:rPr>
                <w:sz w:val="24"/>
                <w:szCs w:val="24"/>
                <w:color w:val="auto"/>
              </w:rPr>
            </w:pPr>
          </w:p>
        </w:tc>
        <w:tc>
          <w:tcPr>
            <w:tcW w:w="6060" w:type="dxa"/>
            <w:vAlign w:val="bottom"/>
            <w:tcBorders>
              <w:top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on the date of such change of control triggering event plus accrued and unpaid interest.</w:t>
            </w:r>
          </w:p>
        </w:tc>
      </w:tr>
      <w:tr>
        <w:trPr>
          <w:trHeight w:val="256"/>
        </w:trPr>
        <w:tc>
          <w:tcPr>
            <w:tcW w:w="24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Optional Tax Redemption</w:t>
            </w:r>
          </w:p>
        </w:tc>
        <w:tc>
          <w:tcPr>
            <w:tcW w:w="6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The notes will be redeemable, at our option, in whole but not in part, at the applicable</w:t>
            </w:r>
          </w:p>
        </w:tc>
      </w:tr>
      <w:tr>
        <w:trPr>
          <w:trHeight w:val="165"/>
        </w:trPr>
        <w:tc>
          <w:tcPr>
            <w:tcW w:w="2400" w:type="dxa"/>
            <w:vAlign w:val="bottom"/>
            <w:tcBorders>
              <w:left w:val="single" w:sz="8" w:color="auto"/>
            </w:tcBorders>
          </w:tcPr>
          <w:p>
            <w:pPr>
              <w:spacing w:after="0"/>
              <w:rPr>
                <w:sz w:val="14"/>
                <w:szCs w:val="14"/>
                <w:color w:val="auto"/>
              </w:rPr>
            </w:pPr>
          </w:p>
        </w:tc>
        <w:tc>
          <w:tcPr>
            <w:tcW w:w="6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redemption price described in this prospectus supplement if certain tax events occur as</w:t>
            </w:r>
          </w:p>
        </w:tc>
      </w:tr>
      <w:tr>
        <w:trPr>
          <w:trHeight w:val="165"/>
        </w:trPr>
        <w:tc>
          <w:tcPr>
            <w:tcW w:w="2400" w:type="dxa"/>
            <w:vAlign w:val="bottom"/>
            <w:tcBorders>
              <w:left w:val="single" w:sz="8" w:color="auto"/>
            </w:tcBorders>
          </w:tcPr>
          <w:p>
            <w:pPr>
              <w:spacing w:after="0"/>
              <w:rPr>
                <w:sz w:val="14"/>
                <w:szCs w:val="14"/>
                <w:color w:val="auto"/>
              </w:rPr>
            </w:pPr>
          </w:p>
        </w:tc>
        <w:tc>
          <w:tcPr>
            <w:tcW w:w="6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described in “Description of the Notes—Optional Tax Redemption.” The optional tax</w:t>
            </w:r>
          </w:p>
        </w:tc>
      </w:tr>
      <w:tr>
        <w:trPr>
          <w:trHeight w:val="165"/>
        </w:trPr>
        <w:tc>
          <w:tcPr>
            <w:tcW w:w="2400" w:type="dxa"/>
            <w:vAlign w:val="bottom"/>
            <w:tcBorders>
              <w:left w:val="single" w:sz="8" w:color="auto"/>
            </w:tcBorders>
          </w:tcPr>
          <w:p>
            <w:pPr>
              <w:spacing w:after="0"/>
              <w:rPr>
                <w:sz w:val="14"/>
                <w:szCs w:val="14"/>
                <w:color w:val="auto"/>
              </w:rPr>
            </w:pPr>
          </w:p>
        </w:tc>
        <w:tc>
          <w:tcPr>
            <w:tcW w:w="6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redemption provision will only apply in circumstances where our obligations have been</w:t>
            </w:r>
          </w:p>
        </w:tc>
      </w:tr>
      <w:tr>
        <w:trPr>
          <w:trHeight w:val="165"/>
        </w:trPr>
        <w:tc>
          <w:tcPr>
            <w:tcW w:w="2400" w:type="dxa"/>
            <w:vAlign w:val="bottom"/>
            <w:tcBorders>
              <w:left w:val="single" w:sz="8" w:color="auto"/>
            </w:tcBorders>
          </w:tcPr>
          <w:p>
            <w:pPr>
              <w:spacing w:after="0"/>
              <w:rPr>
                <w:sz w:val="14"/>
                <w:szCs w:val="14"/>
                <w:color w:val="auto"/>
              </w:rPr>
            </w:pPr>
          </w:p>
        </w:tc>
        <w:tc>
          <w:tcPr>
            <w:tcW w:w="6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assumed by an entity organized outside the United States pursuant to the covenant</w:t>
            </w:r>
          </w:p>
        </w:tc>
      </w:tr>
      <w:tr>
        <w:trPr>
          <w:trHeight w:val="179"/>
        </w:trPr>
        <w:tc>
          <w:tcPr>
            <w:tcW w:w="2400" w:type="dxa"/>
            <w:vAlign w:val="bottom"/>
            <w:tcBorders>
              <w:left w:val="single" w:sz="8" w:color="auto"/>
            </w:tcBorders>
          </w:tcPr>
          <w:p>
            <w:pPr>
              <w:spacing w:after="0"/>
              <w:rPr>
                <w:sz w:val="15"/>
                <w:szCs w:val="15"/>
                <w:color w:val="auto"/>
              </w:rPr>
            </w:pPr>
          </w:p>
        </w:tc>
        <w:tc>
          <w:tcPr>
            <w:tcW w:w="6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described in “Description of the Notes— Merger, Consolidation and Sale of Assets.”</w:t>
            </w:r>
          </w:p>
        </w:tc>
      </w:tr>
      <w:tr>
        <w:trPr>
          <w:trHeight w:val="259"/>
        </w:trPr>
        <w:tc>
          <w:tcPr>
            <w:tcW w:w="24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Covenants</w:t>
            </w:r>
          </w:p>
        </w:tc>
        <w:tc>
          <w:tcPr>
            <w:tcW w:w="6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The indenture governing the notes contains covenants that, among other matters, limit:</w:t>
            </w:r>
          </w:p>
        </w:tc>
      </w:tr>
      <w:tr>
        <w:trPr>
          <w:trHeight w:val="256"/>
        </w:trPr>
        <w:tc>
          <w:tcPr>
            <w:tcW w:w="2400" w:type="dxa"/>
            <w:vAlign w:val="bottom"/>
            <w:tcBorders>
              <w:left w:val="single" w:sz="8" w:color="auto"/>
            </w:tcBorders>
          </w:tcPr>
          <w:p>
            <w:pPr>
              <w:spacing w:after="0"/>
              <w:rPr>
                <w:sz w:val="22"/>
                <w:szCs w:val="22"/>
                <w:color w:val="auto"/>
              </w:rPr>
            </w:pPr>
          </w:p>
        </w:tc>
        <w:tc>
          <w:tcPr>
            <w:tcW w:w="6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  our ability to consolidate or merge into, or convey, transfer or lease all or substantially</w:t>
            </w:r>
          </w:p>
        </w:tc>
      </w:tr>
      <w:tr>
        <w:trPr>
          <w:trHeight w:val="179"/>
        </w:trPr>
        <w:tc>
          <w:tcPr>
            <w:tcW w:w="2400" w:type="dxa"/>
            <w:vAlign w:val="bottom"/>
            <w:tcBorders>
              <w:left w:val="single" w:sz="8" w:color="auto"/>
            </w:tcBorders>
          </w:tcPr>
          <w:p>
            <w:pPr>
              <w:spacing w:after="0"/>
              <w:rPr>
                <w:sz w:val="15"/>
                <w:szCs w:val="15"/>
                <w:color w:val="auto"/>
              </w:rPr>
            </w:pPr>
          </w:p>
        </w:tc>
        <w:tc>
          <w:tcPr>
            <w:tcW w:w="606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rPr>
              <w:t>all of our properties and assets to, another person;</w:t>
            </w:r>
          </w:p>
        </w:tc>
      </w:tr>
      <w:tr>
        <w:trPr>
          <w:trHeight w:val="259"/>
        </w:trPr>
        <w:tc>
          <w:tcPr>
            <w:tcW w:w="2400" w:type="dxa"/>
            <w:vAlign w:val="bottom"/>
            <w:tcBorders>
              <w:left w:val="single" w:sz="8" w:color="auto"/>
            </w:tcBorders>
          </w:tcPr>
          <w:p>
            <w:pPr>
              <w:spacing w:after="0"/>
              <w:rPr>
                <w:sz w:val="22"/>
                <w:szCs w:val="22"/>
                <w:color w:val="auto"/>
              </w:rPr>
            </w:pPr>
          </w:p>
        </w:tc>
        <w:tc>
          <w:tcPr>
            <w:tcW w:w="6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  our and certain of our subsidiaries’ ability to create or assume liens; and</w:t>
            </w:r>
          </w:p>
        </w:tc>
      </w:tr>
      <w:tr>
        <w:trPr>
          <w:trHeight w:val="259"/>
        </w:trPr>
        <w:tc>
          <w:tcPr>
            <w:tcW w:w="2400" w:type="dxa"/>
            <w:vAlign w:val="bottom"/>
            <w:tcBorders>
              <w:left w:val="single" w:sz="8" w:color="auto"/>
            </w:tcBorders>
          </w:tcPr>
          <w:p>
            <w:pPr>
              <w:spacing w:after="0"/>
              <w:rPr>
                <w:sz w:val="22"/>
                <w:szCs w:val="22"/>
                <w:color w:val="auto"/>
              </w:rPr>
            </w:pPr>
          </w:p>
        </w:tc>
        <w:tc>
          <w:tcPr>
            <w:tcW w:w="6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  our and certain of our subsidiaries’ ability to engage in sale and leaseback transactions.</w:t>
            </w:r>
          </w:p>
        </w:tc>
      </w:tr>
      <w:tr>
        <w:trPr>
          <w:trHeight w:val="245"/>
        </w:trPr>
        <w:tc>
          <w:tcPr>
            <w:tcW w:w="2400" w:type="dxa"/>
            <w:vAlign w:val="bottom"/>
            <w:tcBorders>
              <w:left w:val="single" w:sz="8" w:color="auto"/>
            </w:tcBorders>
          </w:tcPr>
          <w:p>
            <w:pPr>
              <w:spacing w:after="0"/>
              <w:rPr>
                <w:sz w:val="21"/>
                <w:szCs w:val="21"/>
                <w:color w:val="auto"/>
              </w:rPr>
            </w:pPr>
          </w:p>
        </w:tc>
        <w:tc>
          <w:tcPr>
            <w:tcW w:w="6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These covenants are subject to important exceptions and qualifications, which are</w:t>
            </w:r>
          </w:p>
        </w:tc>
      </w:tr>
      <w:tr>
        <w:trPr>
          <w:trHeight w:val="165"/>
        </w:trPr>
        <w:tc>
          <w:tcPr>
            <w:tcW w:w="2400" w:type="dxa"/>
            <w:vAlign w:val="bottom"/>
            <w:tcBorders>
              <w:left w:val="single" w:sz="8" w:color="auto"/>
            </w:tcBorders>
          </w:tcPr>
          <w:p>
            <w:pPr>
              <w:spacing w:after="0"/>
              <w:rPr>
                <w:sz w:val="14"/>
                <w:szCs w:val="14"/>
                <w:color w:val="auto"/>
              </w:rPr>
            </w:pPr>
          </w:p>
        </w:tc>
        <w:tc>
          <w:tcPr>
            <w:tcW w:w="6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described under the heading “Description of the Notes—Covenants” in this prospectus</w:t>
            </w:r>
          </w:p>
        </w:tc>
      </w:tr>
      <w:tr>
        <w:trPr>
          <w:trHeight w:val="179"/>
        </w:trPr>
        <w:tc>
          <w:tcPr>
            <w:tcW w:w="2400" w:type="dxa"/>
            <w:vAlign w:val="bottom"/>
            <w:tcBorders>
              <w:left w:val="single" w:sz="8" w:color="auto"/>
            </w:tcBorders>
          </w:tcPr>
          <w:p>
            <w:pPr>
              <w:spacing w:after="0"/>
              <w:rPr>
                <w:sz w:val="15"/>
                <w:szCs w:val="15"/>
                <w:color w:val="auto"/>
              </w:rPr>
            </w:pPr>
          </w:p>
        </w:tc>
        <w:tc>
          <w:tcPr>
            <w:tcW w:w="6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supplement.</w:t>
            </w:r>
          </w:p>
        </w:tc>
      </w:tr>
      <w:tr>
        <w:trPr>
          <w:trHeight w:val="245"/>
        </w:trPr>
        <w:tc>
          <w:tcPr>
            <w:tcW w:w="24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Use of Proceeds</w:t>
            </w:r>
          </w:p>
        </w:tc>
        <w:tc>
          <w:tcPr>
            <w:tcW w:w="6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We estimate that we will receive net proceeds from this offering of approximately</w:t>
            </w:r>
          </w:p>
        </w:tc>
      </w:tr>
      <w:tr>
        <w:trPr>
          <w:trHeight w:val="165"/>
        </w:trPr>
        <w:tc>
          <w:tcPr>
            <w:tcW w:w="2400" w:type="dxa"/>
            <w:vAlign w:val="bottom"/>
            <w:tcBorders>
              <w:left w:val="single" w:sz="8" w:color="auto"/>
            </w:tcBorders>
          </w:tcPr>
          <w:p>
            <w:pPr>
              <w:spacing w:after="0"/>
              <w:rPr>
                <w:sz w:val="14"/>
                <w:szCs w:val="14"/>
                <w:color w:val="auto"/>
              </w:rPr>
            </w:pPr>
          </w:p>
        </w:tc>
        <w:tc>
          <w:tcPr>
            <w:tcW w:w="6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€991.0 million, after deducting the underwriting discounts and estimated offering expenses</w:t>
            </w:r>
          </w:p>
        </w:tc>
      </w:tr>
      <w:tr>
        <w:trPr>
          <w:trHeight w:val="165"/>
        </w:trPr>
        <w:tc>
          <w:tcPr>
            <w:tcW w:w="2400" w:type="dxa"/>
            <w:vAlign w:val="bottom"/>
            <w:tcBorders>
              <w:left w:val="single" w:sz="8" w:color="auto"/>
            </w:tcBorders>
          </w:tcPr>
          <w:p>
            <w:pPr>
              <w:spacing w:after="0"/>
              <w:rPr>
                <w:sz w:val="14"/>
                <w:szCs w:val="14"/>
                <w:color w:val="auto"/>
              </w:rPr>
            </w:pPr>
          </w:p>
        </w:tc>
        <w:tc>
          <w:tcPr>
            <w:tcW w:w="6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payable by us. We intend to use the net proceeds from this offering, together with proceeds</w:t>
            </w:r>
          </w:p>
        </w:tc>
      </w:tr>
      <w:tr>
        <w:trPr>
          <w:trHeight w:val="165"/>
        </w:trPr>
        <w:tc>
          <w:tcPr>
            <w:tcW w:w="2400" w:type="dxa"/>
            <w:vAlign w:val="bottom"/>
            <w:tcBorders>
              <w:left w:val="single" w:sz="8" w:color="auto"/>
            </w:tcBorders>
          </w:tcPr>
          <w:p>
            <w:pPr>
              <w:spacing w:after="0"/>
              <w:rPr>
                <w:sz w:val="14"/>
                <w:szCs w:val="14"/>
                <w:color w:val="auto"/>
              </w:rPr>
            </w:pPr>
          </w:p>
        </w:tc>
        <w:tc>
          <w:tcPr>
            <w:tcW w:w="6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from the sale of commercial paper and cash from operations, to purchase any and all of our</w:t>
            </w:r>
          </w:p>
        </w:tc>
      </w:tr>
      <w:tr>
        <w:trPr>
          <w:trHeight w:val="165"/>
        </w:trPr>
        <w:tc>
          <w:tcPr>
            <w:tcW w:w="2400" w:type="dxa"/>
            <w:vAlign w:val="bottom"/>
            <w:tcBorders>
              <w:left w:val="single" w:sz="8" w:color="auto"/>
            </w:tcBorders>
          </w:tcPr>
          <w:p>
            <w:pPr>
              <w:spacing w:after="0"/>
              <w:rPr>
                <w:sz w:val="14"/>
                <w:szCs w:val="14"/>
                <w:color w:val="auto"/>
              </w:rPr>
            </w:pPr>
          </w:p>
        </w:tc>
        <w:tc>
          <w:tcPr>
            <w:tcW w:w="6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$750.0 million aggregate principal amount of 5.150% Senior Notes and any and all of our</w:t>
            </w:r>
          </w:p>
        </w:tc>
      </w:tr>
      <w:tr>
        <w:trPr>
          <w:trHeight w:val="165"/>
        </w:trPr>
        <w:tc>
          <w:tcPr>
            <w:tcW w:w="2400" w:type="dxa"/>
            <w:vAlign w:val="bottom"/>
            <w:tcBorders>
              <w:left w:val="single" w:sz="8" w:color="auto"/>
            </w:tcBorders>
          </w:tcPr>
          <w:p>
            <w:pPr>
              <w:spacing w:after="0"/>
              <w:rPr>
                <w:sz w:val="14"/>
                <w:szCs w:val="14"/>
                <w:color w:val="auto"/>
              </w:rPr>
            </w:pPr>
          </w:p>
        </w:tc>
        <w:tc>
          <w:tcPr>
            <w:tcW w:w="6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$2.0 billion aggregate principal amount of 4.400% Senior Notes, including any premium</w:t>
            </w:r>
          </w:p>
        </w:tc>
      </w:tr>
      <w:tr>
        <w:trPr>
          <w:trHeight w:val="165"/>
        </w:trPr>
        <w:tc>
          <w:tcPr>
            <w:tcW w:w="2400" w:type="dxa"/>
            <w:vAlign w:val="bottom"/>
            <w:tcBorders>
              <w:left w:val="single" w:sz="8" w:color="auto"/>
            </w:tcBorders>
          </w:tcPr>
          <w:p>
            <w:pPr>
              <w:spacing w:after="0"/>
              <w:rPr>
                <w:sz w:val="14"/>
                <w:szCs w:val="14"/>
                <w:color w:val="auto"/>
              </w:rPr>
            </w:pPr>
          </w:p>
        </w:tc>
        <w:tc>
          <w:tcPr>
            <w:tcW w:w="6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and accrued and unpaid interest on the tendered notes, pursuant to the tender offer</w:t>
            </w:r>
          </w:p>
        </w:tc>
      </w:tr>
      <w:tr>
        <w:trPr>
          <w:trHeight w:val="179"/>
        </w:trPr>
        <w:tc>
          <w:tcPr>
            <w:tcW w:w="2400" w:type="dxa"/>
            <w:vAlign w:val="bottom"/>
            <w:tcBorders>
              <w:left w:val="single" w:sz="8" w:color="auto"/>
            </w:tcBorders>
          </w:tcPr>
          <w:p>
            <w:pPr>
              <w:spacing w:after="0"/>
              <w:rPr>
                <w:sz w:val="15"/>
                <w:szCs w:val="15"/>
                <w:color w:val="auto"/>
              </w:rPr>
            </w:pPr>
          </w:p>
        </w:tc>
        <w:tc>
          <w:tcPr>
            <w:tcW w:w="6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described above under “Summary—Recent Developments.” See “Use of Proceeds.”</w:t>
            </w:r>
          </w:p>
        </w:tc>
      </w:tr>
      <w:tr>
        <w:trPr>
          <w:trHeight w:val="245"/>
        </w:trPr>
        <w:tc>
          <w:tcPr>
            <w:tcW w:w="24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Conflicts of Interest</w:t>
            </w:r>
          </w:p>
        </w:tc>
        <w:tc>
          <w:tcPr>
            <w:tcW w:w="6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To the extent that net proceeds from this offering are applied to repurchase our 5.150%</w:t>
            </w:r>
          </w:p>
        </w:tc>
      </w:tr>
      <w:tr>
        <w:trPr>
          <w:trHeight w:val="165"/>
        </w:trPr>
        <w:tc>
          <w:tcPr>
            <w:tcW w:w="2400" w:type="dxa"/>
            <w:vAlign w:val="bottom"/>
            <w:tcBorders>
              <w:left w:val="single" w:sz="8" w:color="auto"/>
            </w:tcBorders>
          </w:tcPr>
          <w:p>
            <w:pPr>
              <w:spacing w:after="0"/>
              <w:rPr>
                <w:sz w:val="14"/>
                <w:szCs w:val="14"/>
                <w:color w:val="auto"/>
              </w:rPr>
            </w:pPr>
          </w:p>
        </w:tc>
        <w:tc>
          <w:tcPr>
            <w:tcW w:w="6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Senior Notes or our 4.400% Senior Notes held by any of the underwriters and/or their</w:t>
            </w:r>
          </w:p>
        </w:tc>
      </w:tr>
      <w:tr>
        <w:trPr>
          <w:trHeight w:val="165"/>
        </w:trPr>
        <w:tc>
          <w:tcPr>
            <w:tcW w:w="2400" w:type="dxa"/>
            <w:vAlign w:val="bottom"/>
            <w:tcBorders>
              <w:left w:val="single" w:sz="8" w:color="auto"/>
            </w:tcBorders>
          </w:tcPr>
          <w:p>
            <w:pPr>
              <w:spacing w:after="0"/>
              <w:rPr>
                <w:sz w:val="14"/>
                <w:szCs w:val="14"/>
                <w:color w:val="auto"/>
              </w:rPr>
            </w:pPr>
          </w:p>
        </w:tc>
        <w:tc>
          <w:tcPr>
            <w:tcW w:w="6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respective affiliates, they will receive proceeds of this offering as a result of such</w:t>
            </w:r>
          </w:p>
        </w:tc>
      </w:tr>
      <w:tr>
        <w:trPr>
          <w:trHeight w:val="165"/>
        </w:trPr>
        <w:tc>
          <w:tcPr>
            <w:tcW w:w="2400" w:type="dxa"/>
            <w:vAlign w:val="bottom"/>
            <w:tcBorders>
              <w:left w:val="single" w:sz="8" w:color="auto"/>
            </w:tcBorders>
          </w:tcPr>
          <w:p>
            <w:pPr>
              <w:spacing w:after="0"/>
              <w:rPr>
                <w:sz w:val="14"/>
                <w:szCs w:val="14"/>
                <w:color w:val="auto"/>
              </w:rPr>
            </w:pPr>
          </w:p>
        </w:tc>
        <w:tc>
          <w:tcPr>
            <w:tcW w:w="6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repayment. If 5% or more of the net proceeds of this offering (not including the</w:t>
            </w:r>
          </w:p>
        </w:tc>
      </w:tr>
      <w:tr>
        <w:trPr>
          <w:trHeight w:val="165"/>
        </w:trPr>
        <w:tc>
          <w:tcPr>
            <w:tcW w:w="2400" w:type="dxa"/>
            <w:vAlign w:val="bottom"/>
            <w:tcBorders>
              <w:left w:val="single" w:sz="8" w:color="auto"/>
            </w:tcBorders>
          </w:tcPr>
          <w:p>
            <w:pPr>
              <w:spacing w:after="0"/>
              <w:rPr>
                <w:sz w:val="14"/>
                <w:szCs w:val="14"/>
                <w:color w:val="auto"/>
              </w:rPr>
            </w:pPr>
          </w:p>
        </w:tc>
        <w:tc>
          <w:tcPr>
            <w:tcW w:w="6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underwriting discounts) are used to repurchase such 5.150% Senior Notes or 4.400%</w:t>
            </w:r>
          </w:p>
        </w:tc>
      </w:tr>
      <w:tr>
        <w:trPr>
          <w:trHeight w:val="165"/>
        </w:trPr>
        <w:tc>
          <w:tcPr>
            <w:tcW w:w="2400" w:type="dxa"/>
            <w:vAlign w:val="bottom"/>
            <w:tcBorders>
              <w:left w:val="single" w:sz="8" w:color="auto"/>
            </w:tcBorders>
          </w:tcPr>
          <w:p>
            <w:pPr>
              <w:spacing w:after="0"/>
              <w:rPr>
                <w:sz w:val="14"/>
                <w:szCs w:val="14"/>
                <w:color w:val="auto"/>
              </w:rPr>
            </w:pPr>
          </w:p>
        </w:tc>
        <w:tc>
          <w:tcPr>
            <w:tcW w:w="6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Senior Notes held by the underwriters and/or their respective affiliates, this offering will be</w:t>
            </w:r>
          </w:p>
        </w:tc>
      </w:tr>
      <w:tr>
        <w:trPr>
          <w:trHeight w:val="165"/>
        </w:trPr>
        <w:tc>
          <w:tcPr>
            <w:tcW w:w="2400" w:type="dxa"/>
            <w:vAlign w:val="bottom"/>
            <w:tcBorders>
              <w:left w:val="single" w:sz="8" w:color="auto"/>
            </w:tcBorders>
          </w:tcPr>
          <w:p>
            <w:pPr>
              <w:spacing w:after="0"/>
              <w:rPr>
                <w:sz w:val="14"/>
                <w:szCs w:val="14"/>
                <w:color w:val="auto"/>
              </w:rPr>
            </w:pPr>
          </w:p>
        </w:tc>
        <w:tc>
          <w:tcPr>
            <w:tcW w:w="6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conducted in accordance with Rule 5121 of the Financial Industry Regulatory Authority,</w:t>
            </w:r>
          </w:p>
        </w:tc>
      </w:tr>
      <w:tr>
        <w:trPr>
          <w:trHeight w:val="165"/>
        </w:trPr>
        <w:tc>
          <w:tcPr>
            <w:tcW w:w="2400" w:type="dxa"/>
            <w:vAlign w:val="bottom"/>
            <w:tcBorders>
              <w:left w:val="single" w:sz="8" w:color="auto"/>
            </w:tcBorders>
          </w:tcPr>
          <w:p>
            <w:pPr>
              <w:spacing w:after="0"/>
              <w:rPr>
                <w:sz w:val="14"/>
                <w:szCs w:val="14"/>
                <w:color w:val="auto"/>
              </w:rPr>
            </w:pPr>
          </w:p>
        </w:tc>
        <w:tc>
          <w:tcPr>
            <w:tcW w:w="6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Inc.’s (“FINRA”) Conduct Rules. In such event, the underwriters will not confirm sales of</w:t>
            </w:r>
          </w:p>
        </w:tc>
      </w:tr>
      <w:tr>
        <w:trPr>
          <w:trHeight w:val="165"/>
        </w:trPr>
        <w:tc>
          <w:tcPr>
            <w:tcW w:w="2400" w:type="dxa"/>
            <w:vAlign w:val="bottom"/>
            <w:tcBorders>
              <w:left w:val="single" w:sz="8" w:color="auto"/>
            </w:tcBorders>
          </w:tcPr>
          <w:p>
            <w:pPr>
              <w:spacing w:after="0"/>
              <w:rPr>
                <w:sz w:val="14"/>
                <w:szCs w:val="14"/>
                <w:color w:val="auto"/>
              </w:rPr>
            </w:pPr>
          </w:p>
        </w:tc>
        <w:tc>
          <w:tcPr>
            <w:tcW w:w="6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the notes to accounts over which they exercise discretionary authority without the prior</w:t>
            </w:r>
          </w:p>
        </w:tc>
      </w:tr>
      <w:tr>
        <w:trPr>
          <w:trHeight w:val="165"/>
        </w:trPr>
        <w:tc>
          <w:tcPr>
            <w:tcW w:w="2400" w:type="dxa"/>
            <w:vAlign w:val="bottom"/>
            <w:tcBorders>
              <w:left w:val="single" w:sz="8" w:color="auto"/>
            </w:tcBorders>
          </w:tcPr>
          <w:p>
            <w:pPr>
              <w:spacing w:after="0"/>
              <w:rPr>
                <w:sz w:val="14"/>
                <w:szCs w:val="14"/>
                <w:color w:val="auto"/>
              </w:rPr>
            </w:pPr>
          </w:p>
        </w:tc>
        <w:tc>
          <w:tcPr>
            <w:tcW w:w="6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written approval of the customer. See “Underwriting (Conflicts of Interest)— Conflicts of</w:t>
            </w:r>
          </w:p>
        </w:tc>
      </w:tr>
      <w:tr>
        <w:trPr>
          <w:trHeight w:val="179"/>
        </w:trPr>
        <w:tc>
          <w:tcPr>
            <w:tcW w:w="2400" w:type="dxa"/>
            <w:vAlign w:val="bottom"/>
            <w:tcBorders>
              <w:left w:val="single" w:sz="8" w:color="auto"/>
            </w:tcBorders>
          </w:tcPr>
          <w:p>
            <w:pPr>
              <w:spacing w:after="0"/>
              <w:rPr>
                <w:sz w:val="15"/>
                <w:szCs w:val="15"/>
                <w:color w:val="auto"/>
              </w:rPr>
            </w:pPr>
          </w:p>
        </w:tc>
        <w:tc>
          <w:tcPr>
            <w:tcW w:w="6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Interest” in this prospectus supplement.</w:t>
            </w:r>
          </w:p>
        </w:tc>
      </w:tr>
      <w:tr>
        <w:trPr>
          <w:trHeight w:val="129"/>
        </w:trPr>
        <w:tc>
          <w:tcPr>
            <w:tcW w:w="2400" w:type="dxa"/>
            <w:vAlign w:val="bottom"/>
            <w:tcBorders>
              <w:left w:val="single" w:sz="8" w:color="auto"/>
              <w:bottom w:val="single" w:sz="8" w:color="auto"/>
            </w:tcBorders>
          </w:tcPr>
          <w:p>
            <w:pPr>
              <w:spacing w:after="0"/>
              <w:rPr>
                <w:sz w:val="11"/>
                <w:szCs w:val="11"/>
                <w:color w:val="auto"/>
              </w:rPr>
            </w:pPr>
          </w:p>
        </w:tc>
        <w:tc>
          <w:tcPr>
            <w:tcW w:w="6060" w:type="dxa"/>
            <w:vAlign w:val="bottom"/>
            <w:tcBorders>
              <w:bottom w:val="single" w:sz="8" w:color="auto"/>
              <w:right w:val="single" w:sz="8" w:color="auto"/>
            </w:tcBorders>
          </w:tcPr>
          <w:p>
            <w:pPr>
              <w:spacing w:after="0"/>
              <w:rPr>
                <w:sz w:val="11"/>
                <w:szCs w:val="11"/>
                <w:color w:val="auto"/>
              </w:rPr>
            </w:pPr>
          </w:p>
        </w:tc>
      </w:tr>
      <w:tr>
        <w:trPr>
          <w:trHeight w:val="275"/>
        </w:trPr>
        <w:tc>
          <w:tcPr>
            <w:tcW w:w="2400" w:type="dxa"/>
            <w:vAlign w:val="bottom"/>
          </w:tcPr>
          <w:p>
            <w:pPr>
              <w:spacing w:after="0"/>
              <w:rPr>
                <w:sz w:val="23"/>
                <w:szCs w:val="23"/>
                <w:color w:val="auto"/>
              </w:rPr>
            </w:pPr>
          </w:p>
        </w:tc>
        <w:tc>
          <w:tcPr>
            <w:tcW w:w="606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S-5</w:t>
            </w:r>
          </w:p>
        </w:tc>
      </w:tr>
    </w:tbl>
    <w:p>
      <w:pPr>
        <w:sectPr>
          <w:pgSz w:w="11900" w:h="16838" w:orient="portrait"/>
          <w:cols w:equalWidth="0" w:num="1">
            <w:col w:w="10159"/>
          </w:cols>
          <w:pgMar w:left="300" w:top="381"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4" w:lineRule="exact"/>
        <w:rPr>
          <w:sz w:val="20"/>
          <w:szCs w:val="20"/>
          <w:color w:val="auto"/>
        </w:rPr>
      </w:pPr>
    </w:p>
    <w:tbl>
      <w:tblPr>
        <w:tblLayout w:type="fixed"/>
        <w:tblInd w:w="1430" w:type="dxa"/>
        <w:tblCellMar>
          <w:top w:w="0" w:type="dxa"/>
          <w:left w:w="0" w:type="dxa"/>
          <w:bottom w:w="0" w:type="dxa"/>
          <w:right w:w="0" w:type="dxa"/>
        </w:tblCellMar>
      </w:tblPr>
      <w:tr>
        <w:trPr>
          <w:trHeight w:val="292"/>
        </w:trPr>
        <w:tc>
          <w:tcPr>
            <w:tcW w:w="2740" w:type="dxa"/>
            <w:vAlign w:val="bottom"/>
            <w:tcBorders>
              <w:top w:val="single" w:sz="8" w:color="auto"/>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Form and Denomination</w:t>
            </w:r>
          </w:p>
        </w:tc>
        <w:tc>
          <w:tcPr>
            <w:tcW w:w="5720" w:type="dxa"/>
            <w:vAlign w:val="bottom"/>
            <w:tcBorders>
              <w:top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The notes will be issued in the form of one or more permanent global notes in fully</w:t>
            </w:r>
          </w:p>
        </w:tc>
      </w:tr>
      <w:tr>
        <w:trPr>
          <w:trHeight w:val="165"/>
        </w:trPr>
        <w:tc>
          <w:tcPr>
            <w:tcW w:w="274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registered form (“global notes”). The global notes will be deposited with, or on behalf of,</w:t>
            </w:r>
          </w:p>
        </w:tc>
      </w:tr>
      <w:tr>
        <w:trPr>
          <w:trHeight w:val="165"/>
        </w:trPr>
        <w:tc>
          <w:tcPr>
            <w:tcW w:w="274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the common depositary for Clearstream and Euroclear and issued to and registered in the</w:t>
            </w:r>
          </w:p>
        </w:tc>
      </w:tr>
      <w:tr>
        <w:trPr>
          <w:trHeight w:val="165"/>
        </w:trPr>
        <w:tc>
          <w:tcPr>
            <w:tcW w:w="274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name of a nominee of the common depositary. Except as described in this prospectus</w:t>
            </w:r>
          </w:p>
        </w:tc>
      </w:tr>
      <w:tr>
        <w:trPr>
          <w:trHeight w:val="165"/>
        </w:trPr>
        <w:tc>
          <w:tcPr>
            <w:tcW w:w="274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supplement, the global notes may be transferred, in whole and not in part, only to another</w:t>
            </w:r>
          </w:p>
        </w:tc>
      </w:tr>
      <w:tr>
        <w:trPr>
          <w:trHeight w:val="165"/>
        </w:trPr>
        <w:tc>
          <w:tcPr>
            <w:tcW w:w="274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nominee of the ICSDs. Investors may hold their beneficial interests in the global notes</w:t>
            </w:r>
          </w:p>
        </w:tc>
      </w:tr>
      <w:tr>
        <w:trPr>
          <w:trHeight w:val="165"/>
        </w:trPr>
        <w:tc>
          <w:tcPr>
            <w:tcW w:w="274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directly through an ICSD if they have an account with an ICSD or indirectly through</w:t>
            </w:r>
          </w:p>
        </w:tc>
      </w:tr>
      <w:tr>
        <w:trPr>
          <w:trHeight w:val="165"/>
        </w:trPr>
        <w:tc>
          <w:tcPr>
            <w:tcW w:w="274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organizations that have accounts with the ICSDs. Except in the limited circumstances</w:t>
            </w:r>
          </w:p>
        </w:tc>
      </w:tr>
      <w:tr>
        <w:trPr>
          <w:trHeight w:val="165"/>
        </w:trPr>
        <w:tc>
          <w:tcPr>
            <w:tcW w:w="274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described in this prospectus supplement, certificates will not be issued in exchange for</w:t>
            </w:r>
          </w:p>
        </w:tc>
      </w:tr>
      <w:tr>
        <w:trPr>
          <w:trHeight w:val="179"/>
        </w:trPr>
        <w:tc>
          <w:tcPr>
            <w:tcW w:w="2740" w:type="dxa"/>
            <w:vAlign w:val="bottom"/>
            <w:tcBorders>
              <w:left w:val="single" w:sz="8" w:color="auto"/>
            </w:tcBorders>
          </w:tcPr>
          <w:p>
            <w:pPr>
              <w:spacing w:after="0"/>
              <w:rPr>
                <w:sz w:val="15"/>
                <w:szCs w:val="15"/>
                <w:color w:val="auto"/>
              </w:rPr>
            </w:pPr>
          </w:p>
        </w:tc>
        <w:tc>
          <w:tcPr>
            <w:tcW w:w="57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beneficial interests in the global notes. See “Description of the Notes—Book-Entry.”</w:t>
            </w:r>
          </w:p>
        </w:tc>
      </w:tr>
      <w:tr>
        <w:trPr>
          <w:trHeight w:val="245"/>
        </w:trPr>
        <w:tc>
          <w:tcPr>
            <w:tcW w:w="2740" w:type="dxa"/>
            <w:vAlign w:val="bottom"/>
            <w:tcBorders>
              <w:left w:val="single" w:sz="8" w:color="auto"/>
            </w:tcBorders>
          </w:tcPr>
          <w:p>
            <w:pPr>
              <w:spacing w:after="0"/>
              <w:rPr>
                <w:sz w:val="21"/>
                <w:szCs w:val="21"/>
                <w:color w:val="auto"/>
              </w:rPr>
            </w:pPr>
          </w:p>
        </w:tc>
        <w:tc>
          <w:tcPr>
            <w:tcW w:w="57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The notes will be issued in minimum denominations of €100,000 and integral multiples of</w:t>
            </w:r>
          </w:p>
        </w:tc>
      </w:tr>
      <w:tr>
        <w:trPr>
          <w:trHeight w:val="179"/>
        </w:trPr>
        <w:tc>
          <w:tcPr>
            <w:tcW w:w="2740" w:type="dxa"/>
            <w:vAlign w:val="bottom"/>
            <w:tcBorders>
              <w:left w:val="single" w:sz="8" w:color="auto"/>
            </w:tcBorders>
          </w:tcPr>
          <w:p>
            <w:pPr>
              <w:spacing w:after="0"/>
              <w:rPr>
                <w:sz w:val="15"/>
                <w:szCs w:val="15"/>
                <w:color w:val="auto"/>
              </w:rPr>
            </w:pPr>
          </w:p>
        </w:tc>
        <w:tc>
          <w:tcPr>
            <w:tcW w:w="57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€1,000 in excess thereof.</w:t>
            </w:r>
          </w:p>
        </w:tc>
      </w:tr>
      <w:tr>
        <w:trPr>
          <w:trHeight w:val="245"/>
        </w:trPr>
        <w:tc>
          <w:tcPr>
            <w:tcW w:w="27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Currency of Payments</w:t>
            </w:r>
          </w:p>
        </w:tc>
        <w:tc>
          <w:tcPr>
            <w:tcW w:w="57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All payments of principal of, and premium, if any, and interest on, the notes, including any</w:t>
            </w:r>
          </w:p>
        </w:tc>
      </w:tr>
      <w:tr>
        <w:trPr>
          <w:trHeight w:val="179"/>
        </w:trPr>
        <w:tc>
          <w:tcPr>
            <w:tcW w:w="2740" w:type="dxa"/>
            <w:vAlign w:val="bottom"/>
            <w:tcBorders>
              <w:left w:val="single" w:sz="8" w:color="auto"/>
            </w:tcBorders>
          </w:tcPr>
          <w:p>
            <w:pPr>
              <w:spacing w:after="0"/>
              <w:rPr>
                <w:sz w:val="15"/>
                <w:szCs w:val="15"/>
                <w:color w:val="auto"/>
              </w:rPr>
            </w:pPr>
          </w:p>
        </w:tc>
        <w:tc>
          <w:tcPr>
            <w:tcW w:w="57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payments made upon any redemption or repurchase of the notes, will be made in euro.</w:t>
            </w:r>
          </w:p>
        </w:tc>
      </w:tr>
      <w:tr>
        <w:trPr>
          <w:trHeight w:val="245"/>
        </w:trPr>
        <w:tc>
          <w:tcPr>
            <w:tcW w:w="2740" w:type="dxa"/>
            <w:vAlign w:val="bottom"/>
            <w:tcBorders>
              <w:left w:val="single" w:sz="8" w:color="auto"/>
            </w:tcBorders>
          </w:tcPr>
          <w:p>
            <w:pPr>
              <w:spacing w:after="0"/>
              <w:rPr>
                <w:sz w:val="21"/>
                <w:szCs w:val="21"/>
                <w:color w:val="auto"/>
              </w:rPr>
            </w:pPr>
          </w:p>
        </w:tc>
        <w:tc>
          <w:tcPr>
            <w:tcW w:w="57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If euro is unavailable to us due to the imposition of exchange controls or other</w:t>
            </w:r>
          </w:p>
        </w:tc>
      </w:tr>
      <w:tr>
        <w:trPr>
          <w:trHeight w:val="165"/>
        </w:trPr>
        <w:tc>
          <w:tcPr>
            <w:tcW w:w="274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circumstances beyond our control, or if the euro is no longer used by the then member</w:t>
            </w:r>
          </w:p>
        </w:tc>
      </w:tr>
      <w:tr>
        <w:trPr>
          <w:trHeight w:val="165"/>
        </w:trPr>
        <w:tc>
          <w:tcPr>
            <w:tcW w:w="274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states of the European Union that have adopted the euro as their currency or for the</w:t>
            </w:r>
          </w:p>
        </w:tc>
      </w:tr>
      <w:tr>
        <w:trPr>
          <w:trHeight w:val="165"/>
        </w:trPr>
        <w:tc>
          <w:tcPr>
            <w:tcW w:w="274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settlement of transactions by public institutions of or within the international banking</w:t>
            </w:r>
          </w:p>
        </w:tc>
      </w:tr>
      <w:tr>
        <w:trPr>
          <w:trHeight w:val="165"/>
        </w:trPr>
        <w:tc>
          <w:tcPr>
            <w:tcW w:w="274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community, then all payments in respect of the notes will be made in U.S. dollars until euro</w:t>
            </w:r>
          </w:p>
        </w:tc>
      </w:tr>
      <w:tr>
        <w:trPr>
          <w:trHeight w:val="165"/>
        </w:trPr>
        <w:tc>
          <w:tcPr>
            <w:tcW w:w="274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is again available to us or so used. In such circumstances, the amounts payable on any date</w:t>
            </w:r>
          </w:p>
        </w:tc>
      </w:tr>
      <w:tr>
        <w:trPr>
          <w:trHeight w:val="165"/>
        </w:trPr>
        <w:tc>
          <w:tcPr>
            <w:tcW w:w="274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in euro will be converted into U.S. dollars at the “market exchange rate” (as defined in this</w:t>
            </w:r>
          </w:p>
        </w:tc>
      </w:tr>
      <w:tr>
        <w:trPr>
          <w:trHeight w:val="165"/>
        </w:trPr>
        <w:tc>
          <w:tcPr>
            <w:tcW w:w="274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prospectus supplement) as of the close of business on the second business day prior to the</w:t>
            </w:r>
          </w:p>
        </w:tc>
      </w:tr>
      <w:tr>
        <w:trPr>
          <w:trHeight w:val="165"/>
        </w:trPr>
        <w:tc>
          <w:tcPr>
            <w:tcW w:w="274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relevant payment date or, if such market exchange rate is not then available, on the basis of</w:t>
            </w:r>
          </w:p>
        </w:tc>
      </w:tr>
      <w:tr>
        <w:trPr>
          <w:trHeight w:val="165"/>
        </w:trPr>
        <w:tc>
          <w:tcPr>
            <w:tcW w:w="274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the then most recent U.S. dollar/euro exchange rate available on or prior to the second</w:t>
            </w:r>
          </w:p>
        </w:tc>
      </w:tr>
      <w:tr>
        <w:trPr>
          <w:trHeight w:val="165"/>
        </w:trPr>
        <w:tc>
          <w:tcPr>
            <w:tcW w:w="274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business day prior to the relevant payment date as determined by us in our sole discretion.</w:t>
            </w:r>
          </w:p>
        </w:tc>
      </w:tr>
      <w:tr>
        <w:trPr>
          <w:trHeight w:val="165"/>
        </w:trPr>
        <w:tc>
          <w:tcPr>
            <w:tcW w:w="274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Any payment in respect of the notes so made in U.S. dollars will not constitute an event of</w:t>
            </w:r>
          </w:p>
        </w:tc>
      </w:tr>
      <w:tr>
        <w:trPr>
          <w:trHeight w:val="165"/>
        </w:trPr>
        <w:tc>
          <w:tcPr>
            <w:tcW w:w="274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default under the indenture governing the notes. See “Description of the Notes—Issuance</w:t>
            </w:r>
          </w:p>
        </w:tc>
      </w:tr>
      <w:tr>
        <w:trPr>
          <w:trHeight w:val="179"/>
        </w:trPr>
        <w:tc>
          <w:tcPr>
            <w:tcW w:w="2740" w:type="dxa"/>
            <w:vAlign w:val="bottom"/>
            <w:tcBorders>
              <w:left w:val="single" w:sz="8" w:color="auto"/>
            </w:tcBorders>
          </w:tcPr>
          <w:p>
            <w:pPr>
              <w:spacing w:after="0"/>
              <w:rPr>
                <w:sz w:val="15"/>
                <w:szCs w:val="15"/>
                <w:color w:val="auto"/>
              </w:rPr>
            </w:pPr>
          </w:p>
        </w:tc>
        <w:tc>
          <w:tcPr>
            <w:tcW w:w="57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in Euro.”</w:t>
            </w:r>
          </w:p>
        </w:tc>
      </w:tr>
      <w:tr>
        <w:trPr>
          <w:trHeight w:val="259"/>
        </w:trPr>
        <w:tc>
          <w:tcPr>
            <w:tcW w:w="27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Trustee, Registrar and Transfer Agent</w:t>
            </w:r>
          </w:p>
        </w:tc>
        <w:tc>
          <w:tcPr>
            <w:tcW w:w="57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U.S. Bank Trust Company, National Association</w:t>
            </w:r>
          </w:p>
        </w:tc>
      </w:tr>
      <w:tr>
        <w:trPr>
          <w:trHeight w:val="269"/>
        </w:trPr>
        <w:tc>
          <w:tcPr>
            <w:tcW w:w="27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Paying Agent</w:t>
            </w:r>
          </w:p>
        </w:tc>
        <w:tc>
          <w:tcPr>
            <w:tcW w:w="57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U.S. Bank Europe DAC, UK Branch</w:t>
            </w:r>
          </w:p>
        </w:tc>
      </w:tr>
      <w:tr>
        <w:trPr>
          <w:trHeight w:val="256"/>
        </w:trPr>
        <w:tc>
          <w:tcPr>
            <w:tcW w:w="27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Listing and Trading</w:t>
            </w:r>
          </w:p>
        </w:tc>
        <w:tc>
          <w:tcPr>
            <w:tcW w:w="57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We intend to apply to list the notes on NASDAQ. The listing application will be subject to</w:t>
            </w:r>
          </w:p>
        </w:tc>
      </w:tr>
      <w:tr>
        <w:trPr>
          <w:trHeight w:val="165"/>
        </w:trPr>
        <w:tc>
          <w:tcPr>
            <w:tcW w:w="274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approval by NASDAQ. If such listing is obtained, we have no obligation to maintain such</w:t>
            </w:r>
          </w:p>
        </w:tc>
      </w:tr>
      <w:tr>
        <w:trPr>
          <w:trHeight w:val="165"/>
        </w:trPr>
        <w:tc>
          <w:tcPr>
            <w:tcW w:w="274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listing for the notes and we may delist the notes, or list the notes on one or more other</w:t>
            </w:r>
          </w:p>
        </w:tc>
      </w:tr>
      <w:tr>
        <w:trPr>
          <w:trHeight w:val="165"/>
        </w:trPr>
        <w:tc>
          <w:tcPr>
            <w:tcW w:w="274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national securities exchanges, at any time. We currently expect trading in the notes on</w:t>
            </w:r>
          </w:p>
        </w:tc>
      </w:tr>
      <w:tr>
        <w:trPr>
          <w:trHeight w:val="179"/>
        </w:trPr>
        <w:tc>
          <w:tcPr>
            <w:tcW w:w="2740" w:type="dxa"/>
            <w:vAlign w:val="bottom"/>
            <w:tcBorders>
              <w:left w:val="single" w:sz="8" w:color="auto"/>
            </w:tcBorders>
          </w:tcPr>
          <w:p>
            <w:pPr>
              <w:spacing w:after="0"/>
              <w:rPr>
                <w:sz w:val="15"/>
                <w:szCs w:val="15"/>
                <w:color w:val="auto"/>
              </w:rPr>
            </w:pPr>
          </w:p>
        </w:tc>
        <w:tc>
          <w:tcPr>
            <w:tcW w:w="57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NASDAQ to begin within 30 days after the original issue date.</w:t>
            </w:r>
          </w:p>
        </w:tc>
      </w:tr>
      <w:tr>
        <w:trPr>
          <w:trHeight w:val="259"/>
        </w:trPr>
        <w:tc>
          <w:tcPr>
            <w:tcW w:w="27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Legal Entity Identifier</w:t>
            </w:r>
          </w:p>
        </w:tc>
        <w:tc>
          <w:tcPr>
            <w:tcW w:w="57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GI7UBEJLXYLGR2C7GV83</w:t>
            </w:r>
          </w:p>
        </w:tc>
      </w:tr>
      <w:tr>
        <w:trPr>
          <w:trHeight w:val="139"/>
        </w:trPr>
        <w:tc>
          <w:tcPr>
            <w:tcW w:w="2740" w:type="dxa"/>
            <w:vAlign w:val="bottom"/>
            <w:tcBorders>
              <w:left w:val="single" w:sz="8" w:color="auto"/>
              <w:bottom w:val="single" w:sz="8" w:color="auto"/>
            </w:tcBorders>
          </w:tcPr>
          <w:p>
            <w:pPr>
              <w:spacing w:after="0"/>
              <w:rPr>
                <w:sz w:val="12"/>
                <w:szCs w:val="12"/>
                <w:color w:val="auto"/>
              </w:rPr>
            </w:pPr>
          </w:p>
        </w:tc>
        <w:tc>
          <w:tcPr>
            <w:tcW w:w="5720" w:type="dxa"/>
            <w:vAlign w:val="bottom"/>
            <w:tcBorders>
              <w:bottom w:val="single" w:sz="8" w:color="auto"/>
              <w:right w:val="single" w:sz="8" w:color="auto"/>
            </w:tcBorders>
          </w:tcPr>
          <w:p>
            <w:pPr>
              <w:spacing w:after="0"/>
              <w:rPr>
                <w:sz w:val="12"/>
                <w:szCs w:val="12"/>
                <w:color w:val="auto"/>
              </w:rPr>
            </w:pPr>
          </w:p>
        </w:tc>
      </w:tr>
      <w:tr>
        <w:trPr>
          <w:trHeight w:val="275"/>
        </w:trPr>
        <w:tc>
          <w:tcPr>
            <w:tcW w:w="2740" w:type="dxa"/>
            <w:vAlign w:val="bottom"/>
          </w:tcPr>
          <w:p>
            <w:pPr>
              <w:spacing w:after="0"/>
              <w:rPr>
                <w:sz w:val="23"/>
                <w:szCs w:val="23"/>
                <w:color w:val="auto"/>
              </w:rPr>
            </w:pPr>
          </w:p>
        </w:tc>
        <w:tc>
          <w:tcPr>
            <w:tcW w:w="572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S-6</w:t>
            </w:r>
          </w:p>
        </w:tc>
      </w:tr>
    </w:tbl>
    <w:p>
      <w:pPr>
        <w:sectPr>
          <w:pgSz w:w="11900" w:h="16838" w:orient="portrait"/>
          <w:cols w:equalWidth="0" w:num="1">
            <w:col w:w="10159"/>
          </w:cols>
          <w:pgMar w:left="300" w:top="381"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161290</wp:posOffset>
            </wp:positionV>
            <wp:extent cx="5364480" cy="3624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5364480" cy="3624580"/>
                    </a:xfrm>
                    <a:prstGeom prst="rect">
                      <a:avLst/>
                    </a:prstGeom>
                    <a:noFill/>
                  </pic:spPr>
                </pic:pic>
              </a:graphicData>
            </a:graphic>
          </wp:anchor>
        </w:drawing>
      </w:r>
    </w:p>
    <w:p>
      <w:pPr>
        <w:spacing w:after="0" w:line="3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Summary Fiserv Consolidated Financial Information</w:t>
      </w:r>
    </w:p>
    <w:p>
      <w:pPr>
        <w:spacing w:after="0" w:line="174" w:lineRule="exact"/>
        <w:rPr>
          <w:sz w:val="20"/>
          <w:szCs w:val="20"/>
          <w:color w:val="auto"/>
        </w:rPr>
      </w:pPr>
    </w:p>
    <w:p>
      <w:pPr>
        <w:ind w:left="1560" w:right="459" w:firstLine="326"/>
        <w:spacing w:after="0" w:line="251" w:lineRule="auto"/>
        <w:rPr>
          <w:sz w:val="20"/>
          <w:szCs w:val="20"/>
          <w:color w:val="auto"/>
        </w:rPr>
      </w:pPr>
      <w:r>
        <w:rPr>
          <w:rFonts w:ascii="Times New Roman" w:cs="Times New Roman" w:eastAsia="Times New Roman" w:hAnsi="Times New Roman"/>
          <w:sz w:val="14"/>
          <w:szCs w:val="14"/>
          <w:color w:val="auto"/>
        </w:rPr>
        <w:t>The summary consolidated financial information below was derived from our consolidated financial statements. The information set forth below is qualified in its entirety by, and should be read in conjunction with, our “Management’s Discussion and Analysis of Financial Condition and Results of Operations” and our consolidated financial statements and related notes incorporated by reference into this prospectus supplement and the accompanying prospectus. The summary consolidated financial information presented below has been affected by acquisitions, dispositions and foreign currency fluctuations. See the section entitled “Where You Can Find More Information” in this prospectus supplement and the accompanying prospectus.</w:t>
      </w:r>
    </w:p>
    <w:p>
      <w:pPr>
        <w:spacing w:after="0" w:line="150" w:lineRule="exact"/>
        <w:rPr>
          <w:sz w:val="20"/>
          <w:szCs w:val="20"/>
          <w:color w:val="auto"/>
        </w:rPr>
      </w:pPr>
    </w:p>
    <w:tbl>
      <w:tblPr>
        <w:tblLayout w:type="fixed"/>
        <w:tblInd w:w="1560" w:type="dxa"/>
        <w:tblCellMar>
          <w:top w:w="0" w:type="dxa"/>
          <w:left w:w="0" w:type="dxa"/>
          <w:bottom w:w="0" w:type="dxa"/>
          <w:right w:w="0" w:type="dxa"/>
        </w:tblCellMar>
      </w:tblPr>
      <w:tr>
        <w:trPr>
          <w:trHeight w:val="126"/>
        </w:trPr>
        <w:tc>
          <w:tcPr>
            <w:tcW w:w="5200" w:type="dxa"/>
            <w:vAlign w:val="bottom"/>
          </w:tcPr>
          <w:p>
            <w:pPr>
              <w:spacing w:after="0"/>
              <w:rPr>
                <w:sz w:val="11"/>
                <w:szCs w:val="11"/>
                <w:color w:val="auto"/>
              </w:rPr>
            </w:pPr>
          </w:p>
        </w:tc>
        <w:tc>
          <w:tcPr>
            <w:tcW w:w="1160" w:type="dxa"/>
            <w:vAlign w:val="bottom"/>
            <w:gridSpan w:val="3"/>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Three Months</w:t>
            </w:r>
          </w:p>
        </w:tc>
        <w:tc>
          <w:tcPr>
            <w:tcW w:w="1800" w:type="dxa"/>
            <w:vAlign w:val="bottom"/>
            <w:gridSpan w:val="6"/>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Year Ended December 31,</w:t>
            </w: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16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Ended March 31,</w:t>
            </w:r>
          </w:p>
        </w:tc>
        <w:tc>
          <w:tcPr>
            <w:tcW w:w="180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52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60" w:type="dxa"/>
            <w:vAlign w:val="bottom"/>
            <w:tcBorders>
              <w:top w:val="single" w:sz="8" w:color="auto"/>
              <w:bottom w:val="single" w:sz="8" w:color="auto"/>
            </w:tcBorders>
          </w:tcPr>
          <w:p>
            <w:pPr>
              <w:jc w:val="right"/>
              <w:ind w:right="98"/>
              <w:spacing w:after="0" w:line="104" w:lineRule="exact"/>
              <w:rPr>
                <w:sz w:val="20"/>
                <w:szCs w:val="20"/>
                <w:color w:val="auto"/>
              </w:rPr>
            </w:pPr>
            <w:r>
              <w:rPr>
                <w:rFonts w:ascii="Times New Roman" w:cs="Times New Roman" w:eastAsia="Times New Roman" w:hAnsi="Times New Roman"/>
                <w:sz w:val="11"/>
                <w:szCs w:val="11"/>
                <w:b w:val="1"/>
                <w:bCs w:val="1"/>
                <w:color w:val="auto"/>
              </w:rPr>
              <w:t>2026</w:t>
            </w:r>
          </w:p>
        </w:tc>
        <w:tc>
          <w:tcPr>
            <w:tcW w:w="500" w:type="dxa"/>
            <w:vAlign w:val="bottom"/>
            <w:tcBorders>
              <w:top w:val="single" w:sz="8" w:color="auto"/>
              <w:bottom w:val="single" w:sz="8" w:color="auto"/>
            </w:tcBorders>
          </w:tcPr>
          <w:p>
            <w:pPr>
              <w:jc w:val="right"/>
              <w:ind w:right="17"/>
              <w:spacing w:after="0" w:line="104" w:lineRule="exact"/>
              <w:rPr>
                <w:sz w:val="20"/>
                <w:szCs w:val="20"/>
                <w:color w:val="auto"/>
              </w:rPr>
            </w:pPr>
            <w:r>
              <w:rPr>
                <w:rFonts w:ascii="Times New Roman" w:cs="Times New Roman" w:eastAsia="Times New Roman" w:hAnsi="Times New Roman"/>
                <w:sz w:val="11"/>
                <w:szCs w:val="11"/>
                <w:b w:val="1"/>
                <w:bCs w:val="1"/>
                <w:color w:val="auto"/>
              </w:rPr>
              <w:t>2025</w:t>
            </w:r>
          </w:p>
        </w:tc>
        <w:tc>
          <w:tcPr>
            <w:tcW w:w="200" w:type="dxa"/>
            <w:vAlign w:val="bottom"/>
            <w:tcBorders>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ind w:right="37"/>
              <w:spacing w:after="0" w:line="104" w:lineRule="exact"/>
              <w:rPr>
                <w:sz w:val="20"/>
                <w:szCs w:val="20"/>
                <w:color w:val="auto"/>
              </w:rPr>
            </w:pPr>
            <w:r>
              <w:rPr>
                <w:rFonts w:ascii="Times New Roman" w:cs="Times New Roman" w:eastAsia="Times New Roman" w:hAnsi="Times New Roman"/>
                <w:sz w:val="11"/>
                <w:szCs w:val="11"/>
                <w:b w:val="1"/>
                <w:bCs w:val="1"/>
                <w:color w:val="auto"/>
              </w:rPr>
              <w:t>2025</w:t>
            </w:r>
          </w:p>
        </w:tc>
        <w:tc>
          <w:tcPr>
            <w:tcW w:w="200" w:type="dxa"/>
            <w:vAlign w:val="bottom"/>
            <w:tcBorders>
              <w:top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center"/>
              <w:spacing w:after="0" w:line="104" w:lineRule="exact"/>
              <w:rPr>
                <w:sz w:val="20"/>
                <w:szCs w:val="20"/>
                <w:color w:val="auto"/>
              </w:rPr>
            </w:pPr>
            <w:r>
              <w:rPr>
                <w:rFonts w:ascii="Times New Roman" w:cs="Times New Roman" w:eastAsia="Times New Roman" w:hAnsi="Times New Roman"/>
                <w:sz w:val="11"/>
                <w:szCs w:val="11"/>
                <w:b w:val="1"/>
                <w:bCs w:val="1"/>
                <w:color w:val="auto"/>
                <w:w w:val="99"/>
              </w:rPr>
              <w:t>2024</w:t>
            </w:r>
          </w:p>
        </w:tc>
        <w:tc>
          <w:tcPr>
            <w:tcW w:w="200" w:type="dxa"/>
            <w:vAlign w:val="bottom"/>
            <w:tcBorders>
              <w:top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55"/>
              <w:spacing w:after="0" w:line="104" w:lineRule="exact"/>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52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gridSpan w:val="2"/>
          </w:tcPr>
          <w:p>
            <w:pPr>
              <w:jc w:val="right"/>
              <w:ind w:right="80"/>
              <w:spacing w:after="0" w:line="104" w:lineRule="exact"/>
              <w:rPr>
                <w:sz w:val="20"/>
                <w:szCs w:val="20"/>
                <w:color w:val="auto"/>
              </w:rPr>
            </w:pPr>
            <w:r>
              <w:rPr>
                <w:rFonts w:ascii="Times New Roman" w:cs="Times New Roman" w:eastAsia="Times New Roman" w:hAnsi="Times New Roman"/>
                <w:sz w:val="11"/>
                <w:szCs w:val="11"/>
                <w:b w:val="1"/>
                <w:bCs w:val="1"/>
                <w:color w:val="auto"/>
              </w:rPr>
              <w:t>(unaudited)</w:t>
            </w: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jc w:val="center"/>
              <w:spacing w:after="0" w:line="104" w:lineRule="exact"/>
              <w:rPr>
                <w:sz w:val="20"/>
                <w:szCs w:val="20"/>
                <w:color w:val="auto"/>
              </w:rPr>
            </w:pPr>
            <w:r>
              <w:rPr>
                <w:rFonts w:ascii="Times New Roman" w:cs="Times New Roman" w:eastAsia="Times New Roman" w:hAnsi="Times New Roman"/>
                <w:sz w:val="11"/>
                <w:szCs w:val="11"/>
                <w:b w:val="1"/>
                <w:bCs w:val="1"/>
                <w:color w:val="auto"/>
              </w:rPr>
              <w:t>(audited)</w:t>
            </w: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520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3"/>
                <w:szCs w:val="13"/>
                <w:color w:val="auto"/>
              </w:rPr>
              <w:t>Income Statement Data</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460" w:type="dxa"/>
            <w:vAlign w:val="bottom"/>
          </w:tcPr>
          <w:p>
            <w:pPr>
              <w:jc w:val="right"/>
              <w:ind w:right="18"/>
              <w:spacing w:after="0"/>
              <w:rPr>
                <w:sz w:val="20"/>
                <w:szCs w:val="20"/>
                <w:color w:val="auto"/>
              </w:rPr>
            </w:pPr>
            <w:r>
              <w:rPr>
                <w:rFonts w:ascii="Times New Roman" w:cs="Times New Roman" w:eastAsia="Times New Roman" w:hAnsi="Times New Roman"/>
                <w:sz w:val="14"/>
                <w:szCs w:val="14"/>
                <w:color w:val="auto"/>
                <w:w w:val="93"/>
              </w:rPr>
              <w:t>$5,027</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$5,130</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6"/>
              </w:rPr>
              <w:t>$21,193</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6"/>
              </w:rPr>
              <w:t>$20,456</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6"/>
              </w:rPr>
              <w:t>$19,093</w:t>
            </w:r>
          </w:p>
        </w:tc>
        <w:tc>
          <w:tcPr>
            <w:tcW w:w="0" w:type="dxa"/>
            <w:vAlign w:val="bottom"/>
          </w:tcPr>
          <w:p>
            <w:pPr>
              <w:spacing w:after="0"/>
              <w:rPr>
                <w:sz w:val="1"/>
                <w:szCs w:val="1"/>
                <w:color w:val="auto"/>
              </w:rPr>
            </w:pPr>
          </w:p>
        </w:tc>
      </w:tr>
      <w:tr>
        <w:trPr>
          <w:trHeight w:val="165"/>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4"/>
                <w:szCs w:val="14"/>
                <w:color w:val="auto"/>
              </w:rPr>
              <w:t>918</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1,395</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5,818</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5,879</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5,014</w:t>
            </w:r>
          </w:p>
        </w:tc>
        <w:tc>
          <w:tcPr>
            <w:tcW w:w="0" w:type="dxa"/>
            <w:vAlign w:val="bottom"/>
          </w:tcPr>
          <w:p>
            <w:pPr>
              <w:spacing w:after="0"/>
              <w:rPr>
                <w:sz w:val="1"/>
                <w:szCs w:val="1"/>
                <w:color w:val="auto"/>
              </w:rPr>
            </w:pPr>
          </w:p>
        </w:tc>
      </w:tr>
      <w:tr>
        <w:trPr>
          <w:trHeight w:val="179"/>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Fiserv, Inc.</w:t>
            </w:r>
          </w:p>
        </w:tc>
        <w:tc>
          <w:tcPr>
            <w:tcW w:w="460" w:type="dxa"/>
            <w:vAlign w:val="bottom"/>
          </w:tcPr>
          <w:p>
            <w:pPr>
              <w:jc w:val="right"/>
              <w:ind w:right="18"/>
              <w:spacing w:after="0"/>
              <w:rPr>
                <w:sz w:val="20"/>
                <w:szCs w:val="20"/>
                <w:color w:val="auto"/>
              </w:rPr>
            </w:pPr>
            <w:r>
              <w:rPr>
                <w:rFonts w:ascii="Times New Roman" w:cs="Times New Roman" w:eastAsia="Times New Roman" w:hAnsi="Times New Roman"/>
                <w:sz w:val="14"/>
                <w:szCs w:val="14"/>
                <w:color w:val="auto"/>
              </w:rPr>
              <w:t>571</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851</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3,480</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3,131</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3,068</w:t>
            </w: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1880" w:right="599" w:hanging="316"/>
        <w:spacing w:after="0" w:line="259" w:lineRule="auto"/>
        <w:tabs>
          <w:tab w:leader="none" w:pos="18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unaudited interim period financial information for the three months ended March 31, 2026 and 2025, in our opinion, includes all adjustments, which are normal and recurring in nature, necessary for a fair presentation for the periods shown. Results for the three months ended March 31, 2026 are not necessarily indicative of results to be expected for the full fiscal year.</w:t>
      </w:r>
    </w:p>
    <w:p>
      <w:pPr>
        <w:spacing w:after="0" w:line="142" w:lineRule="exact"/>
        <w:rPr>
          <w:sz w:val="20"/>
          <w:szCs w:val="20"/>
          <w:color w:val="auto"/>
        </w:rPr>
      </w:pPr>
    </w:p>
    <w:tbl>
      <w:tblPr>
        <w:tblLayout w:type="fixed"/>
        <w:tblInd w:w="1560" w:type="dxa"/>
        <w:tblCellMar>
          <w:top w:w="0" w:type="dxa"/>
          <w:left w:w="0" w:type="dxa"/>
          <w:bottom w:w="0" w:type="dxa"/>
          <w:right w:w="0" w:type="dxa"/>
        </w:tblCellMar>
      </w:tblPr>
      <w:tr>
        <w:trPr>
          <w:trHeight w:val="126"/>
        </w:trPr>
        <w:tc>
          <w:tcPr>
            <w:tcW w:w="5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w w:val="99"/>
              </w:rPr>
              <w:t>As of</w:t>
            </w:r>
          </w:p>
        </w:tc>
        <w:tc>
          <w:tcPr>
            <w:tcW w:w="138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0" w:type="dxa"/>
            <w:vAlign w:val="bottom"/>
          </w:tcPr>
          <w:p>
            <w:pPr>
              <w:spacing w:after="0"/>
              <w:rPr>
                <w:sz w:val="1"/>
                <w:szCs w:val="1"/>
                <w:color w:val="auto"/>
              </w:rPr>
            </w:pPr>
          </w:p>
        </w:tc>
      </w:tr>
      <w:tr>
        <w:trPr>
          <w:trHeight w:val="133"/>
        </w:trPr>
        <w:tc>
          <w:tcPr>
            <w:tcW w:w="5820" w:type="dxa"/>
            <w:vAlign w:val="bottom"/>
          </w:tcPr>
          <w:p>
            <w:pPr>
              <w:spacing w:after="0"/>
              <w:rPr>
                <w:sz w:val="11"/>
                <w:szCs w:val="11"/>
                <w:color w:val="auto"/>
              </w:rPr>
            </w:pPr>
          </w:p>
        </w:tc>
        <w:tc>
          <w:tcPr>
            <w:tcW w:w="960" w:type="dxa"/>
            <w:vAlign w:val="bottom"/>
            <w:gridSpan w:val="3"/>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9"/>
              </w:rPr>
              <w:t>March 31,</w:t>
            </w:r>
          </w:p>
        </w:tc>
        <w:tc>
          <w:tcPr>
            <w:tcW w:w="13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58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center"/>
              <w:ind w:right="36"/>
              <w:spacing w:after="0" w:line="104" w:lineRule="exact"/>
              <w:rPr>
                <w:sz w:val="20"/>
                <w:szCs w:val="20"/>
                <w:color w:val="auto"/>
              </w:rPr>
            </w:pPr>
            <w:r>
              <w:rPr>
                <w:rFonts w:ascii="Times New Roman" w:cs="Times New Roman" w:eastAsia="Times New Roman" w:hAnsi="Times New Roman"/>
                <w:sz w:val="11"/>
                <w:szCs w:val="11"/>
                <w:b w:val="1"/>
                <w:bCs w:val="1"/>
                <w:color w:val="auto"/>
                <w:w w:val="99"/>
              </w:rPr>
              <w:t>2026</w:t>
            </w:r>
          </w:p>
        </w:tc>
        <w:tc>
          <w:tcPr>
            <w:tcW w:w="400" w:type="dxa"/>
            <w:vAlign w:val="bottom"/>
          </w:tcPr>
          <w:p>
            <w:pPr>
              <w:spacing w:after="0"/>
              <w:rPr>
                <w:sz w:val="9"/>
                <w:szCs w:val="9"/>
                <w:color w:val="auto"/>
              </w:rPr>
            </w:pPr>
          </w:p>
        </w:tc>
        <w:tc>
          <w:tcPr>
            <w:tcW w:w="680" w:type="dxa"/>
            <w:vAlign w:val="bottom"/>
            <w:tcBorders>
              <w:top w:val="single" w:sz="8" w:color="auto"/>
              <w:bottom w:val="single" w:sz="8" w:color="auto"/>
            </w:tcBorders>
          </w:tcPr>
          <w:p>
            <w:pPr>
              <w:jc w:val="right"/>
              <w:ind w:right="257"/>
              <w:spacing w:after="0" w:line="104" w:lineRule="exact"/>
              <w:rPr>
                <w:sz w:val="20"/>
                <w:szCs w:val="20"/>
                <w:color w:val="auto"/>
              </w:rPr>
            </w:pPr>
            <w:r>
              <w:rPr>
                <w:rFonts w:ascii="Times New Roman" w:cs="Times New Roman" w:eastAsia="Times New Roman" w:hAnsi="Times New Roman"/>
                <w:sz w:val="11"/>
                <w:szCs w:val="11"/>
                <w:b w:val="1"/>
                <w:bCs w:val="1"/>
                <w:color w:val="auto"/>
              </w:rPr>
              <w:t>2025</w:t>
            </w:r>
          </w:p>
        </w:tc>
        <w:tc>
          <w:tcPr>
            <w:tcW w:w="280" w:type="dxa"/>
            <w:vAlign w:val="bottom"/>
            <w:tcBorders>
              <w:top w:val="single" w:sz="8" w:color="auto"/>
              <w:bottom w:val="single" w:sz="8" w:color="auto"/>
            </w:tcBorders>
          </w:tcPr>
          <w:p>
            <w:pPr>
              <w:spacing w:after="0"/>
              <w:rPr>
                <w:sz w:val="9"/>
                <w:szCs w:val="9"/>
                <w:color w:val="auto"/>
              </w:rPr>
            </w:pPr>
          </w:p>
        </w:tc>
        <w:tc>
          <w:tcPr>
            <w:tcW w:w="380" w:type="dxa"/>
            <w:vAlign w:val="bottom"/>
            <w:tcBorders>
              <w:top w:val="single" w:sz="8" w:color="auto"/>
              <w:bottom w:val="single" w:sz="8" w:color="auto"/>
            </w:tcBorders>
          </w:tcPr>
          <w:p>
            <w:pPr>
              <w:jc w:val="right"/>
              <w:ind w:right="54"/>
              <w:spacing w:after="0" w:line="104" w:lineRule="exact"/>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5820" w:type="dxa"/>
            <w:vAlign w:val="bottom"/>
            <w:vMerge w:val="continue"/>
          </w:tcPr>
          <w:p>
            <w:pPr>
              <w:spacing w:after="0"/>
              <w:rPr>
                <w:sz w:val="9"/>
                <w:szCs w:val="9"/>
                <w:color w:val="auto"/>
              </w:rPr>
            </w:pPr>
          </w:p>
        </w:tc>
        <w:tc>
          <w:tcPr>
            <w:tcW w:w="560" w:type="dxa"/>
            <w:vAlign w:val="bottom"/>
            <w:gridSpan w:val="2"/>
          </w:tcPr>
          <w:p>
            <w:pPr>
              <w:jc w:val="center"/>
              <w:spacing w:after="0" w:line="104" w:lineRule="exact"/>
              <w:rPr>
                <w:sz w:val="20"/>
                <w:szCs w:val="20"/>
                <w:color w:val="auto"/>
              </w:rPr>
            </w:pPr>
            <w:r>
              <w:rPr>
                <w:rFonts w:ascii="Times New Roman" w:cs="Times New Roman" w:eastAsia="Times New Roman" w:hAnsi="Times New Roman"/>
                <w:sz w:val="11"/>
                <w:szCs w:val="11"/>
                <w:b w:val="1"/>
                <w:bCs w:val="1"/>
                <w:color w:val="auto"/>
              </w:rPr>
              <w:t>(unaudited)</w:t>
            </w:r>
          </w:p>
        </w:tc>
        <w:tc>
          <w:tcPr>
            <w:tcW w:w="400" w:type="dxa"/>
            <w:vAlign w:val="bottom"/>
          </w:tcPr>
          <w:p>
            <w:pPr>
              <w:spacing w:after="0"/>
              <w:rPr>
                <w:sz w:val="9"/>
                <w:szCs w:val="9"/>
                <w:color w:val="auto"/>
              </w:rPr>
            </w:pPr>
          </w:p>
        </w:tc>
        <w:tc>
          <w:tcPr>
            <w:tcW w:w="960" w:type="dxa"/>
            <w:vAlign w:val="bottom"/>
            <w:gridSpan w:val="2"/>
          </w:tcPr>
          <w:p>
            <w:pPr>
              <w:jc w:val="center"/>
              <w:ind w:left="317"/>
              <w:spacing w:after="0" w:line="104" w:lineRule="exact"/>
              <w:rPr>
                <w:sz w:val="20"/>
                <w:szCs w:val="20"/>
                <w:color w:val="auto"/>
              </w:rPr>
            </w:pPr>
            <w:r>
              <w:rPr>
                <w:rFonts w:ascii="Times New Roman" w:cs="Times New Roman" w:eastAsia="Times New Roman" w:hAnsi="Times New Roman"/>
                <w:sz w:val="11"/>
                <w:szCs w:val="11"/>
                <w:b w:val="1"/>
                <w:bCs w:val="1"/>
                <w:color w:val="auto"/>
                <w:w w:val="98"/>
              </w:rPr>
              <w:t>(audited)</w:t>
            </w: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582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3"/>
                <w:szCs w:val="13"/>
                <w:color w:val="auto"/>
              </w:rPr>
              <w:t>Balance Sheet Data</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829</w:t>
            </w:r>
          </w:p>
        </w:tc>
        <w:tc>
          <w:tcPr>
            <w:tcW w:w="680" w:type="dxa"/>
            <w:vAlign w:val="bottom"/>
          </w:tcPr>
          <w:p>
            <w:pPr>
              <w:jc w:val="right"/>
              <w:ind w:right="157"/>
              <w:spacing w:after="0"/>
              <w:rPr>
                <w:sz w:val="20"/>
                <w:szCs w:val="20"/>
                <w:color w:val="auto"/>
              </w:rPr>
            </w:pPr>
            <w:r>
              <w:rPr>
                <w:rFonts w:ascii="Times New Roman" w:cs="Times New Roman" w:eastAsia="Times New Roman" w:hAnsi="Times New Roman"/>
                <w:sz w:val="14"/>
                <w:szCs w:val="14"/>
                <w:color w:val="auto"/>
              </w:rPr>
              <w:t>$   798</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1,236</w:t>
            </w:r>
          </w:p>
        </w:tc>
        <w:tc>
          <w:tcPr>
            <w:tcW w:w="0" w:type="dxa"/>
            <w:vAlign w:val="bottom"/>
          </w:tcPr>
          <w:p>
            <w:pPr>
              <w:spacing w:after="0"/>
              <w:rPr>
                <w:sz w:val="1"/>
                <w:szCs w:val="1"/>
                <w:color w:val="auto"/>
              </w:rPr>
            </w:pPr>
          </w:p>
        </w:tc>
      </w:tr>
      <w:tr>
        <w:trPr>
          <w:trHeight w:val="165"/>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80,548</w:t>
            </w:r>
          </w:p>
        </w:tc>
        <w:tc>
          <w:tcPr>
            <w:tcW w:w="68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4"/>
                <w:szCs w:val="14"/>
                <w:color w:val="auto"/>
              </w:rPr>
              <w:t>80,133</w:t>
            </w:r>
          </w:p>
        </w:tc>
        <w:tc>
          <w:tcPr>
            <w:tcW w:w="2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3"/>
              </w:rPr>
              <w:t>77,176</w:t>
            </w:r>
          </w:p>
        </w:tc>
        <w:tc>
          <w:tcPr>
            <w:tcW w:w="0" w:type="dxa"/>
            <w:vAlign w:val="bottom"/>
          </w:tcPr>
          <w:p>
            <w:pPr>
              <w:spacing w:after="0"/>
              <w:rPr>
                <w:sz w:val="1"/>
                <w:szCs w:val="1"/>
                <w:color w:val="auto"/>
              </w:rPr>
            </w:pPr>
          </w:p>
        </w:tc>
      </w:tr>
      <w:tr>
        <w:trPr>
          <w:trHeight w:val="165"/>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Total debt</w:t>
            </w:r>
          </w:p>
        </w:tc>
        <w:tc>
          <w:tcPr>
            <w:tcW w:w="12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29,182</w:t>
            </w:r>
          </w:p>
        </w:tc>
        <w:tc>
          <w:tcPr>
            <w:tcW w:w="680" w:type="dxa"/>
            <w:vAlign w:val="bottom"/>
          </w:tcPr>
          <w:p>
            <w:pPr>
              <w:jc w:val="right"/>
              <w:ind w:right="157"/>
              <w:spacing w:after="0"/>
              <w:rPr>
                <w:sz w:val="20"/>
                <w:szCs w:val="20"/>
                <w:color w:val="auto"/>
              </w:rPr>
            </w:pPr>
            <w:r>
              <w:rPr>
                <w:rFonts w:ascii="Times New Roman" w:cs="Times New Roman" w:eastAsia="Times New Roman" w:hAnsi="Times New Roman"/>
                <w:sz w:val="14"/>
                <w:szCs w:val="14"/>
                <w:color w:val="auto"/>
              </w:rPr>
              <w:t>28,997</w:t>
            </w:r>
          </w:p>
        </w:tc>
        <w:tc>
          <w:tcPr>
            <w:tcW w:w="280" w:type="dxa"/>
            <w:vAlign w:val="bottom"/>
          </w:tcPr>
          <w:p>
            <w:pPr>
              <w:spacing w:after="0"/>
              <w:rPr>
                <w:sz w:val="14"/>
                <w:szCs w:val="14"/>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3"/>
              </w:rPr>
              <w:t>24,840</w:t>
            </w:r>
          </w:p>
        </w:tc>
        <w:tc>
          <w:tcPr>
            <w:tcW w:w="0" w:type="dxa"/>
            <w:vAlign w:val="bottom"/>
          </w:tcPr>
          <w:p>
            <w:pPr>
              <w:spacing w:after="0"/>
              <w:rPr>
                <w:sz w:val="1"/>
                <w:szCs w:val="1"/>
                <w:color w:val="auto"/>
              </w:rPr>
            </w:pPr>
          </w:p>
        </w:tc>
      </w:tr>
      <w:tr>
        <w:trPr>
          <w:trHeight w:val="165"/>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Fiserv, Inc. shareholder’s equity</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26,201</w:t>
            </w:r>
          </w:p>
        </w:tc>
        <w:tc>
          <w:tcPr>
            <w:tcW w:w="68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4"/>
                <w:szCs w:val="14"/>
                <w:color w:val="auto"/>
              </w:rPr>
              <w:t>25,792</w:t>
            </w:r>
          </w:p>
        </w:tc>
        <w:tc>
          <w:tcPr>
            <w:tcW w:w="2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3"/>
              </w:rPr>
              <w:t>27,068</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1880" w:right="659" w:hanging="316"/>
        <w:spacing w:after="0" w:line="259" w:lineRule="auto"/>
        <w:tabs>
          <w:tab w:leader="none" w:pos="18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unaudited interim period financial information as of March 31, 2026, in our opinion, includes all adjustments, which are normal and recurring in nature, necessary for a fair presentation for the period shown. Amounts as of March 31, 2026 are not necessarily indicative of amounts to be expected at the end of the fiscal year.</w:t>
      </w: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S-7</w:t>
      </w:r>
    </w:p>
    <w:p>
      <w:pPr>
        <w:sectPr>
          <w:pgSz w:w="11900" w:h="16838" w:orient="portrait"/>
          <w:cols w:equalWidth="0" w:num="1">
            <w:col w:w="10159"/>
          </w:cols>
          <w:pgMar w:left="300" w:top="381"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0" w:lineRule="exact"/>
        <w:rPr>
          <w:sz w:val="20"/>
          <w:szCs w:val="20"/>
          <w:color w:val="auto"/>
        </w:rPr>
      </w:pPr>
    </w:p>
    <w:p>
      <w:pPr>
        <w:ind w:left="1420" w:right="439" w:firstLine="337"/>
        <w:spacing w:after="0" w:line="254" w:lineRule="auto"/>
        <w:rPr>
          <w:sz w:val="20"/>
          <w:szCs w:val="20"/>
          <w:color w:val="auto"/>
        </w:rPr>
      </w:pPr>
      <w:r>
        <w:rPr>
          <w:rFonts w:ascii="Times New Roman" w:cs="Times New Roman" w:eastAsia="Times New Roman" w:hAnsi="Times New Roman"/>
          <w:sz w:val="14"/>
          <w:szCs w:val="14"/>
          <w:i w:val="1"/>
          <w:iCs w:val="1"/>
          <w:color w:val="auto"/>
        </w:rPr>
        <w:t>Investing in the notes involves risks. Before you invest in the notes, you should carefully consider the factors set forth below and the information included elsewhere in this prospectus supplement, the accompanying prospectus and the risk factors discussed in our most recent Annual Report on Form 10-K and the other documents we file with the SEC that are incorporated by reference herein and therein. See “Where You Can Find More Information” in this prospectus supplement and the accompanying prospectus. We also urge you to consider carefully the factors set forth under the heading “Forward-Looking Statements” in this prospectus supplement.</w:t>
      </w:r>
    </w:p>
    <w:p>
      <w:pPr>
        <w:spacing w:after="0" w:line="22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Risks Related to Fiserv’s Business</w:t>
      </w:r>
    </w:p>
    <w:p>
      <w:pPr>
        <w:spacing w:after="0" w:line="91" w:lineRule="exact"/>
        <w:rPr>
          <w:sz w:val="20"/>
          <w:szCs w:val="20"/>
          <w:color w:val="auto"/>
        </w:rPr>
      </w:pPr>
    </w:p>
    <w:p>
      <w:pPr>
        <w:ind w:left="1420" w:right="359" w:firstLine="337"/>
        <w:spacing w:after="0" w:line="273" w:lineRule="auto"/>
        <w:rPr>
          <w:sz w:val="20"/>
          <w:szCs w:val="20"/>
          <w:color w:val="auto"/>
        </w:rPr>
      </w:pPr>
      <w:r>
        <w:rPr>
          <w:rFonts w:ascii="Times New Roman" w:cs="Times New Roman" w:eastAsia="Times New Roman" w:hAnsi="Times New Roman"/>
          <w:sz w:val="14"/>
          <w:szCs w:val="14"/>
          <w:color w:val="auto"/>
        </w:rPr>
        <w:t>See “Risk Factors” in our Annual Report on Form 10-K for the year ended December 31, 2025, for a discussion of certain risks related to Fiserv’s business. See “Where You Can Find More Information.”</w:t>
      </w:r>
    </w:p>
    <w:p>
      <w:pPr>
        <w:spacing w:after="0" w:line="20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Risks Related to the Notes</w:t>
      </w:r>
    </w:p>
    <w:p>
      <w:pPr>
        <w:spacing w:after="0" w:line="8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Our financial and operating performance and other factors could adversely impact our ability to make payments on the notes.</w:t>
      </w:r>
    </w:p>
    <w:p>
      <w:pPr>
        <w:spacing w:after="0" w:line="91" w:lineRule="exact"/>
        <w:rPr>
          <w:sz w:val="20"/>
          <w:szCs w:val="20"/>
          <w:color w:val="auto"/>
        </w:rPr>
      </w:pPr>
    </w:p>
    <w:p>
      <w:pPr>
        <w:ind w:left="1420" w:right="459" w:firstLine="337"/>
        <w:spacing w:after="0" w:line="253" w:lineRule="auto"/>
        <w:rPr>
          <w:sz w:val="20"/>
          <w:szCs w:val="20"/>
          <w:color w:val="auto"/>
        </w:rPr>
      </w:pPr>
      <w:r>
        <w:rPr>
          <w:rFonts w:ascii="Times New Roman" w:cs="Times New Roman" w:eastAsia="Times New Roman" w:hAnsi="Times New Roman"/>
          <w:sz w:val="14"/>
          <w:szCs w:val="14"/>
          <w:color w:val="auto"/>
        </w:rPr>
        <w:t>Our ability to make scheduled payments with respect to our indebtedness, including the notes, will depend on our financial and operating performance, which, in turn, are subject to prevailing economic conditions and to financial, business and other factors beyond our control. Please read this prospectus supplement and the accompanying prospectus and the documents incorporated by reference into this prospectus supplement and the accompanying prospectus, including the portions of our most recent Annual Report on Form 10-K entitled “Risk Factors” for a discussion of some of the factors that could affect our financial and operating performance.</w:t>
      </w:r>
    </w:p>
    <w:p>
      <w:pPr>
        <w:spacing w:after="0" w:line="22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An increase in market rates could result in a decrease in the value of the notes.</w:t>
      </w:r>
    </w:p>
    <w:p>
      <w:pPr>
        <w:spacing w:after="0" w:line="91" w:lineRule="exact"/>
        <w:rPr>
          <w:sz w:val="20"/>
          <w:szCs w:val="20"/>
          <w:color w:val="auto"/>
        </w:rPr>
      </w:pPr>
    </w:p>
    <w:p>
      <w:pPr>
        <w:ind w:left="1420" w:right="379" w:firstLine="337"/>
        <w:spacing w:after="0" w:line="281" w:lineRule="auto"/>
        <w:rPr>
          <w:sz w:val="20"/>
          <w:szCs w:val="20"/>
          <w:color w:val="auto"/>
        </w:rPr>
      </w:pPr>
      <w:r>
        <w:rPr>
          <w:rFonts w:ascii="Times New Roman" w:cs="Times New Roman" w:eastAsia="Times New Roman" w:hAnsi="Times New Roman"/>
          <w:sz w:val="13"/>
          <w:szCs w:val="13"/>
          <w:color w:val="auto"/>
        </w:rPr>
        <w:t>In general, as market interest rates rise, notes bearing interest at a fixed rate generally decline in value. Consequently, if you purchase the notes and market interest rates increase, the market value of your notes may decline. The rates for benchmark securities for U.S. dollar and euro denominated securities have risen significantly in recent years. These increases have caused prices for outstanding debt securities issued when benchmark rates were lower to decline. We cannot predict the future level of market interest rates or the impact of such interest rates on the market prices of the notes.</w:t>
      </w:r>
    </w:p>
    <w:p>
      <w:pPr>
        <w:spacing w:after="0" w:line="20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There may be no public trading market for the notes.</w:t>
      </w:r>
    </w:p>
    <w:p>
      <w:pPr>
        <w:spacing w:after="0" w:line="91" w:lineRule="exact"/>
        <w:rPr>
          <w:sz w:val="20"/>
          <w:szCs w:val="20"/>
          <w:color w:val="auto"/>
        </w:rPr>
      </w:pPr>
    </w:p>
    <w:p>
      <w:pPr>
        <w:ind w:left="1420" w:right="339" w:firstLine="337"/>
        <w:spacing w:after="0" w:line="250" w:lineRule="auto"/>
        <w:rPr>
          <w:sz w:val="20"/>
          <w:szCs w:val="20"/>
          <w:color w:val="auto"/>
        </w:rPr>
      </w:pPr>
      <w:r>
        <w:rPr>
          <w:rFonts w:ascii="Times New Roman" w:cs="Times New Roman" w:eastAsia="Times New Roman" w:hAnsi="Times New Roman"/>
          <w:sz w:val="14"/>
          <w:szCs w:val="14"/>
          <w:color w:val="auto"/>
        </w:rPr>
        <w:t>The notes are new issues of securities for which there is currently no established trading market. A market for the notes may not develop or, if one does develop, it may not be maintained. If a market develops, the notes could trade at prices that may be higher or lower than the initial offering prices or the prices at which you purchased the notes, depending on many factors, including prevailing interest rates, our financial performance, the amount of indebtedness we have outstanding, the market for similar securities, the redemption and repayment features of the notes and the time remaining to maturity of the notes. Although we intend to apply for listing the notes for trading on the NASDAQ, no assurance can be given as to the liquidity of, or trading markets for, the notes. The listing application will be subject to approval by NASDAQ. If such listing is obtained, we have no obligation to maintain such listing for the notes and we may delist the notes, or list the notes on one or more other national securities exchanges, at any time. If an active market for the notes fails to develop or be sustained, the trading prices and liquidity of the notes could be adversely affected.</w:t>
      </w:r>
    </w:p>
    <w:p>
      <w:pPr>
        <w:spacing w:after="0" w:line="22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Recent volatility in the debt markets could adversely affect the market value of the notes.</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market value for the notes depends on many factors, including:</w:t>
      </w:r>
    </w:p>
    <w:p>
      <w:pPr>
        <w:spacing w:after="0" w:line="98" w:lineRule="exact"/>
        <w:rPr>
          <w:sz w:val="20"/>
          <w:szCs w:val="20"/>
          <w:color w:val="auto"/>
        </w:rPr>
      </w:pPr>
    </w:p>
    <w:p>
      <w:pPr>
        <w:ind w:left="2160" w:hanging="322"/>
        <w:spacing w:after="0"/>
        <w:tabs>
          <w:tab w:leader="none" w:pos="21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credit ratings with major credit rating agencies;</w:t>
      </w:r>
    </w:p>
    <w:p>
      <w:pPr>
        <w:spacing w:after="0" w:line="11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S-8</w:t>
      </w:r>
    </w:p>
    <w:p>
      <w:pPr>
        <w:sectPr>
          <w:pgSz w:w="11900" w:h="16838" w:orient="portrait"/>
          <w:cols w:equalWidth="0" w:num="1">
            <w:col w:w="10159"/>
          </w:cols>
          <w:pgMar w:left="300" w:top="381"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hanging="322"/>
        <w:spacing w:after="0"/>
        <w:tabs>
          <w:tab w:leader="none" w:pos="21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prevailing interest rates being paid by, or the market price for the notes issued by, other companies similar to us;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condition, financial performance and future prospects; and</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overall condition of the financial markets.</w:t>
      </w:r>
    </w:p>
    <w:p>
      <w:pPr>
        <w:spacing w:after="0" w:line="170" w:lineRule="exact"/>
        <w:rPr>
          <w:sz w:val="20"/>
          <w:szCs w:val="20"/>
          <w:color w:val="auto"/>
        </w:rPr>
      </w:pPr>
    </w:p>
    <w:p>
      <w:pPr>
        <w:ind w:left="1420" w:right="379" w:firstLine="337"/>
        <w:spacing w:after="0" w:line="259" w:lineRule="auto"/>
        <w:rPr>
          <w:sz w:val="20"/>
          <w:szCs w:val="20"/>
          <w:color w:val="auto"/>
        </w:rPr>
      </w:pPr>
      <w:r>
        <w:rPr>
          <w:rFonts w:ascii="Times New Roman" w:cs="Times New Roman" w:eastAsia="Times New Roman" w:hAnsi="Times New Roman"/>
          <w:sz w:val="14"/>
          <w:szCs w:val="14"/>
          <w:color w:val="auto"/>
        </w:rPr>
        <w:t>Disruptions in the financial markets and changes in prevailing interest rates, such as the volatility that has characterized recent market conditions, could have an adverse effect on the market value of the notes. In addition, as a result of such volatility, certain of our existing debt securities have recently traded at levels below par.</w:t>
      </w:r>
    </w:p>
    <w:p>
      <w:pPr>
        <w:spacing w:after="0" w:line="14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We may not be able to repurchase all of the notes upon a change of control triggering event, which would result in a default under the notes.</w:t>
      </w:r>
    </w:p>
    <w:p>
      <w:pPr>
        <w:spacing w:after="0" w:line="170" w:lineRule="exact"/>
        <w:rPr>
          <w:sz w:val="20"/>
          <w:szCs w:val="20"/>
          <w:color w:val="auto"/>
        </w:rPr>
      </w:pPr>
    </w:p>
    <w:p>
      <w:pPr>
        <w:ind w:left="1420" w:right="319" w:firstLine="337"/>
        <w:spacing w:after="0" w:line="253" w:lineRule="auto"/>
        <w:rPr>
          <w:sz w:val="20"/>
          <w:szCs w:val="20"/>
          <w:color w:val="auto"/>
        </w:rPr>
      </w:pPr>
      <w:r>
        <w:rPr>
          <w:rFonts w:ascii="Times New Roman" w:cs="Times New Roman" w:eastAsia="Times New Roman" w:hAnsi="Times New Roman"/>
          <w:sz w:val="14"/>
          <w:szCs w:val="14"/>
          <w:color w:val="auto"/>
        </w:rPr>
        <w:t>Upon the occurrence of a change of control triggering event under the indenture governing the notes, we will be required to offer to repurchase the notes at a price of 101% of the aggregate principal amount of the notes outstanding on the date of such change of control triggering event plus accrued and unpaid interest. However, we may not have sufficient funds to repurchase the notes. In addition, our ability to repurchase the notes may be limited by law or the terms of other agreements relating to our indebtedness. The failure to make such repurchase would result in a default under the notes. For more information, see “Description of the Notes—Purchase of Notes upon a Change of Control Triggering Event.”</w:t>
      </w:r>
    </w:p>
    <w:p>
      <w:pPr>
        <w:spacing w:after="0" w:line="223" w:lineRule="exact"/>
        <w:rPr>
          <w:sz w:val="20"/>
          <w:szCs w:val="20"/>
          <w:color w:val="auto"/>
        </w:rPr>
      </w:pPr>
    </w:p>
    <w:p>
      <w:pPr>
        <w:ind w:left="1420" w:right="599"/>
        <w:spacing w:after="0" w:line="279" w:lineRule="auto"/>
        <w:rPr>
          <w:sz w:val="20"/>
          <w:szCs w:val="20"/>
          <w:color w:val="auto"/>
        </w:rPr>
      </w:pPr>
      <w:r>
        <w:rPr>
          <w:rFonts w:ascii="Times New Roman" w:cs="Times New Roman" w:eastAsia="Times New Roman" w:hAnsi="Times New Roman"/>
          <w:sz w:val="14"/>
          <w:szCs w:val="14"/>
          <w:b w:val="1"/>
          <w:bCs w:val="1"/>
          <w:i w:val="1"/>
          <w:iCs w:val="1"/>
          <w:color w:val="auto"/>
        </w:rPr>
        <w:t>The limited covenants in the indenture governing the notes and the terms of the notes do not provide protection against some types of important corporate events and may not protect your investment.</w:t>
      </w:r>
    </w:p>
    <w:p>
      <w:pPr>
        <w:spacing w:after="0" w:line="4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indenture governing the notes does not:</w:t>
      </w:r>
    </w:p>
    <w:p>
      <w:pPr>
        <w:spacing w:after="0" w:line="98" w:lineRule="exact"/>
        <w:rPr>
          <w:sz w:val="20"/>
          <w:szCs w:val="20"/>
          <w:color w:val="auto"/>
        </w:rPr>
      </w:pPr>
    </w:p>
    <w:p>
      <w:pPr>
        <w:ind w:left="2160" w:right="459" w:hanging="322"/>
        <w:spacing w:after="0" w:line="259" w:lineRule="auto"/>
        <w:tabs>
          <w:tab w:leader="none" w:pos="21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to maintain any financial ratios or specific levels of net worth, revenues, income, cash flow or liquidity and, accordingly, does not protect holders of the notes in the event that we experience significant adverse changes in our financial condition or results of operations;</w:t>
      </w:r>
    </w:p>
    <w:p>
      <w:pPr>
        <w:spacing w:after="0" w:line="68"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ability to incur indebtedness that is equal in right of payment to the notes;</w:t>
      </w:r>
    </w:p>
    <w:p>
      <w:pPr>
        <w:spacing w:after="0" w:line="97" w:lineRule="exact"/>
        <w:rPr>
          <w:rFonts w:ascii="Times New Roman" w:cs="Times New Roman" w:eastAsia="Times New Roman" w:hAnsi="Times New Roman"/>
          <w:sz w:val="14"/>
          <w:szCs w:val="14"/>
          <w:color w:val="auto"/>
        </w:rPr>
      </w:pPr>
    </w:p>
    <w:p>
      <w:pPr>
        <w:ind w:left="2160" w:right="739" w:hanging="322"/>
        <w:spacing w:after="0" w:line="273" w:lineRule="auto"/>
        <w:tabs>
          <w:tab w:leader="none" w:pos="21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 our subsidiaries’ ability to issue securities or otherwise incur indebtedness that would be senior to our equity interests in our subsidiaries;</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 our ability to repurchase or prepay our securities; or</w:t>
      </w:r>
    </w:p>
    <w:p>
      <w:pPr>
        <w:spacing w:after="0" w:line="97" w:lineRule="exact"/>
        <w:rPr>
          <w:rFonts w:ascii="Times New Roman" w:cs="Times New Roman" w:eastAsia="Times New Roman" w:hAnsi="Times New Roman"/>
          <w:sz w:val="14"/>
          <w:szCs w:val="14"/>
          <w:color w:val="auto"/>
        </w:rPr>
      </w:pPr>
    </w:p>
    <w:p>
      <w:pPr>
        <w:ind w:left="2160" w:right="559" w:hanging="322"/>
        <w:spacing w:after="0" w:line="273" w:lineRule="auto"/>
        <w:tabs>
          <w:tab w:leader="none" w:pos="21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 our or our subsidiaries’ ability to make investments or to repurchase or pay dividends or make other payments in respect of our common stock or other securities ranking junior to the notes.</w:t>
      </w:r>
    </w:p>
    <w:p>
      <w:pPr>
        <w:spacing w:after="0" w:line="130" w:lineRule="exact"/>
        <w:rPr>
          <w:sz w:val="20"/>
          <w:szCs w:val="20"/>
          <w:color w:val="auto"/>
        </w:rPr>
      </w:pPr>
    </w:p>
    <w:p>
      <w:pPr>
        <w:ind w:left="1420" w:right="299" w:firstLine="337"/>
        <w:spacing w:after="0" w:line="251" w:lineRule="auto"/>
        <w:rPr>
          <w:sz w:val="20"/>
          <w:szCs w:val="20"/>
          <w:color w:val="auto"/>
        </w:rPr>
      </w:pPr>
      <w:r>
        <w:rPr>
          <w:rFonts w:ascii="Times New Roman" w:cs="Times New Roman" w:eastAsia="Times New Roman" w:hAnsi="Times New Roman"/>
          <w:sz w:val="14"/>
          <w:szCs w:val="14"/>
          <w:color w:val="auto"/>
        </w:rPr>
        <w:t>Furthermore, the indenture governing the notes contains only limited protections in the event of a change in control. We and our subsidiaries could engage in many types of transactions, such as certain acquisitions, refinancings or recapitalizations that would not constitute a change of control triggering event that would enable you to require us to repurchase the notes as described under “Description of the Notes—Purchase of Notes upon a Change of Control Triggering Event,” but which could nevertheless substantially affect our capital structure and the value of the notes. The indenture also permits us and our subsidiaries to incur additional indebtedness, including secured indebtedness, that could effectively rank senior to the notes, subject to certain limits, and to engage in sale-leaseback arrangements. For these reasons, the terms of the indenture governing the notes will provide only limited protection against significant corporate events that could adversely impact your investment in the notes.</w:t>
      </w:r>
    </w:p>
    <w:p>
      <w:pPr>
        <w:spacing w:after="0" w:line="224" w:lineRule="exact"/>
        <w:rPr>
          <w:sz w:val="20"/>
          <w:szCs w:val="20"/>
          <w:color w:val="auto"/>
        </w:rPr>
      </w:pPr>
    </w:p>
    <w:p>
      <w:pPr>
        <w:ind w:left="1420" w:right="379"/>
        <w:spacing w:after="0" w:line="279" w:lineRule="auto"/>
        <w:rPr>
          <w:sz w:val="20"/>
          <w:szCs w:val="20"/>
          <w:color w:val="auto"/>
        </w:rPr>
      </w:pPr>
      <w:r>
        <w:rPr>
          <w:rFonts w:ascii="Times New Roman" w:cs="Times New Roman" w:eastAsia="Times New Roman" w:hAnsi="Times New Roman"/>
          <w:sz w:val="14"/>
          <w:szCs w:val="14"/>
          <w:b w:val="1"/>
          <w:bCs w:val="1"/>
          <w:i w:val="1"/>
          <w:iCs w:val="1"/>
          <w:color w:val="auto"/>
        </w:rPr>
        <w:t>Substantially all of our operations are conducted through our subsidiaries, and if they do not make sufficient distributions to us, we will not be able to make payments on our debt, including the notes.</w:t>
      </w:r>
    </w:p>
    <w:p>
      <w:pPr>
        <w:spacing w:after="0" w:line="43" w:lineRule="exact"/>
        <w:rPr>
          <w:sz w:val="20"/>
          <w:szCs w:val="20"/>
          <w:color w:val="auto"/>
        </w:rPr>
      </w:pPr>
    </w:p>
    <w:p>
      <w:pPr>
        <w:ind w:left="1420" w:right="499" w:firstLine="337"/>
        <w:spacing w:after="0" w:line="273" w:lineRule="auto"/>
        <w:rPr>
          <w:sz w:val="20"/>
          <w:szCs w:val="20"/>
          <w:color w:val="auto"/>
        </w:rPr>
      </w:pPr>
      <w:r>
        <w:rPr>
          <w:rFonts w:ascii="Times New Roman" w:cs="Times New Roman" w:eastAsia="Times New Roman" w:hAnsi="Times New Roman"/>
          <w:sz w:val="14"/>
          <w:szCs w:val="14"/>
          <w:color w:val="auto"/>
        </w:rPr>
        <w:t>Substantially all of our operations are conducted through our subsidiaries. Therefore, our ability to meet our obligations for payment of interest and principal on outstanding debt obligations and to pay corporate expenses</w:t>
      </w:r>
    </w:p>
    <w:p>
      <w:pPr>
        <w:spacing w:after="0" w:line="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S-9</w:t>
      </w:r>
    </w:p>
    <w:p>
      <w:pPr>
        <w:sectPr>
          <w:pgSz w:w="11900" w:h="16838" w:orient="portrait"/>
          <w:cols w:equalWidth="0" w:num="1">
            <w:col w:w="10159"/>
          </w:cols>
          <w:pgMar w:left="300" w:top="381"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339"/>
        <w:spacing w:after="0" w:line="255" w:lineRule="auto"/>
        <w:rPr>
          <w:sz w:val="20"/>
          <w:szCs w:val="20"/>
          <w:color w:val="auto"/>
        </w:rPr>
      </w:pPr>
      <w:r>
        <w:rPr>
          <w:rFonts w:ascii="Times New Roman" w:cs="Times New Roman" w:eastAsia="Times New Roman" w:hAnsi="Times New Roman"/>
          <w:sz w:val="14"/>
          <w:szCs w:val="14"/>
          <w:color w:val="auto"/>
        </w:rPr>
        <w:t>depends upon the earnings and cash flows of our subsidiaries and the ability of our subsidiaries to pay dividends or to advance or repay funds to us. Our subsidiaries are separate and distinct legal entities and have no obligation, contingent or otherwise, to pay any amounts due pursuant to the notes or to make any funds available, whether by dividends, loans, distributions or other payments, and do not guarantee the payment of interest on, or principal of, the notes.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Neither we nor any of our subsidiaries has any property that has been determined to be a principal property under the indenture.</w:t>
      </w:r>
    </w:p>
    <w:p>
      <w:pPr>
        <w:spacing w:after="0" w:line="91" w:lineRule="exact"/>
        <w:rPr>
          <w:sz w:val="20"/>
          <w:szCs w:val="20"/>
          <w:color w:val="auto"/>
        </w:rPr>
      </w:pPr>
    </w:p>
    <w:p>
      <w:pPr>
        <w:ind w:left="1420" w:right="359" w:firstLine="337"/>
        <w:spacing w:after="0" w:line="255" w:lineRule="auto"/>
        <w:rPr>
          <w:sz w:val="20"/>
          <w:szCs w:val="20"/>
          <w:color w:val="auto"/>
        </w:rPr>
      </w:pPr>
      <w:r>
        <w:rPr>
          <w:rFonts w:ascii="Times New Roman" w:cs="Times New Roman" w:eastAsia="Times New Roman" w:hAnsi="Times New Roman"/>
          <w:sz w:val="14"/>
          <w:szCs w:val="14"/>
          <w:color w:val="auto"/>
        </w:rPr>
        <w:t>The indenture governing the notes will include a covenant that will, among other things, limit our and certain of our subsidiaries’ ability to create or assume, except in our favor or in favor of one or more of our wholly owned subsidiaries, any mortgage, pledge, lien or encumbrance on any of our or any such subsidiaries’ principal properties or certain other limited assets. However, as of the date of this prospectus supplement, neither we nor any of our subsidiaries has any property that constitutes a principal property under the indenture.</w:t>
      </w:r>
    </w:p>
    <w:p>
      <w:pPr>
        <w:spacing w:after="0" w:line="222" w:lineRule="exact"/>
        <w:rPr>
          <w:sz w:val="20"/>
          <w:szCs w:val="20"/>
          <w:color w:val="auto"/>
        </w:rPr>
      </w:pPr>
    </w:p>
    <w:p>
      <w:pPr>
        <w:ind w:left="1420" w:right="379"/>
        <w:spacing w:after="0" w:line="279" w:lineRule="auto"/>
        <w:rPr>
          <w:sz w:val="20"/>
          <w:szCs w:val="20"/>
          <w:color w:val="auto"/>
        </w:rPr>
      </w:pPr>
      <w:r>
        <w:rPr>
          <w:rFonts w:ascii="Times New Roman" w:cs="Times New Roman" w:eastAsia="Times New Roman" w:hAnsi="Times New Roman"/>
          <w:sz w:val="14"/>
          <w:szCs w:val="14"/>
          <w:b w:val="1"/>
          <w:bCs w:val="1"/>
          <w:i w:val="1"/>
          <w:iCs w:val="1"/>
          <w:color w:val="auto"/>
        </w:rPr>
        <w:t>The notes will be effectively subordinated to all of our existing and future secured debt and structurally subordinated to the existing and future debt of our subsidiaries.</w:t>
      </w:r>
    </w:p>
    <w:p>
      <w:pPr>
        <w:spacing w:after="0" w:line="43" w:lineRule="exact"/>
        <w:rPr>
          <w:sz w:val="20"/>
          <w:szCs w:val="20"/>
          <w:color w:val="auto"/>
        </w:rPr>
      </w:pPr>
    </w:p>
    <w:p>
      <w:pPr>
        <w:ind w:left="1420" w:right="319" w:firstLine="337"/>
        <w:spacing w:after="0" w:line="251" w:lineRule="auto"/>
        <w:rPr>
          <w:sz w:val="20"/>
          <w:szCs w:val="20"/>
          <w:color w:val="auto"/>
        </w:rPr>
      </w:pPr>
      <w:r>
        <w:rPr>
          <w:rFonts w:ascii="Times New Roman" w:cs="Times New Roman" w:eastAsia="Times New Roman" w:hAnsi="Times New Roman"/>
          <w:sz w:val="14"/>
          <w:szCs w:val="14"/>
          <w:color w:val="auto"/>
        </w:rPr>
        <w:t>The notes constitute our senior unsecured debt and rank equally in right of payment with all of our other existing and future senior debt, except as described below. The notes will be effectively subordinated to all our existing and future secured debt to the extent of the value of the collateral securing such debt. The notes are not secured by any of our assets. Claims of secured lenders with respect to assets securing their loans will be prior to any claim of the holders of the notes with respect to those assets. As of March 31, 2026, Fiserv, Inc. had outstanding approximately $23.6 billion of unsecured senior indebtedness, approximately $718 million of secured indebtedness (consisting primarily of financing leases outstanding) and approximately $60 million of financed software.</w:t>
      </w:r>
    </w:p>
    <w:p>
      <w:pPr>
        <w:spacing w:after="0" w:line="148" w:lineRule="exact"/>
        <w:rPr>
          <w:sz w:val="20"/>
          <w:szCs w:val="20"/>
          <w:color w:val="auto"/>
        </w:rPr>
      </w:pPr>
    </w:p>
    <w:p>
      <w:pPr>
        <w:ind w:left="1420" w:right="299" w:firstLine="337"/>
        <w:spacing w:after="0" w:line="253" w:lineRule="auto"/>
        <w:rPr>
          <w:sz w:val="20"/>
          <w:szCs w:val="20"/>
          <w:color w:val="auto"/>
        </w:rPr>
      </w:pPr>
      <w:r>
        <w:rPr>
          <w:rFonts w:ascii="Times New Roman" w:cs="Times New Roman" w:eastAsia="Times New Roman" w:hAnsi="Times New Roman"/>
          <w:sz w:val="14"/>
          <w:szCs w:val="14"/>
          <w:color w:val="auto"/>
        </w:rPr>
        <w:t>In addition, the notes will be structurally subordinated in right of payment to all existing and future debt and other liabilities (including trade accounts payable) and preferred equity of our subsidiaries. Our right to receive any assets of any of our subsidiaries upon their bankruptcy, liquidation or reorganization, and therefore the right of the holders of the notes to participate in those assets, will be effectively subordinated to the claims of that subsidiary’s creditors, including trade creditors. As of March 31, 2026, Fiserv, Inc.’s subsidiaries had approximately $4.8 billion of indebtedness to third parties and had issued no preferred equity.</w:t>
      </w:r>
    </w:p>
    <w:p>
      <w:pPr>
        <w:spacing w:after="0" w:line="22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The credit ratings assigned to the notes may not reflect all risks of an investment in the notes.</w:t>
      </w:r>
    </w:p>
    <w:p>
      <w:pPr>
        <w:spacing w:after="0" w:line="91" w:lineRule="exact"/>
        <w:rPr>
          <w:sz w:val="20"/>
          <w:szCs w:val="20"/>
          <w:color w:val="auto"/>
        </w:rPr>
      </w:pPr>
    </w:p>
    <w:p>
      <w:pPr>
        <w:ind w:left="1420" w:right="319" w:firstLine="337"/>
        <w:spacing w:after="0" w:line="250" w:lineRule="auto"/>
        <w:rPr>
          <w:sz w:val="20"/>
          <w:szCs w:val="20"/>
          <w:color w:val="auto"/>
        </w:rPr>
      </w:pPr>
      <w:r>
        <w:rPr>
          <w:rFonts w:ascii="Times New Roman" w:cs="Times New Roman" w:eastAsia="Times New Roman" w:hAnsi="Times New Roman"/>
          <w:sz w:val="14"/>
          <w:szCs w:val="14"/>
          <w:color w:val="auto"/>
        </w:rPr>
        <w:t>We expect that the notes will be rated by at least two nationally recognized statistical rating organizations. These 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can be no assurance that such credit ratings will remain in effect for any given period of time or that a rating will not be lowered, suspended or withdrawn entirely by the applicable rating agencies if, in such rating agency’s judgment, circumstances so warrant. Agency credit ratings are not a recommendation to buy, sell or hold any security. Each agency’s rating should be evaluated independently of any other agency’s rating. Actual or anticipated changes or downgrades in our credit ratings, including any announcement that our ratings are under further review for a downgrade, could affect the market value of the notes and increase our corporate borrowing costs.</w:t>
      </w:r>
    </w:p>
    <w:p>
      <w:pPr>
        <w:spacing w:after="0" w:line="22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We may choose to redeem the notes of any series prior to maturity.</w:t>
      </w:r>
    </w:p>
    <w:p>
      <w:pPr>
        <w:spacing w:after="0" w:line="91" w:lineRule="exact"/>
        <w:rPr>
          <w:sz w:val="20"/>
          <w:szCs w:val="20"/>
          <w:color w:val="auto"/>
        </w:rPr>
      </w:pPr>
    </w:p>
    <w:p>
      <w:pPr>
        <w:ind w:left="1420" w:right="559" w:firstLine="337"/>
        <w:spacing w:after="0" w:line="259" w:lineRule="auto"/>
        <w:rPr>
          <w:sz w:val="20"/>
          <w:szCs w:val="20"/>
          <w:color w:val="auto"/>
        </w:rPr>
      </w:pPr>
      <w:r>
        <w:rPr>
          <w:rFonts w:ascii="Times New Roman" w:cs="Times New Roman" w:eastAsia="Times New Roman" w:hAnsi="Times New Roman"/>
          <w:sz w:val="14"/>
          <w:szCs w:val="14"/>
          <w:color w:val="auto"/>
        </w:rPr>
        <w:t>We may redeem the notes of any series, in whole or in part, at any time. See “Description of the Notes— Optional Redemption.” We may also redeem the notes of any series, in whole but not in part, if certain tax events occur. See “Description of the Notes—Optional Tax Redemption.” Although, in certain circumstances, the notes</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S-10</w:t>
      </w:r>
    </w:p>
    <w:p>
      <w:pPr>
        <w:sectPr>
          <w:pgSz w:w="11900" w:h="16838" w:orient="portrait"/>
          <w:cols w:equalWidth="0" w:num="1">
            <w:col w:w="10159"/>
          </w:cols>
          <w:pgMar w:left="300" w:top="381"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419"/>
        <w:spacing w:after="0" w:line="255" w:lineRule="auto"/>
        <w:rPr>
          <w:sz w:val="20"/>
          <w:szCs w:val="20"/>
          <w:color w:val="auto"/>
        </w:rPr>
      </w:pPr>
      <w:r>
        <w:rPr>
          <w:rFonts w:ascii="Times New Roman" w:cs="Times New Roman" w:eastAsia="Times New Roman" w:hAnsi="Times New Roman"/>
          <w:sz w:val="14"/>
          <w:szCs w:val="14"/>
          <w:color w:val="auto"/>
        </w:rPr>
        <w:t>contain provisions designed to compensate you for the lost value of your notes if we redeem some or all of the notes prior to maturity, they are only an approximation of this lost value and may not adequately compensate you. Furthermore, depending on prevailing interest rates at the time of any such redemption, you may not be able to reinvest the redemption proceeds in a comparable security at an interest rate as high as the interest rate of the notes being redeemed or at an interest rate that would otherwise compensate you for any lost value as a result of any redemption of notes.</w:t>
      </w:r>
    </w:p>
    <w:p>
      <w:pPr>
        <w:spacing w:after="0" w:line="22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An investment in the notes by a holder whose home currency is not the euro entails significant risks.</w:t>
      </w:r>
    </w:p>
    <w:p>
      <w:pPr>
        <w:spacing w:after="0" w:line="91" w:lineRule="exact"/>
        <w:rPr>
          <w:sz w:val="20"/>
          <w:szCs w:val="20"/>
          <w:color w:val="auto"/>
        </w:rPr>
      </w:pPr>
    </w:p>
    <w:p>
      <w:pPr>
        <w:ind w:left="1420" w:right="339" w:firstLine="337"/>
        <w:spacing w:after="0" w:line="269" w:lineRule="auto"/>
        <w:rPr>
          <w:sz w:val="20"/>
          <w:szCs w:val="20"/>
          <w:color w:val="auto"/>
        </w:rPr>
      </w:pPr>
      <w:r>
        <w:rPr>
          <w:rFonts w:ascii="Times New Roman" w:cs="Times New Roman" w:eastAsia="Times New Roman" w:hAnsi="Times New Roman"/>
          <w:sz w:val="13"/>
          <w:szCs w:val="13"/>
          <w:color w:val="auto"/>
        </w:rPr>
        <w:t>All payments of principal, premium, if any, and interest in respect of the notes, including in connection with redemptions and repurchases, will be paid in euro, subject to certain limited exceptions. We, the underwriters, the trustee and the paying agent with respect to the notes will not be obligated to convert, or to assist any beneficial owner of the notes in converting, payments of principal, premium, if any, and interest made in euro with respect to the notes into U.S. dollars or any other currency. An investment in the notes by a beneficial owner whose home currency is not the euro entails significant risks. These risks include the possibility of significant changes in rates of exchange between the beneficial owner’s home currency and the euro, the possibility of the imposition or subsequent modification of foreign exchange controls and tax consequences as a result of any foreign exchange gains due to an investment in the notes. These risks generally depend on factors over which we have no control, such as economic, financial and political events and the supply of and demand for the relevant currencies. In the past, rates of exchange between the euro and other currencies have been highly volatile, and each beneficial owner should be aware that volatility may occur in the future. Fluctuations in any particular rate of exchange that have occurred in the past, however, are not necessarily indicative of fluctuations in the rate that may occur during the term of the notes. Depreciation of the euro against the beneficial owner’s home currency would result in a decrease in the effective yield of the notes below the coupon rate and, in certain circumstances, could result in a loss to the beneficial owner. If you are a beneficial owner of notes subject to U.S. federal income tax, see “Certain U.S. Federal Income Tax Considerations” for certain U.S. federal income tax consequences related to the notes being denominated in euro.</w:t>
      </w:r>
    </w:p>
    <w:p>
      <w:pPr>
        <w:spacing w:after="0" w:line="2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The notes permit us to make payments in U.S. dollars if we are unable to obtain euro.</w:t>
      </w:r>
    </w:p>
    <w:p>
      <w:pPr>
        <w:spacing w:after="0" w:line="91" w:lineRule="exact"/>
        <w:rPr>
          <w:sz w:val="20"/>
          <w:szCs w:val="20"/>
          <w:color w:val="auto"/>
        </w:rPr>
      </w:pPr>
    </w:p>
    <w:p>
      <w:pPr>
        <w:jc w:val="both"/>
        <w:ind w:left="1420" w:right="439" w:firstLine="337"/>
        <w:spacing w:after="0" w:line="255" w:lineRule="auto"/>
        <w:rPr>
          <w:sz w:val="20"/>
          <w:szCs w:val="20"/>
          <w:color w:val="auto"/>
        </w:rPr>
      </w:pPr>
      <w:r>
        <w:rPr>
          <w:rFonts w:ascii="Times New Roman" w:cs="Times New Roman" w:eastAsia="Times New Roman" w:hAnsi="Times New Roman"/>
          <w:sz w:val="14"/>
          <w:szCs w:val="14"/>
          <w:color w:val="auto"/>
        </w:rPr>
        <w:t>If euro is unavailable to us due to the imposition of exchange controls or other circumstances beyond our control, or if euro is no longer used by the member states of the European Union that have adopted the euro as their currency or for the settlement of transactions by public institutions of or within the international banking community, then all payments in respect of the notes will be made in U.S. dollars until euro is again available to us or so used.</w:t>
      </w:r>
    </w:p>
    <w:p>
      <w:pPr>
        <w:spacing w:after="0" w:line="143" w:lineRule="exact"/>
        <w:rPr>
          <w:sz w:val="20"/>
          <w:szCs w:val="20"/>
          <w:color w:val="auto"/>
        </w:rPr>
      </w:pPr>
    </w:p>
    <w:p>
      <w:pPr>
        <w:ind w:left="1420" w:right="339" w:firstLine="337"/>
        <w:spacing w:after="0" w:line="253" w:lineRule="auto"/>
        <w:rPr>
          <w:sz w:val="20"/>
          <w:szCs w:val="20"/>
          <w:color w:val="auto"/>
        </w:rPr>
      </w:pPr>
      <w:r>
        <w:rPr>
          <w:rFonts w:ascii="Times New Roman" w:cs="Times New Roman" w:eastAsia="Times New Roman" w:hAnsi="Times New Roman"/>
          <w:sz w:val="14"/>
          <w:szCs w:val="14"/>
          <w:color w:val="auto"/>
        </w:rPr>
        <w:t>The amount payable on any date in euro will be converted into U.S. dollars at the market exchange rate (as defined below) as of the close of business on the second business day prior to the relevant payment date or, if such market exchange rate is not then available, on the basis of the then most recent U.S. dollar/euro exchange rate available on or prior to the second business day prior to the relevant payment date as determined by us in our sole discretion. Neither the trustee nor the paying agent will be responsible for obtaining exchange rates, effecting currency conversions or otherwise handling redenominations.</w:t>
      </w:r>
    </w:p>
    <w:p>
      <w:pPr>
        <w:spacing w:after="0" w:line="144" w:lineRule="exact"/>
        <w:rPr>
          <w:sz w:val="20"/>
          <w:szCs w:val="20"/>
          <w:color w:val="auto"/>
        </w:rPr>
      </w:pPr>
    </w:p>
    <w:p>
      <w:pPr>
        <w:ind w:left="1420" w:right="819" w:firstLine="337"/>
        <w:spacing w:after="0" w:line="273" w:lineRule="auto"/>
        <w:rPr>
          <w:sz w:val="20"/>
          <w:szCs w:val="20"/>
          <w:color w:val="auto"/>
        </w:rPr>
      </w:pPr>
      <w:r>
        <w:rPr>
          <w:rFonts w:ascii="Times New Roman" w:cs="Times New Roman" w:eastAsia="Times New Roman" w:hAnsi="Times New Roman"/>
          <w:sz w:val="14"/>
          <w:szCs w:val="14"/>
          <w:color w:val="auto"/>
        </w:rPr>
        <w:t>The term “market exchange rate” means the noon buying rate in The City of New York for cable transfers of euro as certified for customs purposes (or, if not so certified, as otherwise determined) by the Federal Reserve Bank of New York.</w:t>
      </w:r>
    </w:p>
    <w:p>
      <w:pPr>
        <w:spacing w:after="0" w:line="130" w:lineRule="exact"/>
        <w:rPr>
          <w:sz w:val="20"/>
          <w:szCs w:val="20"/>
          <w:color w:val="auto"/>
        </w:rPr>
      </w:pPr>
    </w:p>
    <w:p>
      <w:pPr>
        <w:jc w:val="both"/>
        <w:ind w:left="1420" w:right="559" w:firstLine="337"/>
        <w:spacing w:after="0" w:line="259" w:lineRule="auto"/>
        <w:rPr>
          <w:sz w:val="20"/>
          <w:szCs w:val="20"/>
          <w:color w:val="auto"/>
        </w:rPr>
      </w:pPr>
      <w:r>
        <w:rPr>
          <w:rFonts w:ascii="Times New Roman" w:cs="Times New Roman" w:eastAsia="Times New Roman" w:hAnsi="Times New Roman"/>
          <w:sz w:val="14"/>
          <w:szCs w:val="14"/>
          <w:color w:val="auto"/>
        </w:rPr>
        <w:t>See “Description of the Notes—Issuance in Euro.” Any payment in respect of the notes so made in U.S. dollars will not constitute an event of default under the indenture governing the notes. If your home currency is not U.S. dollars, any such payment will expose you to the significant risks described above under “—An investment in the notes by a beneficial owner whose home currency is not the euro entails significant risks.”</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10159"/>
          </w:cols>
          <w:pgMar w:left="300" w:top="381"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In a lawsuit for payment on the notes, the beneficial owners of the notes may bear currency exchange risk.</w:t>
      </w:r>
    </w:p>
    <w:p>
      <w:pPr>
        <w:spacing w:after="0" w:line="91" w:lineRule="exact"/>
        <w:rPr>
          <w:sz w:val="20"/>
          <w:szCs w:val="20"/>
          <w:color w:val="auto"/>
        </w:rPr>
      </w:pPr>
    </w:p>
    <w:p>
      <w:pPr>
        <w:ind w:left="1420" w:right="359" w:firstLine="337"/>
        <w:spacing w:after="0" w:line="251" w:lineRule="auto"/>
        <w:rPr>
          <w:sz w:val="20"/>
          <w:szCs w:val="20"/>
          <w:color w:val="auto"/>
        </w:rPr>
      </w:pPr>
      <w:r>
        <w:rPr>
          <w:rFonts w:ascii="Times New Roman" w:cs="Times New Roman" w:eastAsia="Times New Roman" w:hAnsi="Times New Roman"/>
          <w:sz w:val="14"/>
          <w:szCs w:val="14"/>
          <w:color w:val="auto"/>
        </w:rPr>
        <w:t>The indenture is, and the notes will be, governed by the laws of the State of New York. A New York state statute presently in effect, but subject to amendment, would require a New York state court hearing such a lawsuit to render its decision or award in euro. The judgment entered on that award however, will be denominated in U.S. dollars, and converted at the exchange rate prevailing on the date of entry of the judgment. Consequently, in a lawsuit for payment on the notes, the beneficial owners of such notes would bear currency exchange risk until a New York state court judgment is entered, which could be a long time. A Federal court sitting in New York with diversity jurisdiction over a dispute arising in connection with the notes would apply the foregoing New York law.</w:t>
      </w:r>
    </w:p>
    <w:p>
      <w:pPr>
        <w:spacing w:after="0" w:line="148" w:lineRule="exact"/>
        <w:rPr>
          <w:sz w:val="20"/>
          <w:szCs w:val="20"/>
          <w:color w:val="auto"/>
        </w:rPr>
      </w:pPr>
    </w:p>
    <w:p>
      <w:pPr>
        <w:ind w:left="1420" w:right="399" w:firstLine="337"/>
        <w:spacing w:after="0" w:line="255" w:lineRule="auto"/>
        <w:rPr>
          <w:sz w:val="20"/>
          <w:szCs w:val="20"/>
          <w:color w:val="auto"/>
        </w:rPr>
      </w:pPr>
      <w:r>
        <w:rPr>
          <w:rFonts w:ascii="Times New Roman" w:cs="Times New Roman" w:eastAsia="Times New Roman" w:hAnsi="Times New Roman"/>
          <w:sz w:val="14"/>
          <w:szCs w:val="14"/>
          <w:color w:val="auto"/>
        </w:rPr>
        <w:t>In courts outside of New York, investors may not be able to obtain a judgment in a currency other than U.S. dollars. For example, a judgment for money in an action based on the notes in many other U.S. federal or state courts ordinarily would be enforced in the United States only in U.S. dollars. The date used to determine the rate of conversion of euro into U.S. dollars would depend upon various factors, including which court renders the judgment and when the judgment is rendered.</w:t>
      </w:r>
    </w:p>
    <w:p>
      <w:pPr>
        <w:spacing w:after="0" w:line="222" w:lineRule="exact"/>
        <w:rPr>
          <w:sz w:val="20"/>
          <w:szCs w:val="20"/>
          <w:color w:val="auto"/>
        </w:rPr>
      </w:pPr>
    </w:p>
    <w:p>
      <w:pPr>
        <w:ind w:left="1420" w:right="459"/>
        <w:spacing w:after="0" w:line="279" w:lineRule="auto"/>
        <w:rPr>
          <w:sz w:val="20"/>
          <w:szCs w:val="20"/>
          <w:color w:val="auto"/>
        </w:rPr>
      </w:pPr>
      <w:r>
        <w:rPr>
          <w:rFonts w:ascii="Times New Roman" w:cs="Times New Roman" w:eastAsia="Times New Roman" w:hAnsi="Times New Roman"/>
          <w:sz w:val="14"/>
          <w:szCs w:val="14"/>
          <w:b w:val="1"/>
          <w:bCs w:val="1"/>
          <w:i w:val="1"/>
          <w:iCs w:val="1"/>
          <w:color w:val="auto"/>
        </w:rPr>
        <w:t>The global notes will be held by or on behalf of Euroclear and Clearstream and, therefore, beneficial owners of the notes will have to rely on their procedures for payments, transfers and communication with us.</w:t>
      </w:r>
    </w:p>
    <w:p>
      <w:pPr>
        <w:spacing w:after="0" w:line="43" w:lineRule="exact"/>
        <w:rPr>
          <w:sz w:val="20"/>
          <w:szCs w:val="20"/>
          <w:color w:val="auto"/>
        </w:rPr>
      </w:pPr>
    </w:p>
    <w:p>
      <w:pPr>
        <w:ind w:left="1420" w:right="459" w:firstLine="337"/>
        <w:spacing w:after="0" w:line="255" w:lineRule="auto"/>
        <w:rPr>
          <w:sz w:val="20"/>
          <w:szCs w:val="20"/>
          <w:color w:val="auto"/>
        </w:rPr>
      </w:pPr>
      <w:r>
        <w:rPr>
          <w:rFonts w:ascii="Times New Roman" w:cs="Times New Roman" w:eastAsia="Times New Roman" w:hAnsi="Times New Roman"/>
          <w:sz w:val="14"/>
          <w:szCs w:val="14"/>
          <w:color w:val="auto"/>
        </w:rPr>
        <w:t>The notes will be represented by the global notes, which will be held by a common depositary for Euroclear and Clearstream. Except in certain limited circumstances as described in “Description of the Notes—Book-Entry,” beneficial owners of the notes will not be entitled to receive definitive notes in exchange for interests in the global notes. While the notes are represented by the global notes, beneficial owners of the notes will be able to trade their beneficial interests only through Euroclear and Clearstream.</w:t>
      </w:r>
    </w:p>
    <w:p>
      <w:pPr>
        <w:spacing w:after="0" w:line="143" w:lineRule="exact"/>
        <w:rPr>
          <w:sz w:val="20"/>
          <w:szCs w:val="20"/>
          <w:color w:val="auto"/>
        </w:rPr>
      </w:pPr>
    </w:p>
    <w:p>
      <w:pPr>
        <w:ind w:left="1420" w:right="539" w:firstLine="337"/>
        <w:spacing w:after="0" w:line="255" w:lineRule="auto"/>
        <w:rPr>
          <w:sz w:val="20"/>
          <w:szCs w:val="20"/>
          <w:color w:val="auto"/>
        </w:rPr>
      </w:pPr>
      <w:r>
        <w:rPr>
          <w:rFonts w:ascii="Times New Roman" w:cs="Times New Roman" w:eastAsia="Times New Roman" w:hAnsi="Times New Roman"/>
          <w:sz w:val="14"/>
          <w:szCs w:val="14"/>
          <w:color w:val="auto"/>
        </w:rPr>
        <w:t>We will discharge our payment obligations under the notes by making payments to or to the order of the common depositary for Euroclear and Clearstream for distribution to their accountholders. The owner of a beneficial interest in a global note must rely on the procedures of Euroclear and Clearstream to receive payments under the notes. We have no responsibility or liability for the records relating to, or payments made in respect of, beneficial interests in the global notes.</w:t>
      </w:r>
    </w:p>
    <w:p>
      <w:pPr>
        <w:spacing w:after="0" w:line="143" w:lineRule="exact"/>
        <w:rPr>
          <w:sz w:val="20"/>
          <w:szCs w:val="20"/>
          <w:color w:val="auto"/>
        </w:rPr>
      </w:pPr>
    </w:p>
    <w:p>
      <w:pPr>
        <w:ind w:left="1420" w:right="359" w:firstLine="337"/>
        <w:spacing w:after="0" w:line="312" w:lineRule="auto"/>
        <w:rPr>
          <w:sz w:val="20"/>
          <w:szCs w:val="20"/>
          <w:color w:val="auto"/>
        </w:rPr>
      </w:pPr>
      <w:r>
        <w:rPr>
          <w:rFonts w:ascii="Times New Roman" w:cs="Times New Roman" w:eastAsia="Times New Roman" w:hAnsi="Times New Roman"/>
          <w:sz w:val="13"/>
          <w:szCs w:val="13"/>
          <w:color w:val="auto"/>
        </w:rPr>
        <w:t>Owners of beneficial interests in the global notes will not have a direct right to vote in respect of the notes. Instead, such owners will be permitted to act directly only to the extent that they are enabled in accordance with the procedures of Euroclear and Clearstream to appoint appropriate proxies.</w:t>
      </w:r>
    </w:p>
    <w:p>
      <w:pPr>
        <w:spacing w:after="0" w:line="18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Trading in the clearing systems is subject to minimum denomination requirements.</w:t>
      </w:r>
    </w:p>
    <w:p>
      <w:pPr>
        <w:spacing w:after="0" w:line="91" w:lineRule="exact"/>
        <w:rPr>
          <w:sz w:val="20"/>
          <w:szCs w:val="20"/>
          <w:color w:val="auto"/>
        </w:rPr>
      </w:pPr>
    </w:p>
    <w:p>
      <w:pPr>
        <w:ind w:left="1420" w:right="359" w:firstLine="337"/>
        <w:spacing w:after="0" w:line="251" w:lineRule="auto"/>
        <w:rPr>
          <w:sz w:val="20"/>
          <w:szCs w:val="20"/>
          <w:color w:val="auto"/>
        </w:rPr>
      </w:pPr>
      <w:r>
        <w:rPr>
          <w:rFonts w:ascii="Times New Roman" w:cs="Times New Roman" w:eastAsia="Times New Roman" w:hAnsi="Times New Roman"/>
          <w:sz w:val="14"/>
          <w:szCs w:val="14"/>
          <w:color w:val="auto"/>
        </w:rPr>
        <w:t>The notes will be issued only in minimum denominations of €100,000 and integral multiples of €1,000 in excess thereof. It is possible that the clearing systems may process trades that could result in amounts being held in denominations smaller than the minimum denominations. If definitive notes are required to be issued in relation to such euro notes in accordance with the provisions of the relevant global notes, a beneficial owner who does not have the minimum denomination or any integral multiple of €1,000 in excess thereof in its account with the relevant clearing system at the relevant time may not receive all of its entitlement in the form of definitive notes unless and until such time as its holding satisfies the minimum denomination requirement.</w:t>
      </w:r>
    </w:p>
    <w:p>
      <w:pPr>
        <w:spacing w:after="0" w:line="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10159"/>
          </w:cols>
          <w:pgMar w:left="300" w:top="381"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ISSUANCE IN EURO</w:t>
      </w:r>
    </w:p>
    <w:p>
      <w:pPr>
        <w:spacing w:after="0" w:line="174" w:lineRule="exact"/>
        <w:rPr>
          <w:sz w:val="20"/>
          <w:szCs w:val="20"/>
          <w:color w:val="auto"/>
        </w:rPr>
      </w:pPr>
    </w:p>
    <w:p>
      <w:pPr>
        <w:ind w:left="1420" w:right="319" w:firstLine="337"/>
        <w:spacing w:after="0" w:line="253" w:lineRule="auto"/>
        <w:rPr>
          <w:sz w:val="20"/>
          <w:szCs w:val="20"/>
          <w:color w:val="auto"/>
        </w:rPr>
      </w:pPr>
      <w:r>
        <w:rPr>
          <w:rFonts w:ascii="Times New Roman" w:cs="Times New Roman" w:eastAsia="Times New Roman" w:hAnsi="Times New Roman"/>
          <w:sz w:val="14"/>
          <w:szCs w:val="14"/>
          <w:color w:val="auto"/>
        </w:rPr>
        <w:t>Principal, premium, if any, and interest payments on the notes, including any payments made upon any redemption or repurchase of the notes, will be payable in euro. If euro is unavailable to us due to the imposition of exchange controls or other circumstances beyond our control, or if the euro is no longer used by the member states of the European Union that have adopted the euro as their currency or for the settlement of transactions by public institutions of or within the international banking community, then all payments in respect of the notes will be made in U.S. dollars until the euro is again available to us or so used.</w:t>
      </w:r>
    </w:p>
    <w:p>
      <w:pPr>
        <w:spacing w:after="0" w:line="144" w:lineRule="exact"/>
        <w:rPr>
          <w:sz w:val="20"/>
          <w:szCs w:val="20"/>
          <w:color w:val="auto"/>
        </w:rPr>
      </w:pPr>
    </w:p>
    <w:p>
      <w:pPr>
        <w:ind w:left="1420" w:right="419" w:firstLine="337"/>
        <w:spacing w:after="0" w:line="253" w:lineRule="auto"/>
        <w:rPr>
          <w:sz w:val="20"/>
          <w:szCs w:val="20"/>
          <w:color w:val="auto"/>
        </w:rPr>
      </w:pPr>
      <w:r>
        <w:rPr>
          <w:rFonts w:ascii="Times New Roman" w:cs="Times New Roman" w:eastAsia="Times New Roman" w:hAnsi="Times New Roman"/>
          <w:sz w:val="14"/>
          <w:szCs w:val="14"/>
          <w:color w:val="auto"/>
        </w:rPr>
        <w:t>The amount payable on any date in euro will be converted into U.S. dollars at the market exchange rate as of the close of business on the second business day prior to the relevant payment date or, if such market exchange rate is not then available, on the basis of the then most recent U.S. dollar/euro exchange rate available on or prior to the second business day prior to the relevant payment date as determined by us in our sole discretion. Neither the trustee nor the paying agent will be responsible for obtaining exchange rates, effecting currency conversions or otherwise handling redenominations.</w:t>
      </w:r>
    </w:p>
    <w:p>
      <w:pPr>
        <w:spacing w:after="0" w:line="144" w:lineRule="exact"/>
        <w:rPr>
          <w:sz w:val="20"/>
          <w:szCs w:val="20"/>
          <w:color w:val="auto"/>
        </w:rPr>
      </w:pPr>
    </w:p>
    <w:p>
      <w:pPr>
        <w:ind w:left="1420" w:right="579" w:firstLine="337"/>
        <w:spacing w:after="0" w:line="273" w:lineRule="auto"/>
        <w:rPr>
          <w:sz w:val="20"/>
          <w:szCs w:val="20"/>
          <w:color w:val="auto"/>
        </w:rPr>
      </w:pPr>
      <w:r>
        <w:rPr>
          <w:rFonts w:ascii="Times New Roman" w:cs="Times New Roman" w:eastAsia="Times New Roman" w:hAnsi="Times New Roman"/>
          <w:sz w:val="14"/>
          <w:szCs w:val="14"/>
          <w:color w:val="auto"/>
        </w:rPr>
        <w:t>See “Description of the Notes—Issuance in Euro.” Any payment in respect of the notes so made in U.S. dollars will not constitute an event of default under the indenture governing the notes.</w:t>
      </w:r>
    </w:p>
    <w:p>
      <w:pPr>
        <w:spacing w:after="0" w:line="130" w:lineRule="exact"/>
        <w:rPr>
          <w:sz w:val="20"/>
          <w:szCs w:val="20"/>
          <w:color w:val="auto"/>
        </w:rPr>
      </w:pPr>
    </w:p>
    <w:p>
      <w:pPr>
        <w:ind w:left="1420" w:right="359" w:firstLine="337"/>
        <w:spacing w:after="0" w:line="259" w:lineRule="auto"/>
        <w:rPr>
          <w:sz w:val="20"/>
          <w:szCs w:val="20"/>
          <w:color w:val="auto"/>
        </w:rPr>
      </w:pPr>
      <w:r>
        <w:rPr>
          <w:rFonts w:ascii="Times New Roman" w:cs="Times New Roman" w:eastAsia="Times New Roman" w:hAnsi="Times New Roman"/>
          <w:sz w:val="14"/>
          <w:szCs w:val="14"/>
          <w:color w:val="auto"/>
        </w:rPr>
        <w:t>Investors will be subject to foreign exchange risks as to payments of principal of, and premium, if any, and interest on, the notes that may have important economic and tax consequences to them. See the “Risk Factors” section of this prospectus supplement You should consult your own financial and legal advisors as to the risks involved in an investment in the notes.</w:t>
      </w:r>
    </w:p>
    <w:p>
      <w:pPr>
        <w:spacing w:after="0" w:line="141"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4"/>
          <w:szCs w:val="14"/>
          <w:color w:val="auto"/>
        </w:rPr>
        <w:t>On June 15, 2026, the euro/USD exchange rate was €1.00 /U.S. $1.1599, as reported by Bloomberg L.P. as of 12:00 p.m. New York City time.</w:t>
      </w:r>
    </w:p>
    <w:p>
      <w:pPr>
        <w:spacing w:after="0" w:line="1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10159"/>
          </w:cols>
          <w:pgMar w:left="300" w:top="381"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4" w:lineRule="exact"/>
        <w:rPr>
          <w:sz w:val="20"/>
          <w:szCs w:val="20"/>
          <w:color w:val="auto"/>
        </w:rPr>
      </w:pPr>
    </w:p>
    <w:p>
      <w:pPr>
        <w:ind w:left="1420" w:right="319" w:firstLine="337"/>
        <w:spacing w:after="0" w:line="253" w:lineRule="auto"/>
        <w:rPr>
          <w:sz w:val="20"/>
          <w:szCs w:val="20"/>
          <w:color w:val="auto"/>
        </w:rPr>
      </w:pPr>
      <w:r>
        <w:rPr>
          <w:rFonts w:ascii="Times New Roman" w:cs="Times New Roman" w:eastAsia="Times New Roman" w:hAnsi="Times New Roman"/>
          <w:sz w:val="14"/>
          <w:szCs w:val="14"/>
          <w:color w:val="auto"/>
        </w:rPr>
        <w:t>We estimate that we will receive net proceeds from this offering of approximately €991.0 million, after deducting the underwriting discounts and estimated offering expenses payable by us. We intend to use the net proceeds from this offering, together with proceeds from the sale of commercial paper and cash from operations, to purchase any and all of our $750.0 million aggregate principal amount of 5.150% Senior Notes and any and all of our $2.0 billion aggregate principal amount of 4.400% Senior Notes, including any premium and accrued and unpaid interest on the tendered notes, pursuant to the tender offer described above under “Summary—Recent Developments.”</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The offering and sale of each series of notes is not conditioned on the sale of any other series of notes.</w:t>
      </w:r>
    </w:p>
    <w:p>
      <w:pPr>
        <w:spacing w:after="0" w:line="170" w:lineRule="exact"/>
        <w:rPr>
          <w:sz w:val="20"/>
          <w:szCs w:val="20"/>
          <w:color w:val="auto"/>
        </w:rPr>
      </w:pPr>
    </w:p>
    <w:p>
      <w:pPr>
        <w:ind w:left="1420" w:right="319" w:firstLine="337"/>
        <w:spacing w:after="0" w:line="251" w:lineRule="auto"/>
        <w:rPr>
          <w:sz w:val="20"/>
          <w:szCs w:val="20"/>
          <w:color w:val="auto"/>
        </w:rPr>
      </w:pPr>
      <w:r>
        <w:rPr>
          <w:rFonts w:ascii="Times New Roman" w:cs="Times New Roman" w:eastAsia="Times New Roman" w:hAnsi="Times New Roman"/>
          <w:sz w:val="14"/>
          <w:szCs w:val="14"/>
          <w:color w:val="auto"/>
        </w:rPr>
        <w:t>To the extent that net proceeds from this offering are applied to repurchase our 5.150% Senior Notes or our 4.400% Senior Notes held by any of the underwriters and/or their respective affiliates, they will receive proceeds of this offering through such repurchase. If 5% or more of the net proceeds of this offering (not including the underwriting discounts) are used to repurchase our 5.150% Senior Notes or our 4.400% Senior Notes held by the underwriters and/or their respective affiliates, this offering will be conducted in accordance with Rule 5121 of the FINRA Conduct Rules. In such event, the underwriters will not confirm sales of the notes to accounts over which they exercise discretionary authority without the prior written approval of the customer. See “Underwriting (Conflicts of Interest)—Conflicts of Interest” in this prospectus supplement.</w:t>
      </w:r>
    </w:p>
    <w:p>
      <w:pPr>
        <w:spacing w:after="0" w:line="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10159"/>
          </w:cols>
          <w:pgMar w:left="300" w:top="381"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CAPITALIZATION</w:t>
      </w:r>
    </w:p>
    <w:p>
      <w:pPr>
        <w:spacing w:after="0" w:line="17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The following table sets forth our capitalization as of March 31, 2026:</w:t>
      </w:r>
    </w:p>
    <w:p>
      <w:pPr>
        <w:spacing w:after="0" w:line="98" w:lineRule="exact"/>
        <w:rPr>
          <w:sz w:val="20"/>
          <w:szCs w:val="20"/>
          <w:color w:val="auto"/>
        </w:rPr>
      </w:pPr>
    </w:p>
    <w:p>
      <w:pPr>
        <w:ind w:left="2160" w:hanging="322"/>
        <w:spacing w:after="0"/>
        <w:tabs>
          <w:tab w:leader="none" w:pos="21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 actual basis; and</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 as adjusted basis to give effect to this offering (but not the application of the proceeds therefrom).</w:t>
      </w:r>
    </w:p>
    <w:p>
      <w:pPr>
        <w:spacing w:after="0" w:line="170" w:lineRule="exact"/>
        <w:rPr>
          <w:sz w:val="20"/>
          <w:szCs w:val="20"/>
          <w:color w:val="auto"/>
        </w:rPr>
      </w:pPr>
    </w:p>
    <w:p>
      <w:pPr>
        <w:ind w:left="1420" w:right="359" w:firstLine="337"/>
        <w:spacing w:after="0" w:line="289" w:lineRule="auto"/>
        <w:rPr>
          <w:sz w:val="20"/>
          <w:szCs w:val="20"/>
          <w:color w:val="auto"/>
        </w:rPr>
      </w:pPr>
      <w:r>
        <w:rPr>
          <w:rFonts w:ascii="Times New Roman" w:cs="Times New Roman" w:eastAsia="Times New Roman" w:hAnsi="Times New Roman"/>
          <w:sz w:val="13"/>
          <w:szCs w:val="13"/>
          <w:color w:val="auto"/>
        </w:rPr>
        <w:t>You should read the table together with our consolidated financial statements and the notes thereto and “Management’s Discussion and Analysis of Financial Condition and Results of Operations” in our Annual Report on Form 10-K for the year ended December 31, 2025 and our Quarterly Report on Form 10-Q for the quarter ended March 31, 2026, each incorporated by reference into this prospectus supplement and the accompanying prospectus.</w:t>
      </w:r>
    </w:p>
    <w:p>
      <w:pPr>
        <w:spacing w:after="0" w:line="136" w:lineRule="exact"/>
        <w:rPr>
          <w:sz w:val="20"/>
          <w:szCs w:val="20"/>
          <w:color w:val="auto"/>
        </w:rPr>
      </w:pPr>
    </w:p>
    <w:tbl>
      <w:tblPr>
        <w:tblLayout w:type="fixed"/>
        <w:tblInd w:w="1420" w:type="dxa"/>
        <w:tblCellMar>
          <w:top w:w="0" w:type="dxa"/>
          <w:left w:w="0" w:type="dxa"/>
          <w:bottom w:w="0" w:type="dxa"/>
          <w:right w:w="0" w:type="dxa"/>
        </w:tblCellMar>
      </w:tblPr>
      <w:tr>
        <w:trPr>
          <w:trHeight w:val="133"/>
        </w:trPr>
        <w:tc>
          <w:tcPr>
            <w:tcW w:w="37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120" w:type="dxa"/>
            <w:vAlign w:val="bottom"/>
          </w:tcPr>
          <w:p>
            <w:pPr>
              <w:spacing w:after="0"/>
              <w:rPr>
                <w:sz w:val="11"/>
                <w:szCs w:val="11"/>
                <w:color w:val="auto"/>
              </w:rPr>
            </w:pPr>
          </w:p>
        </w:tc>
        <w:tc>
          <w:tcPr>
            <w:tcW w:w="60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960" w:type="dxa"/>
            <w:vAlign w:val="bottom"/>
            <w:gridSpan w:val="4"/>
          </w:tcPr>
          <w:p>
            <w:pPr>
              <w:ind w:left="180"/>
              <w:spacing w:after="0"/>
              <w:rPr>
                <w:sz w:val="20"/>
                <w:szCs w:val="20"/>
                <w:color w:val="auto"/>
              </w:rPr>
            </w:pPr>
            <w:r>
              <w:rPr>
                <w:rFonts w:ascii="Times New Roman" w:cs="Times New Roman" w:eastAsia="Times New Roman" w:hAnsi="Times New Roman"/>
                <w:sz w:val="11"/>
                <w:szCs w:val="11"/>
                <w:b w:val="1"/>
                <w:bCs w:val="1"/>
                <w:color w:val="auto"/>
              </w:rPr>
              <w:t xml:space="preserve">As Adjusted </w:t>
            </w:r>
            <w:r>
              <w:rPr>
                <w:rFonts w:ascii="Times New Roman" w:cs="Times New Roman" w:eastAsia="Times New Roman" w:hAnsi="Times New Roman"/>
                <w:sz w:val="8"/>
                <w:szCs w:val="8"/>
                <w:b w:val="1"/>
                <w:bCs w:val="1"/>
                <w:color w:val="auto"/>
              </w:rPr>
              <w:t>(1)</w:t>
            </w:r>
          </w:p>
        </w:tc>
      </w:tr>
      <w:tr>
        <w:trPr>
          <w:trHeight w:val="145"/>
        </w:trPr>
        <w:tc>
          <w:tcPr>
            <w:tcW w:w="376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Short-term and current maturities of long-term debt:</w:t>
            </w:r>
          </w:p>
        </w:tc>
        <w:tc>
          <w:tcPr>
            <w:tcW w:w="3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165"/>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Foreign lines of credit</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220" w:type="dxa"/>
            <w:vAlign w:val="bottom"/>
          </w:tcPr>
          <w:p>
            <w:pPr>
              <w:spacing w:after="0"/>
              <w:rPr>
                <w:sz w:val="14"/>
                <w:szCs w:val="14"/>
                <w:color w:val="auto"/>
              </w:rPr>
            </w:pP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80" w:type="dxa"/>
            <w:vAlign w:val="bottom"/>
          </w:tcPr>
          <w:p>
            <w:pPr>
              <w:spacing w:after="0"/>
              <w:rPr>
                <w:sz w:val="14"/>
                <w:szCs w:val="14"/>
                <w:color w:val="auto"/>
              </w:rPr>
            </w:pPr>
          </w:p>
        </w:tc>
      </w:tr>
      <w:tr>
        <w:trPr>
          <w:trHeight w:val="165"/>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and other financing obligations</w:t>
            </w:r>
          </w:p>
        </w:tc>
        <w:tc>
          <w:tcPr>
            <w:tcW w:w="31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80" w:type="dxa"/>
            <w:vAlign w:val="bottom"/>
            <w:shd w:val="clear" w:color="auto" w:fill="CCEEFF"/>
          </w:tcPr>
          <w:p>
            <w:pPr>
              <w:spacing w:after="0"/>
              <w:rPr>
                <w:sz w:val="14"/>
                <w:szCs w:val="14"/>
                <w:color w:val="auto"/>
              </w:rPr>
            </w:pPr>
          </w:p>
        </w:tc>
      </w:tr>
      <w:tr>
        <w:trPr>
          <w:trHeight w:val="166"/>
        </w:trPr>
        <w:tc>
          <w:tcPr>
            <w:tcW w:w="37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short-term and current maturities of long-term debt</w:t>
            </w:r>
          </w:p>
        </w:tc>
        <w:tc>
          <w:tcPr>
            <w:tcW w:w="312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1,323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80" w:type="dxa"/>
            <w:vAlign w:val="bottom"/>
          </w:tcPr>
          <w:p>
            <w:pPr>
              <w:spacing w:after="0"/>
              <w:rPr>
                <w:sz w:val="14"/>
                <w:szCs w:val="14"/>
                <w:color w:val="auto"/>
              </w:rPr>
            </w:pPr>
          </w:p>
        </w:tc>
      </w:tr>
      <w:tr>
        <w:trPr>
          <w:trHeight w:val="20"/>
        </w:trPr>
        <w:tc>
          <w:tcPr>
            <w:tcW w:w="37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7"/>
        </w:trPr>
        <w:tc>
          <w:tcPr>
            <w:tcW w:w="37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Long-term debt:</w:t>
            </w:r>
          </w:p>
        </w:tc>
        <w:tc>
          <w:tcPr>
            <w:tcW w:w="3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5"/>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3.200% senior notes due 2026</w:t>
            </w:r>
          </w:p>
        </w:tc>
        <w:tc>
          <w:tcPr>
            <w:tcW w:w="3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2,000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tcPr>
          <w:p>
            <w:pPr>
              <w:spacing w:after="0"/>
              <w:rPr>
                <w:sz w:val="14"/>
                <w:szCs w:val="14"/>
                <w:color w:val="auto"/>
              </w:rPr>
            </w:pPr>
          </w:p>
        </w:tc>
      </w:tr>
      <w:tr>
        <w:trPr>
          <w:trHeight w:val="165"/>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5.150% senior notes due 2027</w:t>
            </w:r>
          </w:p>
        </w:tc>
        <w:tc>
          <w:tcPr>
            <w:tcW w:w="3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80" w:type="dxa"/>
            <w:vAlign w:val="bottom"/>
            <w:shd w:val="clear" w:color="auto" w:fill="CCEEFF"/>
          </w:tcPr>
          <w:p>
            <w:pPr>
              <w:spacing w:after="0"/>
              <w:rPr>
                <w:sz w:val="14"/>
                <w:szCs w:val="14"/>
                <w:color w:val="auto"/>
              </w:rPr>
            </w:pPr>
          </w:p>
        </w:tc>
      </w:tr>
      <w:tr>
        <w:trPr>
          <w:trHeight w:val="165"/>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2.250% senior notes due 2027</w:t>
            </w:r>
          </w:p>
        </w:tc>
        <w:tc>
          <w:tcPr>
            <w:tcW w:w="3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1,000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4"/>
                <w:szCs w:val="14"/>
                <w:color w:val="auto"/>
              </w:rPr>
            </w:pPr>
          </w:p>
        </w:tc>
      </w:tr>
      <w:tr>
        <w:trPr>
          <w:trHeight w:val="165"/>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1.125% senior notes due 2027</w:t>
            </w:r>
          </w:p>
        </w:tc>
        <w:tc>
          <w:tcPr>
            <w:tcW w:w="3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80" w:type="dxa"/>
            <w:vAlign w:val="bottom"/>
            <w:shd w:val="clear" w:color="auto" w:fill="CCEEFF"/>
          </w:tcPr>
          <w:p>
            <w:pPr>
              <w:spacing w:after="0"/>
              <w:rPr>
                <w:sz w:val="14"/>
                <w:szCs w:val="14"/>
                <w:color w:val="auto"/>
              </w:rPr>
            </w:pPr>
          </w:p>
        </w:tc>
      </w:tr>
      <w:tr>
        <w:trPr>
          <w:trHeight w:val="165"/>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5.450% senior notes due 2028</w:t>
            </w:r>
          </w:p>
        </w:tc>
        <w:tc>
          <w:tcPr>
            <w:tcW w:w="3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80" w:type="dxa"/>
            <w:vAlign w:val="bottom"/>
          </w:tcPr>
          <w:p>
            <w:pPr>
              <w:spacing w:after="0"/>
              <w:rPr>
                <w:sz w:val="14"/>
                <w:szCs w:val="14"/>
                <w:color w:val="auto"/>
              </w:rPr>
            </w:pPr>
          </w:p>
        </w:tc>
      </w:tr>
      <w:tr>
        <w:trPr>
          <w:trHeight w:val="165"/>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2.875% senior notes due 2028</w:t>
            </w:r>
          </w:p>
        </w:tc>
        <w:tc>
          <w:tcPr>
            <w:tcW w:w="3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80" w:type="dxa"/>
            <w:vAlign w:val="bottom"/>
            <w:shd w:val="clear" w:color="auto" w:fill="CCEEFF"/>
          </w:tcPr>
          <w:p>
            <w:pPr>
              <w:spacing w:after="0"/>
              <w:rPr>
                <w:sz w:val="14"/>
                <w:szCs w:val="14"/>
                <w:color w:val="auto"/>
              </w:rPr>
            </w:pPr>
          </w:p>
        </w:tc>
      </w:tr>
      <w:tr>
        <w:trPr>
          <w:trHeight w:val="165"/>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5.375% senior notes due 2028</w:t>
            </w:r>
          </w:p>
        </w:tc>
        <w:tc>
          <w:tcPr>
            <w:tcW w:w="3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80" w:type="dxa"/>
            <w:vAlign w:val="bottom"/>
          </w:tcPr>
          <w:p>
            <w:pPr>
              <w:spacing w:after="0"/>
              <w:rPr>
                <w:sz w:val="14"/>
                <w:szCs w:val="14"/>
                <w:color w:val="auto"/>
              </w:rPr>
            </w:pPr>
          </w:p>
        </w:tc>
      </w:tr>
      <w:tr>
        <w:trPr>
          <w:trHeight w:val="165"/>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4.200% senior notes due 2028</w:t>
            </w:r>
          </w:p>
        </w:tc>
        <w:tc>
          <w:tcPr>
            <w:tcW w:w="3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1,000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spacing w:after="0"/>
              <w:rPr>
                <w:sz w:val="14"/>
                <w:szCs w:val="14"/>
                <w:color w:val="auto"/>
              </w:rPr>
            </w:pPr>
          </w:p>
        </w:tc>
      </w:tr>
      <w:tr>
        <w:trPr>
          <w:trHeight w:val="165"/>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3.500% senior notes due 2029</w:t>
            </w:r>
          </w:p>
        </w:tc>
        <w:tc>
          <w:tcPr>
            <w:tcW w:w="3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3,000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80" w:type="dxa"/>
            <w:vAlign w:val="bottom"/>
          </w:tcPr>
          <w:p>
            <w:pPr>
              <w:spacing w:after="0"/>
              <w:rPr>
                <w:sz w:val="14"/>
                <w:szCs w:val="14"/>
                <w:color w:val="auto"/>
              </w:rPr>
            </w:pPr>
          </w:p>
        </w:tc>
      </w:tr>
      <w:tr>
        <w:trPr>
          <w:trHeight w:val="165"/>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4.750% senior notes due 2030</w:t>
            </w:r>
          </w:p>
        </w:tc>
        <w:tc>
          <w:tcPr>
            <w:tcW w:w="3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80" w:type="dxa"/>
            <w:vAlign w:val="bottom"/>
            <w:shd w:val="clear" w:color="auto" w:fill="CCEEFF"/>
          </w:tcPr>
          <w:p>
            <w:pPr>
              <w:spacing w:after="0"/>
              <w:rPr>
                <w:sz w:val="14"/>
                <w:szCs w:val="14"/>
                <w:color w:val="auto"/>
              </w:rPr>
            </w:pPr>
          </w:p>
        </w:tc>
      </w:tr>
      <w:tr>
        <w:trPr>
          <w:trHeight w:val="165"/>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2.650% senior notes due 2030</w:t>
            </w:r>
          </w:p>
        </w:tc>
        <w:tc>
          <w:tcPr>
            <w:tcW w:w="3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1,000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4"/>
                <w:szCs w:val="14"/>
                <w:color w:val="auto"/>
              </w:rPr>
            </w:pPr>
          </w:p>
        </w:tc>
      </w:tr>
      <w:tr>
        <w:trPr>
          <w:trHeight w:val="165"/>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1.625% senior notes due 2030</w:t>
            </w:r>
          </w:p>
        </w:tc>
        <w:tc>
          <w:tcPr>
            <w:tcW w:w="3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80" w:type="dxa"/>
            <w:vAlign w:val="bottom"/>
            <w:shd w:val="clear" w:color="auto" w:fill="CCEEFF"/>
          </w:tcPr>
          <w:p>
            <w:pPr>
              <w:spacing w:after="0"/>
              <w:rPr>
                <w:sz w:val="14"/>
                <w:szCs w:val="14"/>
                <w:color w:val="auto"/>
              </w:rPr>
            </w:pPr>
          </w:p>
        </w:tc>
      </w:tr>
      <w:tr>
        <w:trPr>
          <w:trHeight w:val="165"/>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4.550% senior notes due 2031</w:t>
            </w:r>
          </w:p>
        </w:tc>
        <w:tc>
          <w:tcPr>
            <w:tcW w:w="3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1,000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4"/>
                <w:szCs w:val="14"/>
                <w:color w:val="auto"/>
              </w:rPr>
            </w:pPr>
          </w:p>
        </w:tc>
      </w:tr>
      <w:tr>
        <w:trPr>
          <w:trHeight w:val="165"/>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5.350% senior notes due 2031</w:t>
            </w:r>
          </w:p>
        </w:tc>
        <w:tc>
          <w:tcPr>
            <w:tcW w:w="3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shd w:val="clear" w:color="auto" w:fill="CCEEFF"/>
          </w:tcPr>
          <w:p>
            <w:pPr>
              <w:spacing w:after="0"/>
              <w:rPr>
                <w:sz w:val="14"/>
                <w:szCs w:val="14"/>
                <w:color w:val="auto"/>
              </w:rPr>
            </w:pPr>
          </w:p>
        </w:tc>
      </w:tr>
      <w:tr>
        <w:trPr>
          <w:trHeight w:val="165"/>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4.500% senior notes due 2031</w:t>
            </w:r>
          </w:p>
        </w:tc>
        <w:tc>
          <w:tcPr>
            <w:tcW w:w="3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80" w:type="dxa"/>
            <w:vAlign w:val="bottom"/>
          </w:tcPr>
          <w:p>
            <w:pPr>
              <w:spacing w:after="0"/>
              <w:rPr>
                <w:sz w:val="14"/>
                <w:szCs w:val="14"/>
                <w:color w:val="auto"/>
              </w:rPr>
            </w:pPr>
          </w:p>
        </w:tc>
      </w:tr>
      <w:tr>
        <w:trPr>
          <w:trHeight w:val="165"/>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3.000% senior notes due 2031</w:t>
            </w:r>
          </w:p>
        </w:tc>
        <w:tc>
          <w:tcPr>
            <w:tcW w:w="3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80" w:type="dxa"/>
            <w:vAlign w:val="bottom"/>
            <w:shd w:val="clear" w:color="auto" w:fill="CCEEFF"/>
          </w:tcPr>
          <w:p>
            <w:pPr>
              <w:spacing w:after="0"/>
              <w:rPr>
                <w:sz w:val="14"/>
                <w:szCs w:val="14"/>
                <w:color w:val="auto"/>
              </w:rPr>
            </w:pPr>
          </w:p>
        </w:tc>
      </w:tr>
      <w:tr>
        <w:trPr>
          <w:trHeight w:val="165"/>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3.500% senior notes due 2032</w:t>
            </w:r>
          </w:p>
        </w:tc>
        <w:tc>
          <w:tcPr>
            <w:tcW w:w="3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80" w:type="dxa"/>
            <w:vAlign w:val="bottom"/>
          </w:tcPr>
          <w:p>
            <w:pPr>
              <w:spacing w:after="0"/>
              <w:rPr>
                <w:sz w:val="14"/>
                <w:szCs w:val="14"/>
                <w:color w:val="auto"/>
              </w:rPr>
            </w:pPr>
          </w:p>
        </w:tc>
      </w:tr>
      <w:tr>
        <w:trPr>
          <w:trHeight w:val="165"/>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5.600% senior notes due 2033</w:t>
            </w:r>
          </w:p>
        </w:tc>
        <w:tc>
          <w:tcPr>
            <w:tcW w:w="3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80" w:type="dxa"/>
            <w:vAlign w:val="bottom"/>
            <w:shd w:val="clear" w:color="auto" w:fill="CCEEFF"/>
          </w:tcPr>
          <w:p>
            <w:pPr>
              <w:spacing w:after="0"/>
              <w:rPr>
                <w:sz w:val="14"/>
                <w:szCs w:val="14"/>
                <w:color w:val="auto"/>
              </w:rPr>
            </w:pPr>
          </w:p>
        </w:tc>
      </w:tr>
      <w:tr>
        <w:trPr>
          <w:trHeight w:val="165"/>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5.625% senior notes due 2033</w:t>
            </w:r>
          </w:p>
        </w:tc>
        <w:tc>
          <w:tcPr>
            <w:tcW w:w="3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1,300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80" w:type="dxa"/>
            <w:vAlign w:val="bottom"/>
          </w:tcPr>
          <w:p>
            <w:pPr>
              <w:spacing w:after="0"/>
              <w:rPr>
                <w:sz w:val="14"/>
                <w:szCs w:val="14"/>
                <w:color w:val="auto"/>
              </w:rPr>
            </w:pPr>
          </w:p>
        </w:tc>
      </w:tr>
      <w:tr>
        <w:trPr>
          <w:trHeight w:val="165"/>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5.450% senior notes due 2034</w:t>
            </w:r>
          </w:p>
        </w:tc>
        <w:tc>
          <w:tcPr>
            <w:tcW w:w="3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80" w:type="dxa"/>
            <w:vAlign w:val="bottom"/>
            <w:shd w:val="clear" w:color="auto" w:fill="CCEEFF"/>
          </w:tcPr>
          <w:p>
            <w:pPr>
              <w:spacing w:after="0"/>
              <w:rPr>
                <w:sz w:val="14"/>
                <w:szCs w:val="14"/>
                <w:color w:val="auto"/>
              </w:rPr>
            </w:pPr>
          </w:p>
        </w:tc>
      </w:tr>
      <w:tr>
        <w:trPr>
          <w:trHeight w:val="165"/>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5.150% senior notes due 2034</w:t>
            </w:r>
          </w:p>
        </w:tc>
        <w:tc>
          <w:tcPr>
            <w:tcW w:w="3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80" w:type="dxa"/>
            <w:vAlign w:val="bottom"/>
          </w:tcPr>
          <w:p>
            <w:pPr>
              <w:spacing w:after="0"/>
              <w:rPr>
                <w:sz w:val="14"/>
                <w:szCs w:val="14"/>
                <w:color w:val="auto"/>
              </w:rPr>
            </w:pPr>
          </w:p>
        </w:tc>
      </w:tr>
      <w:tr>
        <w:trPr>
          <w:trHeight w:val="165"/>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5.250% senior notes due 2035</w:t>
            </w:r>
          </w:p>
        </w:tc>
        <w:tc>
          <w:tcPr>
            <w:tcW w:w="3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1,000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spacing w:after="0"/>
              <w:rPr>
                <w:sz w:val="14"/>
                <w:szCs w:val="14"/>
                <w:color w:val="auto"/>
              </w:rPr>
            </w:pPr>
          </w:p>
        </w:tc>
      </w:tr>
      <w:tr>
        <w:trPr>
          <w:trHeight w:val="165"/>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4.000% senior notes due 2036</w:t>
            </w:r>
          </w:p>
        </w:tc>
        <w:tc>
          <w:tcPr>
            <w:tcW w:w="3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80" w:type="dxa"/>
            <w:vAlign w:val="bottom"/>
          </w:tcPr>
          <w:p>
            <w:pPr>
              <w:spacing w:after="0"/>
              <w:rPr>
                <w:sz w:val="14"/>
                <w:szCs w:val="14"/>
                <w:color w:val="auto"/>
              </w:rPr>
            </w:pPr>
          </w:p>
        </w:tc>
      </w:tr>
      <w:tr>
        <w:trPr>
          <w:trHeight w:val="165"/>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4.400% senior notes due 2049</w:t>
            </w:r>
          </w:p>
        </w:tc>
        <w:tc>
          <w:tcPr>
            <w:tcW w:w="3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2,000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shd w:val="clear" w:color="auto" w:fill="CCEEFF"/>
          </w:tcPr>
          <w:p>
            <w:pPr>
              <w:spacing w:after="0"/>
              <w:rPr>
                <w:sz w:val="14"/>
                <w:szCs w:val="14"/>
                <w:color w:val="auto"/>
              </w:rPr>
            </w:pPr>
          </w:p>
        </w:tc>
      </w:tr>
      <w:tr>
        <w:trPr>
          <w:trHeight w:val="165"/>
        </w:trPr>
        <w:tc>
          <w:tcPr>
            <w:tcW w:w="37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Notes offered hereby:</w:t>
            </w:r>
            <w:r>
              <w:rPr>
                <w:rFonts w:ascii="Times New Roman" w:cs="Times New Roman" w:eastAsia="Times New Roman" w:hAnsi="Times New Roman"/>
                <w:sz w:val="8"/>
                <w:szCs w:val="8"/>
                <w:i w:val="1"/>
                <w:iCs w:val="1"/>
                <w:color w:val="auto"/>
              </w:rPr>
              <w:t>(2)</w:t>
            </w:r>
          </w:p>
        </w:tc>
        <w:tc>
          <w:tcPr>
            <w:tcW w:w="3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5"/>
        </w:trPr>
        <w:tc>
          <w:tcPr>
            <w:tcW w:w="3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3.750% senior notes due 2030</w:t>
            </w:r>
          </w:p>
        </w:tc>
        <w:tc>
          <w:tcPr>
            <w:tcW w:w="3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80" w:type="dxa"/>
            <w:vAlign w:val="bottom"/>
            <w:shd w:val="clear" w:color="auto" w:fill="CCEEFF"/>
          </w:tcPr>
          <w:p>
            <w:pPr>
              <w:spacing w:after="0"/>
              <w:rPr>
                <w:sz w:val="14"/>
                <w:szCs w:val="14"/>
                <w:color w:val="auto"/>
              </w:rPr>
            </w:pPr>
          </w:p>
        </w:tc>
      </w:tr>
      <w:tr>
        <w:trPr>
          <w:trHeight w:val="165"/>
        </w:trPr>
        <w:tc>
          <w:tcPr>
            <w:tcW w:w="37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4.250% senior notes due 2034</w:t>
            </w:r>
          </w:p>
        </w:tc>
        <w:tc>
          <w:tcPr>
            <w:tcW w:w="3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80" w:type="dxa"/>
            <w:vAlign w:val="bottom"/>
          </w:tcPr>
          <w:p>
            <w:pPr>
              <w:spacing w:after="0"/>
              <w:rPr>
                <w:sz w:val="14"/>
                <w:szCs w:val="14"/>
                <w:color w:val="auto"/>
              </w:rPr>
            </w:pPr>
          </w:p>
        </w:tc>
      </w:tr>
      <w:tr>
        <w:trPr>
          <w:trHeight w:val="165"/>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dollar commercial paper notes</w:t>
            </w:r>
          </w:p>
        </w:tc>
        <w:tc>
          <w:tcPr>
            <w:tcW w:w="3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80" w:type="dxa"/>
            <w:vAlign w:val="bottom"/>
            <w:shd w:val="clear" w:color="auto" w:fill="CCEEFF"/>
          </w:tcPr>
          <w:p>
            <w:pPr>
              <w:spacing w:after="0"/>
              <w:rPr>
                <w:sz w:val="14"/>
                <w:szCs w:val="14"/>
                <w:color w:val="auto"/>
              </w:rPr>
            </w:pPr>
          </w:p>
        </w:tc>
      </w:tr>
      <w:tr>
        <w:trPr>
          <w:trHeight w:val="165"/>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Euro commercial paper notes</w:t>
            </w:r>
          </w:p>
        </w:tc>
        <w:tc>
          <w:tcPr>
            <w:tcW w:w="3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80" w:type="dxa"/>
            <w:vAlign w:val="bottom"/>
          </w:tcPr>
          <w:p>
            <w:pPr>
              <w:spacing w:after="0"/>
              <w:rPr>
                <w:sz w:val="14"/>
                <w:szCs w:val="14"/>
                <w:color w:val="auto"/>
              </w:rPr>
            </w:pPr>
          </w:p>
        </w:tc>
      </w:tr>
      <w:tr>
        <w:trPr>
          <w:trHeight w:val="165"/>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Revolving credit facility</w:t>
            </w:r>
          </w:p>
        </w:tc>
        <w:tc>
          <w:tcPr>
            <w:tcW w:w="3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shd w:val="clear" w:color="auto" w:fill="CCEEFF"/>
          </w:tcPr>
          <w:p>
            <w:pPr>
              <w:spacing w:after="0"/>
              <w:rPr>
                <w:sz w:val="14"/>
                <w:szCs w:val="14"/>
                <w:color w:val="auto"/>
              </w:rPr>
            </w:pPr>
          </w:p>
        </w:tc>
      </w:tr>
      <w:tr>
        <w:trPr>
          <w:trHeight w:val="179"/>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Unamortized discounts and deferred financing costs</w:t>
            </w:r>
          </w:p>
        </w:tc>
        <w:tc>
          <w:tcPr>
            <w:tcW w:w="3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(161)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(161)</w:t>
            </w:r>
          </w:p>
        </w:tc>
      </w:tr>
      <w:tr>
        <w:trPr>
          <w:trHeight w:val="266"/>
        </w:trPr>
        <w:tc>
          <w:tcPr>
            <w:tcW w:w="3760" w:type="dxa"/>
            <w:vAlign w:val="bottom"/>
          </w:tcPr>
          <w:p>
            <w:pPr>
              <w:spacing w:after="0"/>
              <w:rPr>
                <w:sz w:val="23"/>
                <w:szCs w:val="23"/>
                <w:color w:val="auto"/>
              </w:rPr>
            </w:pPr>
          </w:p>
        </w:tc>
        <w:tc>
          <w:tcPr>
            <w:tcW w:w="3180" w:type="dxa"/>
            <w:vAlign w:val="bottom"/>
            <w:gridSpan w:val="2"/>
          </w:tcPr>
          <w:p>
            <w:pPr>
              <w:jc w:val="right"/>
              <w:ind w:right="2524"/>
              <w:spacing w:after="0"/>
              <w:rPr>
                <w:sz w:val="20"/>
                <w:szCs w:val="20"/>
                <w:color w:val="auto"/>
              </w:rPr>
            </w:pPr>
            <w:r>
              <w:rPr>
                <w:rFonts w:ascii="Times New Roman" w:cs="Times New Roman" w:eastAsia="Times New Roman" w:hAnsi="Times New Roman"/>
                <w:sz w:val="14"/>
                <w:szCs w:val="14"/>
                <w:color w:val="auto"/>
              </w:rPr>
              <w:t>S-15</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r>
    </w:tbl>
    <w:p>
      <w:pPr>
        <w:sectPr>
          <w:pgSz w:w="11900" w:h="16838" w:orient="portrait"/>
          <w:cols w:equalWidth="0" w:num="1">
            <w:col w:w="10159"/>
          </w:cols>
          <w:pgMar w:left="300" w:top="381"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0" w:lineRule="exact"/>
        <w:rPr>
          <w:sz w:val="20"/>
          <w:szCs w:val="20"/>
          <w:color w:val="auto"/>
        </w:rPr>
      </w:pPr>
    </w:p>
    <w:tbl>
      <w:tblPr>
        <w:tblLayout w:type="fixed"/>
        <w:tblInd w:w="1420" w:type="dxa"/>
        <w:tblCellMar>
          <w:top w:w="0" w:type="dxa"/>
          <w:left w:w="0" w:type="dxa"/>
          <w:bottom w:w="0" w:type="dxa"/>
          <w:right w:w="0" w:type="dxa"/>
        </w:tblCellMar>
      </w:tblPr>
      <w:tr>
        <w:trPr>
          <w:trHeight w:val="133"/>
        </w:trPr>
        <w:tc>
          <w:tcPr>
            <w:tcW w:w="6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w w:val="97"/>
              </w:rPr>
              <w:t xml:space="preserve">As Adjusted </w:t>
            </w:r>
            <w:r>
              <w:rPr>
                <w:rFonts w:ascii="Times New Roman" w:cs="Times New Roman" w:eastAsia="Times New Roman" w:hAnsi="Times New Roman"/>
                <w:sz w:val="8"/>
                <w:szCs w:val="8"/>
                <w:b w:val="1"/>
                <w:bCs w:val="1"/>
                <w:color w:val="auto"/>
                <w:w w:val="97"/>
              </w:rPr>
              <w:t>(1)</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8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Fair value hedge accounting adjustments</w:t>
            </w:r>
          </w:p>
        </w:tc>
        <w:tc>
          <w:tcPr>
            <w:tcW w:w="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line="156"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6"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5"/>
        </w:trPr>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 lease and other financing obligations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1,745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long-term debt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w w:val="96"/>
              </w:rPr>
              <w:t>$</w:t>
            </w:r>
            <w:r>
              <w:rPr>
                <w:rFonts w:ascii="Times New Roman" w:cs="Times New Roman" w:eastAsia="Times New Roman" w:hAnsi="Times New Roman"/>
                <w:sz w:val="14"/>
                <w:szCs w:val="14"/>
                <w:color w:val="auto"/>
                <w:w w:val="96"/>
              </w:rPr>
              <w:t>27,859</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29,019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Total debt</w:t>
            </w: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8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u w:val="single" w:color="auto"/>
                <w:color w:val="auto"/>
                <w:w w:val="92"/>
              </w:rPr>
              <w:t>$</w:t>
            </w:r>
            <w:r>
              <w:rPr>
                <w:rFonts w:ascii="Times New Roman" w:cs="Times New Roman" w:eastAsia="Times New Roman" w:hAnsi="Times New Roman"/>
                <w:sz w:val="14"/>
                <w:szCs w:val="14"/>
                <w:color w:val="auto"/>
                <w:w w:val="92"/>
              </w:rPr>
              <w:t>29,182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30,342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80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Total Fiserv, Inc. shareholders’ equity</w:t>
            </w:r>
          </w:p>
        </w:tc>
        <w:tc>
          <w:tcPr>
            <w:tcW w:w="4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u w:val="single" w:color="auto"/>
                <w:color w:val="auto"/>
                <w:w w:val="96"/>
              </w:rPr>
              <w:t>$</w:t>
            </w:r>
            <w:r>
              <w:rPr>
                <w:rFonts w:ascii="Times New Roman" w:cs="Times New Roman" w:eastAsia="Times New Roman" w:hAnsi="Times New Roman"/>
                <w:sz w:val="14"/>
                <w:szCs w:val="14"/>
                <w:color w:val="auto"/>
                <w:w w:val="96"/>
              </w:rPr>
              <w:t>26,201</w:t>
            </w:r>
          </w:p>
        </w:tc>
        <w:tc>
          <w:tcPr>
            <w:tcW w:w="2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26,201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Total capitalization</w:t>
            </w: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80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u w:val="single" w:color="auto"/>
                <w:color w:val="auto"/>
                <w:w w:val="92"/>
              </w:rPr>
              <w:t>$</w:t>
            </w:r>
            <w:r>
              <w:rPr>
                <w:rFonts w:ascii="Times New Roman" w:cs="Times New Roman" w:eastAsia="Times New Roman" w:hAnsi="Times New Roman"/>
                <w:sz w:val="14"/>
                <w:szCs w:val="14"/>
                <w:color w:val="auto"/>
                <w:w w:val="92"/>
              </w:rPr>
              <w:t>55,383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56,543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940" w:type="dxa"/>
            <w:vAlign w:val="bottom"/>
            <w:tcBorders>
              <w:bottom w:val="single" w:sz="8" w:color="auto"/>
            </w:tcBorders>
          </w:tcPr>
          <w:p>
            <w:pPr>
              <w:spacing w:after="0"/>
              <w:rPr>
                <w:sz w:val="7"/>
                <w:szCs w:val="7"/>
                <w:color w:val="auto"/>
              </w:rPr>
            </w:pPr>
          </w:p>
        </w:tc>
        <w:tc>
          <w:tcPr>
            <w:tcW w:w="586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1760" w:right="339" w:hanging="335"/>
        <w:spacing w:after="0" w:line="249" w:lineRule="auto"/>
        <w:tabs>
          <w:tab w:leader="none" w:pos="1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intend to use the net proceeds from this offering, together with proceeds from the sale of commercial paper and cash from operations, to purchase any and all of our $750.0 million aggregate principal amount of 5.150% Senior Notes and any and all of our $2.0 billion aggregate principal amount of 4.400% Senior Notes, including any premium and accrued and unpaid interest on the tendered notes, pursuant to the tender offer described above under “Summary—Recent Developments.” The As Adjusted column does not give effect to the consummation of the tender offers or the payment of premiums or fees and expenses that we expect to incur in connection with consummation of the tender offer and this offering. This offering is not conditioned upon consummation of the tender offer.</w:t>
      </w:r>
    </w:p>
    <w:p>
      <w:pPr>
        <w:spacing w:after="0" w:line="4" w:lineRule="exact"/>
        <w:rPr>
          <w:rFonts w:ascii="Times New Roman" w:cs="Times New Roman" w:eastAsia="Times New Roman" w:hAnsi="Times New Roman"/>
          <w:sz w:val="14"/>
          <w:szCs w:val="14"/>
          <w:color w:val="auto"/>
        </w:rPr>
      </w:pPr>
    </w:p>
    <w:p>
      <w:pPr>
        <w:ind w:left="1760" w:right="419" w:hanging="335"/>
        <w:spacing w:after="0" w:line="253" w:lineRule="auto"/>
        <w:tabs>
          <w:tab w:leader="none" w:pos="1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adjusted amounts have been calculated using the euro/USD exchange rate of €1.00/ U.S. $1.1599, as reported by Bloomberg, L.P. as of 12:00 p.m. New York City time on June 15, 2026.</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S-16</w:t>
      </w:r>
    </w:p>
    <w:p>
      <w:pPr>
        <w:sectPr>
          <w:pgSz w:w="11900" w:h="16838" w:orient="portrait"/>
          <w:cols w:equalWidth="0" w:num="1">
            <w:col w:w="10159"/>
          </w:cols>
          <w:pgMar w:left="300" w:top="381"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THE NOTES</w:t>
      </w:r>
    </w:p>
    <w:p>
      <w:pPr>
        <w:spacing w:after="0" w:line="170" w:lineRule="exact"/>
        <w:rPr>
          <w:sz w:val="20"/>
          <w:szCs w:val="20"/>
          <w:color w:val="auto"/>
        </w:rPr>
      </w:pPr>
    </w:p>
    <w:p>
      <w:pPr>
        <w:ind w:left="1420" w:right="359" w:firstLine="337"/>
        <w:spacing w:after="0" w:line="254" w:lineRule="auto"/>
        <w:rPr>
          <w:sz w:val="20"/>
          <w:szCs w:val="20"/>
          <w:color w:val="auto"/>
        </w:rPr>
      </w:pPr>
      <w:r>
        <w:rPr>
          <w:rFonts w:ascii="Times New Roman" w:cs="Times New Roman" w:eastAsia="Times New Roman" w:hAnsi="Times New Roman"/>
          <w:sz w:val="14"/>
          <w:szCs w:val="14"/>
          <w:i w:val="1"/>
          <w:iCs w:val="1"/>
          <w:color w:val="auto"/>
        </w:rPr>
        <w:t>The following description of certain material terms of the 3.750% Senior Notes due 2030 (the “2030 notes”) and the 4.250% Senior Notes due 2034 (the “2034 notes” and, together with the 2030 notes, the “notes”) offered hereby does not purport to be complete. This description supplements and, to the extent inconsistent therewith, replaces the description of the general terms and provisions of the debt securities contained in “Description of Debt Securities and Guarantees of Debt Securities” in the accompanying prospectus. To the extent this summary differs from the summary in the accompanying prospectus, you should rely on the description of the notes in this prospectus supplement.</w:t>
      </w:r>
    </w:p>
    <w:p>
      <w:pPr>
        <w:spacing w:after="0" w:line="224" w:lineRule="exact"/>
        <w:rPr>
          <w:sz w:val="20"/>
          <w:szCs w:val="20"/>
          <w:color w:val="auto"/>
        </w:rPr>
      </w:pPr>
    </w:p>
    <w:p>
      <w:pPr>
        <w:ind w:left="1420" w:right="379" w:firstLine="337"/>
        <w:spacing w:after="0" w:line="252" w:lineRule="auto"/>
        <w:rPr>
          <w:sz w:val="20"/>
          <w:szCs w:val="20"/>
          <w:color w:val="auto"/>
        </w:rPr>
      </w:pPr>
      <w:r>
        <w:rPr>
          <w:rFonts w:ascii="Times New Roman" w:cs="Times New Roman" w:eastAsia="Times New Roman" w:hAnsi="Times New Roman"/>
          <w:sz w:val="14"/>
          <w:szCs w:val="14"/>
          <w:i w:val="1"/>
          <w:iCs w:val="1"/>
          <w:color w:val="auto"/>
        </w:rPr>
        <w:t>The notes will be issued under and governed by an indenture, dated as of November 20, 2007 (the “base indenture”), as supplemented by supplemental indentures to be entered into between us, as issuer, and U.S. Bank Trust Company, National Association, (as successor in interest to U.S. Bank National Association) (“U.S. Bank”), as trustee (the “trustee”) (together with the base indenture, the “indenture”). Although for convenience the 2030 notes and the 2034 notes are referred to as “notes,” each will be issued as a separate series. Accordingly, for purposes of this Description of the Notes, references to the “notes” shall be deemed to refer to each series of notes separately and not to the 2030 notes and the 2034 notes on any combined basis. As used in the following description, the terms “Fiserv,” “we,” “us” and “our” refer to Fiserv, Inc. and not any of its subsidiaries, unless the context requires otherwise.</w:t>
      </w:r>
    </w:p>
    <w:p>
      <w:pPr>
        <w:spacing w:after="0" w:line="223" w:lineRule="exact"/>
        <w:rPr>
          <w:sz w:val="20"/>
          <w:szCs w:val="20"/>
          <w:color w:val="auto"/>
        </w:rPr>
      </w:pPr>
    </w:p>
    <w:p>
      <w:pPr>
        <w:ind w:left="1420" w:right="579" w:firstLine="337"/>
        <w:spacing w:after="0" w:line="257" w:lineRule="auto"/>
        <w:rPr>
          <w:sz w:val="20"/>
          <w:szCs w:val="20"/>
          <w:color w:val="auto"/>
        </w:rPr>
      </w:pPr>
      <w:r>
        <w:rPr>
          <w:rFonts w:ascii="Times New Roman" w:cs="Times New Roman" w:eastAsia="Times New Roman" w:hAnsi="Times New Roman"/>
          <w:sz w:val="14"/>
          <w:szCs w:val="14"/>
          <w:i w:val="1"/>
          <w:iCs w:val="1"/>
          <w:color w:val="auto"/>
        </w:rPr>
        <w:t>We urge you to read the indenture (including definitions of terms used therein) because it, and not this description, defines your rights as a beneficial owner of the notes. This description is subject to, and qualified in its entirety by reference to, the actual provisions of the notes and the indenture. For information about how to obtain copies of the indenture from us, see “Where You Can Find More Information” in the accompanying prospectus and this prospectus supplement.</w:t>
      </w:r>
    </w:p>
    <w:p>
      <w:pPr>
        <w:spacing w:after="0" w:line="22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1" w:lineRule="exact"/>
        <w:rPr>
          <w:sz w:val="20"/>
          <w:szCs w:val="20"/>
          <w:color w:val="auto"/>
        </w:rPr>
      </w:pPr>
    </w:p>
    <w:p>
      <w:pPr>
        <w:ind w:left="1420" w:right="379" w:firstLine="337"/>
        <w:spacing w:after="0" w:line="250" w:lineRule="auto"/>
        <w:rPr>
          <w:sz w:val="20"/>
          <w:szCs w:val="20"/>
          <w:color w:val="auto"/>
        </w:rPr>
      </w:pPr>
      <w:r>
        <w:rPr>
          <w:rFonts w:ascii="Times New Roman" w:cs="Times New Roman" w:eastAsia="Times New Roman" w:hAnsi="Times New Roman"/>
          <w:sz w:val="14"/>
          <w:szCs w:val="14"/>
          <w:color w:val="auto"/>
        </w:rPr>
        <w:t xml:space="preserve">The aggregate principal amount of the two separate series of notes offered hereby will initially be limited to €1,000,000,000. The 2030 notes will be initially limited to €500,000,000 aggregate principal amount. The 2034 notes will be initially limited to €500,000,000 aggregate principal amount. We may, without the consent of the holders, increase the principal amount of each series in the future, on the same terms and conditions (except for the issue date, public offering price and, if applicable, the payment of interest accruing prior to the issue date and the initial interest payment date) and with the same CUSIP and other identifying numbers as the notes being offered hereby;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additional notes with the same CUSIP and other identifying numbers will be fungible with the previously issued notes of the relevant series for U.S. federal income tax purposes. All notes offered hereby will be issued only in fully registered form without coupons in minimum denominations of €100,000 and any integral multiple of €1,000 in excess thereof.</w:t>
      </w:r>
    </w:p>
    <w:p>
      <w:pPr>
        <w:spacing w:after="0" w:line="148" w:lineRule="exact"/>
        <w:rPr>
          <w:sz w:val="20"/>
          <w:szCs w:val="20"/>
          <w:color w:val="auto"/>
        </w:rPr>
      </w:pPr>
    </w:p>
    <w:p>
      <w:pPr>
        <w:ind w:left="1420" w:right="459" w:firstLine="337"/>
        <w:spacing w:after="0" w:line="272" w:lineRule="auto"/>
        <w:rPr>
          <w:sz w:val="20"/>
          <w:szCs w:val="20"/>
          <w:color w:val="auto"/>
        </w:rPr>
      </w:pPr>
      <w:r>
        <w:rPr>
          <w:rFonts w:ascii="Times New Roman" w:cs="Times New Roman" w:eastAsia="Times New Roman" w:hAnsi="Times New Roman"/>
          <w:sz w:val="13"/>
          <w:szCs w:val="13"/>
          <w:color w:val="auto"/>
        </w:rPr>
        <w:t>The notes will be our senior unsecured obligations and will rank equally with all of our other senior unsecured indebtedness from time to time outstanding. Our obligations arising under the notes will not be guaranteed by any of our subsidiaries. The notes will effectively rank junior to any secured indebtedness we currently have outstanding or may incur in the future to the extent of the collateral securing the same and will be structurally subordinated in right of payment to the liabilities (including trade accounts payable) and preferred equity of our subsidiaries. As of March 31, 2026, Fiserv, Inc. had outstanding approximately $23.6 billion of unsecured senior indebtedness, approximately $718 million of secured indebtedness (consisting primarily of financing leases outstanding) and approximately $60 million of financed software, and its subsidiaries had approximately $4.8 billion of indebtedness to third parties, and had issued no preferred equity. See “Risk Factors—Risks Related to the Notes— The notes will be effectively subordinated to all of our existing and future secured debt and structurally subordinated to the existing and future debt of our subsidiaries.”</w:t>
      </w:r>
    </w:p>
    <w:p>
      <w:pPr>
        <w:spacing w:after="0" w:line="8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S-17</w:t>
      </w:r>
    </w:p>
    <w:p>
      <w:pPr>
        <w:sectPr>
          <w:pgSz w:w="11900" w:h="16838" w:orient="portrait"/>
          <w:cols w:equalWidth="0" w:num="1">
            <w:col w:w="10159"/>
          </w:cols>
          <w:pgMar w:left="300" w:top="381"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339" w:firstLine="337"/>
        <w:spacing w:after="0" w:line="259" w:lineRule="auto"/>
        <w:rPr>
          <w:sz w:val="20"/>
          <w:szCs w:val="20"/>
          <w:color w:val="auto"/>
        </w:rPr>
      </w:pPr>
      <w:r>
        <w:rPr>
          <w:rFonts w:ascii="Times New Roman" w:cs="Times New Roman" w:eastAsia="Times New Roman" w:hAnsi="Times New Roman"/>
          <w:sz w:val="14"/>
          <w:szCs w:val="14"/>
          <w:color w:val="auto"/>
        </w:rPr>
        <w:t>The indenture does not contain any covenants or provisions that would afford the holders of the notes protection in the event of a highly leveraged or other transaction that is not in the best interests of noteholders, except to the limited extent described below under “—Purchase of Notes upon a Change of Control Triggering Event” and “—Covenants.”</w:t>
      </w:r>
    </w:p>
    <w:p>
      <w:pPr>
        <w:spacing w:after="0" w:line="2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Principal and Interest</w:t>
      </w:r>
    </w:p>
    <w:p>
      <w:pPr>
        <w:spacing w:after="0" w:line="91" w:lineRule="exact"/>
        <w:rPr>
          <w:sz w:val="20"/>
          <w:szCs w:val="20"/>
          <w:color w:val="auto"/>
        </w:rPr>
      </w:pPr>
    </w:p>
    <w:p>
      <w:pPr>
        <w:ind w:left="1420" w:right="299" w:firstLine="337"/>
        <w:spacing w:after="0" w:line="251" w:lineRule="auto"/>
        <w:rPr>
          <w:sz w:val="20"/>
          <w:szCs w:val="20"/>
          <w:color w:val="auto"/>
        </w:rPr>
      </w:pPr>
      <w:r>
        <w:rPr>
          <w:rFonts w:ascii="Times New Roman" w:cs="Times New Roman" w:eastAsia="Times New Roman" w:hAnsi="Times New Roman"/>
          <w:sz w:val="14"/>
          <w:szCs w:val="14"/>
          <w:color w:val="auto"/>
        </w:rPr>
        <w:t>The 2030 notes will mature on October 15, 2030 and the 2034 notes will mature on June 23, 2034, unless, in each case, we redeem or purchase the notes prior to that date, as described below under “—Optional Redemption,” “—Optional Tax Redemption” and “—Purchase of Notes upon a Change of Control Triggering Event.” Interest on the 2030 notes will accrue at the rate of 3.750% per year and interest on the 2034 notes will accrue at the rate of 4.250% per year, and in each case will be paid on the basis of the actual number of days in the period for which interest is being calculated and the actual number of days from and including the last scheduled interest payment date to which interest was paid on the notes (or from June 23, 2026, if no interest has been paid on such notes) to, but excluding, the next scheduled interest payment date. This payment convention is referred to as the ACTUAL/ACTUAL (ICMA) (as defined in the rulebook of the International Capital Markets Association) day count convention.</w:t>
      </w:r>
    </w:p>
    <w:p>
      <w:pPr>
        <w:spacing w:after="0" w:line="145" w:lineRule="exact"/>
        <w:rPr>
          <w:sz w:val="20"/>
          <w:szCs w:val="20"/>
          <w:color w:val="auto"/>
        </w:rPr>
      </w:pPr>
    </w:p>
    <w:p>
      <w:pPr>
        <w:ind w:left="1420" w:right="319" w:firstLine="337"/>
        <w:spacing w:after="0" w:line="259" w:lineRule="auto"/>
        <w:rPr>
          <w:sz w:val="20"/>
          <w:szCs w:val="20"/>
          <w:color w:val="auto"/>
        </w:rPr>
      </w:pPr>
      <w:r>
        <w:rPr>
          <w:rFonts w:ascii="Times New Roman" w:cs="Times New Roman" w:eastAsia="Times New Roman" w:hAnsi="Times New Roman"/>
          <w:sz w:val="14"/>
          <w:szCs w:val="14"/>
          <w:color w:val="auto"/>
        </w:rPr>
        <w:t>We will pay interest on the notes annually in arrears on October 15 of each year, beginning on October 15, 2026, for the 2030 notes and June 23 of each year, beginning on June 23, 2027, for the 2034 notes, to the holder in whose name each such note is registered on the day that is 15 days prior to the relevant interest payment date, whether or not such day is a business day.</w:t>
      </w:r>
    </w:p>
    <w:p>
      <w:pPr>
        <w:spacing w:after="0" w:line="141" w:lineRule="exact"/>
        <w:rPr>
          <w:sz w:val="20"/>
          <w:szCs w:val="20"/>
          <w:color w:val="auto"/>
        </w:rPr>
      </w:pPr>
    </w:p>
    <w:p>
      <w:pPr>
        <w:ind w:left="1420" w:right="359" w:firstLine="337"/>
        <w:spacing w:after="0" w:line="251" w:lineRule="auto"/>
        <w:rPr>
          <w:sz w:val="20"/>
          <w:szCs w:val="20"/>
          <w:color w:val="auto"/>
        </w:rPr>
      </w:pPr>
      <w:r>
        <w:rPr>
          <w:rFonts w:ascii="Times New Roman" w:cs="Times New Roman" w:eastAsia="Times New Roman" w:hAnsi="Times New Roman"/>
          <w:sz w:val="14"/>
          <w:szCs w:val="14"/>
          <w:color w:val="auto"/>
        </w:rPr>
        <w:t>Amounts due on each interest payment date, the stated maturity date or any earlier redemption or repurchase date of the notes will be payable at the office or agency maintained for such purpose in London, initially the corporate trust office of the paying agent, or by electronic means, in euro. The principal and interest payable on the global notes (as defined below) registered in the name of a nominee of the common depositary will be made in immediately available funds to the ICSDs or to the nominee of the common depositary, as the case may be, as the registered holder of such notes. If any of the notes are no longer represented by global notes, payment of interest on the notes in certified form may, at our option, be made by check mailed directly to holders at their registered addresses.</w:t>
      </w:r>
    </w:p>
    <w:p>
      <w:pPr>
        <w:spacing w:after="0" w:line="148" w:lineRule="exact"/>
        <w:rPr>
          <w:sz w:val="20"/>
          <w:szCs w:val="20"/>
          <w:color w:val="auto"/>
        </w:rPr>
      </w:pPr>
    </w:p>
    <w:p>
      <w:pPr>
        <w:ind w:left="1420" w:right="519" w:firstLine="337"/>
        <w:spacing w:after="0" w:line="273" w:lineRule="auto"/>
        <w:rPr>
          <w:sz w:val="20"/>
          <w:szCs w:val="20"/>
          <w:color w:val="auto"/>
        </w:rPr>
      </w:pPr>
      <w:r>
        <w:rPr>
          <w:rFonts w:ascii="Times New Roman" w:cs="Times New Roman" w:eastAsia="Times New Roman" w:hAnsi="Times New Roman"/>
          <w:sz w:val="14"/>
          <w:szCs w:val="14"/>
          <w:color w:val="auto"/>
        </w:rPr>
        <w:t>Neither we nor the trustee will impose any service charge for any transfer or exchange of a note. However, we may ask you to pay any taxes or other governmental charges in connection with a transfer or exchange of notes.</w:t>
      </w:r>
    </w:p>
    <w:p>
      <w:pPr>
        <w:spacing w:after="0" w:line="130" w:lineRule="exact"/>
        <w:rPr>
          <w:sz w:val="20"/>
          <w:szCs w:val="20"/>
          <w:color w:val="auto"/>
        </w:rPr>
      </w:pPr>
    </w:p>
    <w:p>
      <w:pPr>
        <w:ind w:left="1420" w:right="299" w:firstLine="337"/>
        <w:spacing w:after="0" w:line="251" w:lineRule="auto"/>
        <w:rPr>
          <w:sz w:val="20"/>
          <w:szCs w:val="20"/>
          <w:color w:val="auto"/>
        </w:rPr>
      </w:pPr>
      <w:r>
        <w:rPr>
          <w:rFonts w:ascii="Times New Roman" w:cs="Times New Roman" w:eastAsia="Times New Roman" w:hAnsi="Times New Roman"/>
          <w:sz w:val="14"/>
          <w:szCs w:val="14"/>
          <w:color w:val="auto"/>
        </w:rPr>
        <w:t>If any interest payment date, the stated maturity date or any earlier redemption or purchase date falls on a day that is not a business day, we will make the required payment of principal, premium, if any, and/or interest on the next business day as if it were made on the date payment was due, and no interest will accrue on the amount so payable for the period from and after that interest payment date, the stated maturity date or earlier redemption or purchase date, as the case may be, to the next business day. The term “business day” means any day other than a Saturday or Sunday (i) which is not a day on which banking institutions in The City of New York or London are authorized or obligated by law, regulation or executive order to close and (ii) on which the T2 System or any successor or replacement thereto is open.</w:t>
      </w:r>
    </w:p>
    <w:p>
      <w:pPr>
        <w:spacing w:after="0" w:line="2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Issuance in Euro</w:t>
      </w:r>
    </w:p>
    <w:p>
      <w:pPr>
        <w:spacing w:after="0" w:line="91" w:lineRule="exact"/>
        <w:rPr>
          <w:sz w:val="20"/>
          <w:szCs w:val="20"/>
          <w:color w:val="auto"/>
        </w:rPr>
      </w:pPr>
    </w:p>
    <w:p>
      <w:pPr>
        <w:ind w:left="1420" w:right="479" w:firstLine="337"/>
        <w:spacing w:after="0" w:line="255" w:lineRule="auto"/>
        <w:rPr>
          <w:sz w:val="20"/>
          <w:szCs w:val="20"/>
          <w:color w:val="auto"/>
        </w:rPr>
      </w:pPr>
      <w:r>
        <w:rPr>
          <w:rFonts w:ascii="Times New Roman" w:cs="Times New Roman" w:eastAsia="Times New Roman" w:hAnsi="Times New Roman"/>
          <w:sz w:val="14"/>
          <w:szCs w:val="14"/>
          <w:color w:val="auto"/>
        </w:rPr>
        <w:t>Initial holders of the notes will be required to pay for the notes in euro, and principal, premium, if any, and interest payments in respect of the notes will be payable in euro, including any payments made upon the redemption or repurchase of the notes. If, on or after the date of this prospectus supplement, euro is unavailable to us due to the imposition of exchange controls or other circumstances beyond our control, or if the euro is no longer used by the member states of the European Union that have adopted the euro as their currency or for the</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S-18</w:t>
      </w:r>
    </w:p>
    <w:p>
      <w:pPr>
        <w:sectPr>
          <w:pgSz w:w="11900" w:h="16838" w:orient="portrait"/>
          <w:cols w:equalWidth="0" w:num="1">
            <w:col w:w="10159"/>
          </w:cols>
          <w:pgMar w:left="300" w:top="381"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339"/>
        <w:spacing w:after="0" w:line="273" w:lineRule="auto"/>
        <w:rPr>
          <w:sz w:val="20"/>
          <w:szCs w:val="20"/>
          <w:color w:val="auto"/>
        </w:rPr>
      </w:pPr>
      <w:r>
        <w:rPr>
          <w:rFonts w:ascii="Times New Roman" w:cs="Times New Roman" w:eastAsia="Times New Roman" w:hAnsi="Times New Roman"/>
          <w:sz w:val="14"/>
          <w:szCs w:val="14"/>
          <w:color w:val="auto"/>
        </w:rPr>
        <w:t>settlement of transactions by public institutions of or within the international banking community, then all payments in respect of the notes will be made in U.S. dollars until the euro is again available to us or so used.</w:t>
      </w:r>
    </w:p>
    <w:p>
      <w:pPr>
        <w:spacing w:after="0" w:line="130" w:lineRule="exact"/>
        <w:rPr>
          <w:sz w:val="20"/>
          <w:szCs w:val="20"/>
          <w:color w:val="auto"/>
        </w:rPr>
      </w:pPr>
    </w:p>
    <w:p>
      <w:pPr>
        <w:ind w:left="1420" w:right="339" w:firstLine="337"/>
        <w:spacing w:after="0" w:line="255" w:lineRule="auto"/>
        <w:rPr>
          <w:sz w:val="20"/>
          <w:szCs w:val="20"/>
          <w:color w:val="auto"/>
        </w:rPr>
      </w:pPr>
      <w:r>
        <w:rPr>
          <w:rFonts w:ascii="Times New Roman" w:cs="Times New Roman" w:eastAsia="Times New Roman" w:hAnsi="Times New Roman"/>
          <w:sz w:val="14"/>
          <w:szCs w:val="14"/>
          <w:color w:val="auto"/>
        </w:rPr>
        <w:t>The amount payable on any date in euro will be converted into U.S. dollars at the market exchange rate (as defined below) as of the close of business on the second business day prior to the relevant payment date or, if such market exchange rate is not then available, on the basis of the then most recent U.S. dollar/euro exchange rate available on or prior to the second business day prior to the relevant payment date as determined by us in our sole discretion.</w:t>
      </w:r>
    </w:p>
    <w:p>
      <w:pPr>
        <w:spacing w:after="0" w:line="143" w:lineRule="exact"/>
        <w:rPr>
          <w:sz w:val="20"/>
          <w:szCs w:val="20"/>
          <w:color w:val="auto"/>
        </w:rPr>
      </w:pPr>
    </w:p>
    <w:p>
      <w:pPr>
        <w:ind w:left="1420" w:right="779" w:firstLine="337"/>
        <w:spacing w:after="0" w:line="273" w:lineRule="auto"/>
        <w:rPr>
          <w:sz w:val="20"/>
          <w:szCs w:val="20"/>
          <w:color w:val="auto"/>
        </w:rPr>
      </w:pPr>
      <w:r>
        <w:rPr>
          <w:rFonts w:ascii="Times New Roman" w:cs="Times New Roman" w:eastAsia="Times New Roman" w:hAnsi="Times New Roman"/>
          <w:sz w:val="14"/>
          <w:szCs w:val="14"/>
          <w:color w:val="auto"/>
        </w:rPr>
        <w:t>The term “market exchange rate” means the noon buying rate in The City of New York for cable transfers of euro, as certified for customs purposes (or, if not so certified, as otherwise determined) by the Federal Reserve Bank of New York.</w:t>
      </w:r>
    </w:p>
    <w:p>
      <w:pPr>
        <w:spacing w:after="0" w:line="130" w:lineRule="exact"/>
        <w:rPr>
          <w:sz w:val="20"/>
          <w:szCs w:val="20"/>
          <w:color w:val="auto"/>
        </w:rPr>
      </w:pPr>
    </w:p>
    <w:p>
      <w:pPr>
        <w:ind w:left="1420" w:right="519" w:firstLine="337"/>
        <w:spacing w:after="0" w:line="255" w:lineRule="auto"/>
        <w:rPr>
          <w:sz w:val="20"/>
          <w:szCs w:val="20"/>
          <w:color w:val="auto"/>
        </w:rPr>
      </w:pPr>
      <w:r>
        <w:rPr>
          <w:rFonts w:ascii="Times New Roman" w:cs="Times New Roman" w:eastAsia="Times New Roman" w:hAnsi="Times New Roman"/>
          <w:sz w:val="14"/>
          <w:szCs w:val="14"/>
          <w:color w:val="auto"/>
        </w:rPr>
        <w:t>Any payment in respect of the notes so made in U.S. dollars will not constitute an event of default under the indenture or the notes. Neither the trustee nor the paying agent will be responsible for obtaining exchange rates, effecting currency conversions or otherwise handling redenominations. Holders of the notes will be subject to foreign exchange risks as to payments of principal and interest that may have important economic and tax consequences to them. See the “Risk Factors” section of this prospectus supplement.</w:t>
      </w:r>
    </w:p>
    <w:p>
      <w:pPr>
        <w:spacing w:after="0" w:line="22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91" w:lineRule="exact"/>
        <w:rPr>
          <w:sz w:val="20"/>
          <w:szCs w:val="20"/>
          <w:color w:val="auto"/>
        </w:rPr>
      </w:pPr>
    </w:p>
    <w:p>
      <w:pPr>
        <w:jc w:val="both"/>
        <w:ind w:left="1420" w:right="339" w:firstLine="337"/>
        <w:spacing w:after="0" w:line="255" w:lineRule="auto"/>
        <w:rPr>
          <w:sz w:val="20"/>
          <w:szCs w:val="20"/>
          <w:color w:val="auto"/>
        </w:rPr>
      </w:pPr>
      <w:r>
        <w:rPr>
          <w:rFonts w:ascii="Times New Roman" w:cs="Times New Roman" w:eastAsia="Times New Roman" w:hAnsi="Times New Roman"/>
          <w:sz w:val="14"/>
          <w:szCs w:val="14"/>
          <w:color w:val="auto"/>
        </w:rPr>
        <w:t>The notes constitute new issues of securities for which there are no established trading markets. We intend to apply to list the notes on NASDAQ. The listing application will be subject to approval by NASDAQ. If such listing is obtained, we have no obligation to maintain such listing for the notes, and we may delist the notes, or list the notes on one or more other national securities exchanges, at any time. We currently expect trading in the notes on NASDAQ to begin within 30 days after the original issue date.</w:t>
      </w:r>
    </w:p>
    <w:p>
      <w:pPr>
        <w:spacing w:after="0" w:line="22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Optional Redemption</w:t>
      </w:r>
    </w:p>
    <w:p>
      <w:pPr>
        <w:spacing w:after="0" w:line="91" w:lineRule="exact"/>
        <w:rPr>
          <w:sz w:val="20"/>
          <w:szCs w:val="20"/>
          <w:color w:val="auto"/>
        </w:rPr>
      </w:pPr>
    </w:p>
    <w:p>
      <w:pPr>
        <w:jc w:val="both"/>
        <w:ind w:left="1420" w:right="339" w:firstLine="337"/>
        <w:spacing w:after="0" w:line="255" w:lineRule="auto"/>
        <w:rPr>
          <w:sz w:val="20"/>
          <w:szCs w:val="20"/>
          <w:color w:val="auto"/>
        </w:rPr>
      </w:pPr>
      <w:r>
        <w:rPr>
          <w:rFonts w:ascii="Times New Roman" w:cs="Times New Roman" w:eastAsia="Times New Roman" w:hAnsi="Times New Roman"/>
          <w:sz w:val="14"/>
          <w:szCs w:val="14"/>
          <w:color w:val="auto"/>
        </w:rPr>
        <w:t>Prior to (i) with respect to the 2030 notes, September 15, 2030 (one month prior to the maturity date of such notes) and (ii) with respect to the 2034 notes, April 23, 2034 (two months prior to the maturity date of such notes) (each such date, a “</w:t>
      </w:r>
      <w:r>
        <w:rPr>
          <w:rFonts w:ascii="Times New Roman" w:cs="Times New Roman" w:eastAsia="Times New Roman" w:hAnsi="Times New Roman"/>
          <w:sz w:val="14"/>
          <w:szCs w:val="14"/>
          <w:i w:val="1"/>
          <w:iCs w:val="1"/>
          <w:color w:val="auto"/>
        </w:rPr>
        <w:t>Par Call Date</w:t>
      </w:r>
      <w:r>
        <w:rPr>
          <w:rFonts w:ascii="Times New Roman" w:cs="Times New Roman" w:eastAsia="Times New Roman" w:hAnsi="Times New Roman"/>
          <w:sz w:val="14"/>
          <w:szCs w:val="14"/>
          <w:color w:val="auto"/>
        </w:rPr>
        <w:t>”), we may redeem the applicable series of notes at our option, in whole or in part, at any time and from time to time, at a redemption price (expressed as a percentage of principal amount and rounded to three decimal places) equal to the greater of:</w:t>
      </w:r>
    </w:p>
    <w:p>
      <w:pPr>
        <w:spacing w:after="0" w:line="71" w:lineRule="exact"/>
        <w:rPr>
          <w:sz w:val="20"/>
          <w:szCs w:val="20"/>
          <w:color w:val="auto"/>
        </w:rPr>
      </w:pPr>
    </w:p>
    <w:p>
      <w:pPr>
        <w:ind w:left="2160" w:right="399" w:hanging="404"/>
        <w:spacing w:after="0" w:line="253" w:lineRule="auto"/>
        <w:tabs>
          <w:tab w:leader="none" w:pos="21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 sum of the present values of the remaining scheduled payments of principal and interest on the notes to be redeemed discounted to the redemption date (assuming, in the case of the 2030 notes and the 2034 notes, that such notes matured on their applicable Par Call Date), on an annual (ACTUAL/ACTUAL (ICMA)) basis rate equal to the comparable government bond rate (as defined below), plus 20 basis points in the case of the 2030 notes and 25 basis points in the case of the 2034 notes, less (b) interest accrued to the date of redemption; and</w:t>
      </w:r>
    </w:p>
    <w:p>
      <w:pPr>
        <w:spacing w:after="0" w:line="71"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principal amount of the notes to be redeemed;</w:t>
      </w:r>
    </w:p>
    <w:p>
      <w:pPr>
        <w:spacing w:after="0" w:line="16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in either case, accrued and unpaid interest on the applicable notes to, but excluding, the redemption date.</w:t>
      </w:r>
    </w:p>
    <w:p>
      <w:pPr>
        <w:spacing w:after="0" w:line="174" w:lineRule="exact"/>
        <w:rPr>
          <w:sz w:val="20"/>
          <w:szCs w:val="20"/>
          <w:color w:val="auto"/>
        </w:rPr>
      </w:pPr>
    </w:p>
    <w:p>
      <w:pPr>
        <w:ind w:left="1420" w:right="339" w:firstLine="337"/>
        <w:spacing w:after="0" w:line="259" w:lineRule="auto"/>
        <w:rPr>
          <w:sz w:val="20"/>
          <w:szCs w:val="20"/>
          <w:color w:val="auto"/>
        </w:rPr>
      </w:pPr>
      <w:r>
        <w:rPr>
          <w:rFonts w:ascii="Times New Roman" w:cs="Times New Roman" w:eastAsia="Times New Roman" w:hAnsi="Times New Roman"/>
          <w:sz w:val="14"/>
          <w:szCs w:val="14"/>
          <w:color w:val="auto"/>
        </w:rPr>
        <w:t>On or after the applicable Par Call Date for the 2030 notes and the 2034 notes, we may redeem the notes of either series in whole or in part, at any time and from time to time, at a redemption price equal to 100% of the principal amount of the notes being redeemed plus accrued and unpaid interest thereon to the redemption date.</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S-19</w:t>
      </w:r>
    </w:p>
    <w:p>
      <w:pPr>
        <w:sectPr>
          <w:pgSz w:w="11900" w:h="16838" w:orient="portrait"/>
          <w:cols w:equalWidth="0" w:num="1">
            <w:col w:w="10159"/>
          </w:cols>
          <w:pgMar w:left="300" w:top="381"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For purposes of the foregoing discussion of the optional redemption provisions, the following definitions are applicable:</w:t>
      </w:r>
    </w:p>
    <w:p>
      <w:pPr>
        <w:spacing w:after="0" w:line="87" w:lineRule="exact"/>
        <w:rPr>
          <w:sz w:val="20"/>
          <w:szCs w:val="20"/>
          <w:color w:val="auto"/>
        </w:rPr>
      </w:pPr>
    </w:p>
    <w:p>
      <w:pPr>
        <w:ind w:left="1420" w:right="379" w:firstLine="337"/>
        <w:spacing w:after="0" w:line="277" w:lineRule="auto"/>
        <w:rPr>
          <w:sz w:val="20"/>
          <w:szCs w:val="20"/>
          <w:color w:val="auto"/>
        </w:rPr>
      </w:pPr>
      <w:r>
        <w:rPr>
          <w:rFonts w:ascii="Times New Roman" w:cs="Times New Roman" w:eastAsia="Times New Roman" w:hAnsi="Times New Roman"/>
          <w:sz w:val="13"/>
          <w:szCs w:val="13"/>
          <w:color w:val="auto"/>
        </w:rPr>
        <w:t>The term “comparable government bond” means, in relation to any comparable government bond rate calculation, at the discretion of an independent investment banker selected by us, a German government bond whose maturity is closest to the maturity of the notes to be redeemed (assuming for this purpose that the notes matured on the Par Call Date), or if such independent investment banker in its discretion determines that such similar bond is not in issue, such other German government bond as such independent investment banker may, with the advice of three brokers of, and/or market makers in, German government bonds selected by us, determine to be appropriate for determining the comparable government bond rate.</w:t>
      </w:r>
    </w:p>
    <w:p>
      <w:pPr>
        <w:spacing w:after="0" w:line="130" w:lineRule="exact"/>
        <w:rPr>
          <w:sz w:val="20"/>
          <w:szCs w:val="20"/>
          <w:color w:val="auto"/>
        </w:rPr>
      </w:pPr>
    </w:p>
    <w:p>
      <w:pPr>
        <w:ind w:left="1420" w:right="339" w:firstLine="337"/>
        <w:spacing w:after="0" w:line="253" w:lineRule="auto"/>
        <w:rPr>
          <w:sz w:val="20"/>
          <w:szCs w:val="20"/>
          <w:color w:val="auto"/>
        </w:rPr>
      </w:pPr>
      <w:r>
        <w:rPr>
          <w:rFonts w:ascii="Times New Roman" w:cs="Times New Roman" w:eastAsia="Times New Roman" w:hAnsi="Times New Roman"/>
          <w:sz w:val="14"/>
          <w:szCs w:val="14"/>
          <w:color w:val="auto"/>
        </w:rPr>
        <w:t>The term “comparable government bond rate” means the price, expressed as a percentage (rounded to three decimal places, with 0.0005 being rounded upwards), at which the gross redemption yield on the notes to be redeemed, if they were to be purchased at such price on the third business day prior to the date fixed for redemption, would be equal to the gross redemption yield of the comparable government bond on such business day on the basis of the middle market price of such comparable government bond prevailing at 11:00 a.m. (London time) on such business day as determined by an independent investment banker selected by us.</w:t>
      </w:r>
    </w:p>
    <w:p>
      <w:pPr>
        <w:spacing w:after="0" w:line="144" w:lineRule="exact"/>
        <w:rPr>
          <w:sz w:val="20"/>
          <w:szCs w:val="20"/>
          <w:color w:val="auto"/>
        </w:rPr>
      </w:pPr>
    </w:p>
    <w:p>
      <w:pPr>
        <w:ind w:left="1420" w:right="339" w:firstLine="337"/>
        <w:spacing w:after="0" w:line="259" w:lineRule="auto"/>
        <w:rPr>
          <w:sz w:val="20"/>
          <w:szCs w:val="20"/>
          <w:color w:val="auto"/>
        </w:rPr>
      </w:pPr>
      <w:r>
        <w:rPr>
          <w:rFonts w:ascii="Times New Roman" w:cs="Times New Roman" w:eastAsia="Times New Roman" w:hAnsi="Times New Roman"/>
          <w:sz w:val="14"/>
          <w:szCs w:val="14"/>
          <w:color w:val="auto"/>
        </w:rPr>
        <w:t>The term “independent investment banker” means each of Citigroup Global Markets Limited, J.P. Morgan Securities plc, TD Global Finance unlimited company and Wells Fargo Securities International Limited (or their respective successors), or if each such firm is unwilling or unable to select the comparable government bond, an independent investment banking institution of international standing appointed by us.</w:t>
      </w:r>
    </w:p>
    <w:p>
      <w:pPr>
        <w:spacing w:after="0" w:line="141" w:lineRule="exact"/>
        <w:rPr>
          <w:sz w:val="20"/>
          <w:szCs w:val="20"/>
          <w:color w:val="auto"/>
        </w:rPr>
      </w:pPr>
    </w:p>
    <w:p>
      <w:pPr>
        <w:ind w:left="1420" w:right="479" w:firstLine="337"/>
        <w:spacing w:after="0" w:line="273" w:lineRule="auto"/>
        <w:rPr>
          <w:sz w:val="20"/>
          <w:szCs w:val="20"/>
          <w:color w:val="auto"/>
        </w:rPr>
      </w:pPr>
      <w:r>
        <w:rPr>
          <w:rFonts w:ascii="Times New Roman" w:cs="Times New Roman" w:eastAsia="Times New Roman" w:hAnsi="Times New Roman"/>
          <w:sz w:val="14"/>
          <w:szCs w:val="14"/>
          <w:color w:val="auto"/>
        </w:rPr>
        <w:t>Our actions and determinations in determining the redemption price shall be conclusive and binding for all purposes, absent manifest error. The trustee and paying agent shall have no duty to verify such determinations.</w:t>
      </w:r>
    </w:p>
    <w:p>
      <w:pPr>
        <w:spacing w:after="0" w:line="130" w:lineRule="exact"/>
        <w:rPr>
          <w:sz w:val="20"/>
          <w:szCs w:val="20"/>
          <w:color w:val="auto"/>
        </w:rPr>
      </w:pPr>
    </w:p>
    <w:p>
      <w:pPr>
        <w:ind w:left="1420" w:right="319" w:firstLine="337"/>
        <w:spacing w:after="0" w:line="251" w:lineRule="auto"/>
        <w:rPr>
          <w:sz w:val="20"/>
          <w:szCs w:val="20"/>
          <w:color w:val="auto"/>
        </w:rPr>
      </w:pPr>
      <w:r>
        <w:rPr>
          <w:rFonts w:ascii="Times New Roman" w:cs="Times New Roman" w:eastAsia="Times New Roman" w:hAnsi="Times New Roman"/>
          <w:sz w:val="14"/>
          <w:szCs w:val="14"/>
          <w:color w:val="auto"/>
        </w:rPr>
        <w:t>Notice of any redemption will be mailed or electronically delivered (or otherwise transmitted in accordance with the applicable procedures of Euroclear or Clearstream) at least 10 days but not more than 60 days before the redemption date to holders of the notes to be redeemed (with a copy to the trustee), except that notice may be given more than 60 days prior to the date fixed for redemption if the notice is issued in connection with a defeasance, covenant defeasance or satisfaction and discharge. The notice of redemption will specify, among other items, the aggregate principal amount of the notes of the applicable series to be redeemed, the redemption date and the redemption price or the manner of calculating the redemption price (in which case no redemption price need be specified).</w:t>
      </w:r>
    </w:p>
    <w:p>
      <w:pPr>
        <w:spacing w:after="0" w:line="148" w:lineRule="exact"/>
        <w:rPr>
          <w:sz w:val="20"/>
          <w:szCs w:val="20"/>
          <w:color w:val="auto"/>
        </w:rPr>
      </w:pPr>
    </w:p>
    <w:p>
      <w:pPr>
        <w:ind w:left="1420" w:right="399" w:firstLine="337"/>
        <w:spacing w:after="0" w:line="253" w:lineRule="auto"/>
        <w:rPr>
          <w:sz w:val="20"/>
          <w:szCs w:val="20"/>
          <w:color w:val="auto"/>
        </w:rPr>
      </w:pPr>
      <w:r>
        <w:rPr>
          <w:rFonts w:ascii="Times New Roman" w:cs="Times New Roman" w:eastAsia="Times New Roman" w:hAnsi="Times New Roman"/>
          <w:sz w:val="14"/>
          <w:szCs w:val="14"/>
          <w:color w:val="auto"/>
        </w:rPr>
        <w:t>Any notice of any redemption of notes may, at our discretion, be given subject to one or more conditions precedent, including, but not limited to, completion of a corporate transaction that is pending (such as an equity or equity-linked offering, an incurrence of indebtedness or an acquisition or other strategic transaction involving a change of control in us or another entity). If such redemption is so subject to satisfaction of one or more conditions precedent, such notice shall describe each such condition, and such notice may be rescinded in the event that any or all such conditions shall not have been satisfied or otherwise waived by the relevant redemption date.</w:t>
      </w:r>
    </w:p>
    <w:p>
      <w:pPr>
        <w:spacing w:after="0" w:line="144" w:lineRule="exact"/>
        <w:rPr>
          <w:sz w:val="20"/>
          <w:szCs w:val="20"/>
          <w:color w:val="auto"/>
        </w:rPr>
      </w:pPr>
    </w:p>
    <w:p>
      <w:pPr>
        <w:ind w:left="1420" w:right="859" w:firstLine="337"/>
        <w:spacing w:after="0" w:line="273" w:lineRule="auto"/>
        <w:rPr>
          <w:sz w:val="20"/>
          <w:szCs w:val="20"/>
          <w:color w:val="auto"/>
        </w:rPr>
      </w:pPr>
      <w:r>
        <w:rPr>
          <w:rFonts w:ascii="Times New Roman" w:cs="Times New Roman" w:eastAsia="Times New Roman" w:hAnsi="Times New Roman"/>
          <w:sz w:val="14"/>
          <w:szCs w:val="14"/>
          <w:color w:val="auto"/>
        </w:rPr>
        <w:t>Any notice of redemption may provide that payment of the redemption price and the performance of our obligations with respect to such redemption may be performed by another person.</w:t>
      </w:r>
    </w:p>
    <w:p>
      <w:pPr>
        <w:spacing w:after="0" w:line="130" w:lineRule="exact"/>
        <w:rPr>
          <w:sz w:val="20"/>
          <w:szCs w:val="20"/>
          <w:color w:val="auto"/>
        </w:rPr>
      </w:pPr>
    </w:p>
    <w:p>
      <w:pPr>
        <w:jc w:val="both"/>
        <w:ind w:left="1420" w:right="319" w:firstLine="337"/>
        <w:spacing w:after="0" w:line="259" w:lineRule="auto"/>
        <w:rPr>
          <w:sz w:val="20"/>
          <w:szCs w:val="20"/>
          <w:color w:val="auto"/>
        </w:rPr>
      </w:pPr>
      <w:r>
        <w:rPr>
          <w:rFonts w:ascii="Times New Roman" w:cs="Times New Roman" w:eastAsia="Times New Roman" w:hAnsi="Times New Roman"/>
          <w:sz w:val="14"/>
          <w:szCs w:val="14"/>
          <w:color w:val="auto"/>
        </w:rPr>
        <w:t>If we choose to redeem less than all of the notes of a series, then we will notify the trustee at least five days before giving notice of redemption, or such shorter period as is satisfactory to the trustee, of the aggregate principal amount of the notes of such series to be redeemed and the redemption date. See also “—Book-Entry” and “—Global Clearance and Settlement Procedures” below.</w:t>
      </w:r>
    </w:p>
    <w:p>
      <w:pPr>
        <w:spacing w:after="0" w:line="141" w:lineRule="exact"/>
        <w:rPr>
          <w:sz w:val="20"/>
          <w:szCs w:val="20"/>
          <w:color w:val="auto"/>
        </w:rPr>
      </w:pPr>
    </w:p>
    <w:p>
      <w:pPr>
        <w:ind w:left="1420" w:right="399" w:firstLine="337"/>
        <w:spacing w:after="0" w:line="273" w:lineRule="auto"/>
        <w:rPr>
          <w:sz w:val="20"/>
          <w:szCs w:val="20"/>
          <w:color w:val="auto"/>
        </w:rPr>
      </w:pPr>
      <w:r>
        <w:rPr>
          <w:rFonts w:ascii="Times New Roman" w:cs="Times New Roman" w:eastAsia="Times New Roman" w:hAnsi="Times New Roman"/>
          <w:sz w:val="14"/>
          <w:szCs w:val="14"/>
          <w:color w:val="auto"/>
        </w:rPr>
        <w:t>In the case of a partial redemption, selection of the notes for redemption will be made pro rata, by lot or by such other method as the trustee in its sole discretion deems appropriate and fair. No notes of a principal amount</w:t>
      </w:r>
    </w:p>
    <w:p>
      <w:pPr>
        <w:spacing w:after="0" w:line="7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S-20</w:t>
      </w:r>
    </w:p>
    <w:p>
      <w:pPr>
        <w:sectPr>
          <w:pgSz w:w="11900" w:h="16838" w:orient="portrait"/>
          <w:cols w:equalWidth="0" w:num="1">
            <w:col w:w="10159"/>
          </w:cols>
          <w:pgMar w:left="300" w:top="381"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359"/>
        <w:spacing w:after="0" w:line="253" w:lineRule="auto"/>
        <w:rPr>
          <w:sz w:val="20"/>
          <w:szCs w:val="20"/>
          <w:color w:val="auto"/>
        </w:rPr>
      </w:pPr>
      <w:r>
        <w:rPr>
          <w:rFonts w:ascii="Times New Roman" w:cs="Times New Roman" w:eastAsia="Times New Roman" w:hAnsi="Times New Roman"/>
          <w:sz w:val="14"/>
          <w:szCs w:val="14"/>
          <w:color w:val="auto"/>
        </w:rPr>
        <w:t>of €100,000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registered in the name of the common depositary (or its nominee) on behalf of Euroclear and Clearstream, the redemption of the notes shall be done in accordance with the policies and procedures of the common depositary, Euroclear and Clearstream.</w:t>
      </w:r>
    </w:p>
    <w:p>
      <w:pPr>
        <w:spacing w:after="0" w:line="144" w:lineRule="exact"/>
        <w:rPr>
          <w:sz w:val="20"/>
          <w:szCs w:val="20"/>
          <w:color w:val="auto"/>
        </w:rPr>
      </w:pPr>
    </w:p>
    <w:p>
      <w:pPr>
        <w:ind w:left="1420" w:right="299" w:firstLine="337"/>
        <w:spacing w:after="0" w:line="255" w:lineRule="auto"/>
        <w:rPr>
          <w:sz w:val="20"/>
          <w:szCs w:val="20"/>
          <w:color w:val="auto"/>
        </w:rPr>
      </w:pPr>
      <w:r>
        <w:rPr>
          <w:rFonts w:ascii="Times New Roman" w:cs="Times New Roman" w:eastAsia="Times New Roman" w:hAnsi="Times New Roman"/>
          <w:sz w:val="14"/>
          <w:szCs w:val="14"/>
          <w:color w:val="auto"/>
        </w:rPr>
        <w:t>If we have given notice as provided in the indenture and made funds irrevocably available for the redemption of the notes of a series called for redemption on or prior to the redemption date referred to in that notice, then, unless we default on the payment in payment of the redemption price, those notes will cease to bear interest on that redemption date and the only remaining right of the holders of those notes will be to receive payment of the redemption price.</w:t>
      </w:r>
    </w:p>
    <w:p>
      <w:pPr>
        <w:spacing w:after="0" w:line="14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The notes will not be subject to, or have the benefit of, a sinking fund.</w:t>
      </w:r>
    </w:p>
    <w:p>
      <w:pPr>
        <w:spacing w:after="0" w:line="24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Purchase of Notes upon a Change of Control Triggering Event</w:t>
      </w:r>
    </w:p>
    <w:p>
      <w:pPr>
        <w:spacing w:after="0" w:line="91" w:lineRule="exact"/>
        <w:rPr>
          <w:sz w:val="20"/>
          <w:szCs w:val="20"/>
          <w:color w:val="auto"/>
        </w:rPr>
      </w:pPr>
    </w:p>
    <w:p>
      <w:pPr>
        <w:ind w:left="1420" w:right="299" w:firstLine="337"/>
        <w:spacing w:after="0" w:line="248" w:lineRule="auto"/>
        <w:rPr>
          <w:sz w:val="20"/>
          <w:szCs w:val="20"/>
          <w:color w:val="auto"/>
        </w:rPr>
      </w:pPr>
      <w:r>
        <w:rPr>
          <w:rFonts w:ascii="Times New Roman" w:cs="Times New Roman" w:eastAsia="Times New Roman" w:hAnsi="Times New Roman"/>
          <w:sz w:val="14"/>
          <w:szCs w:val="14"/>
          <w:color w:val="auto"/>
        </w:rPr>
        <w:t>If a change of control triggering event occurs, holders of notes will have the right to require us to repurchase all or any part of their notes pursuant to the offer described below (the “change of control offer”) on the terms set forth in the notes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with respect to notes submitted for repurchase in part, the remaining portion of such notes is in a principal amount of €100,000 or an integral multiple of €1,000 in excess thereof). In the change of control offer, we will be required to offer payment in cash equal to 101% of the aggregate principal amount of notes repurchased plus accrued and unpaid interest, if any, on the notes repurchased, to but excluding the date of purchase (the “change of control payment”). Within 30 days following any change of control triggering event, we will be required to mail or deliver (or otherwise transmit in accordance with the procedures of the ICSDs) a notice to holders of notes (with a copy to the trustee) describing the transaction or transactions that constitute the change of control triggering event and offering to repurchase the notes on the date specified in the notice, which date will be no earlier than 10 days and no later than 60 days from the date such notice is given (the “change of control purchase date”), pursuant to the procedures required by the notes and described in such notice. The notice will, if mailed, delivered or transmitted prior to the date of the consummation of the change of control, state that the offer to purchase is conditioned on the change of control triggering event occurring on or prior to the change of control purchase date; provided that if the change of control triggering event occurs after such change of control purchase date, we will be required to offer to purchase the notes as described above. We must comply with the requirements of Rule 14e-l under the Securities Exchange Act of 1934, as amended (the “</w:t>
      </w:r>
      <w:r>
        <w:rPr>
          <w:rFonts w:ascii="Times New Roman" w:cs="Times New Roman" w:eastAsia="Times New Roman" w:hAnsi="Times New Roman"/>
          <w:sz w:val="14"/>
          <w:szCs w:val="14"/>
          <w:i w:val="1"/>
          <w:iCs w:val="1"/>
          <w:color w:val="auto"/>
        </w:rPr>
        <w:t>Exchange Act</w:t>
      </w:r>
      <w:r>
        <w:rPr>
          <w:rFonts w:ascii="Times New Roman" w:cs="Times New Roman" w:eastAsia="Times New Roman" w:hAnsi="Times New Roman"/>
          <w:sz w:val="14"/>
          <w:szCs w:val="14"/>
          <w:color w:val="auto"/>
        </w:rPr>
        <w: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provisions of the notes, we will be required to comply with the applicable securities laws and regulations and will not be deemed to have breached our obligations under the change of control provisions of the notes by virtue of such conflicts.</w:t>
      </w:r>
    </w:p>
    <w:p>
      <w:pPr>
        <w:spacing w:after="0" w:line="15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On the change of control purchase date, we will be required, to the extent lawful, to:</w:t>
      </w:r>
    </w:p>
    <w:p>
      <w:pPr>
        <w:spacing w:after="0" w:line="98" w:lineRule="exact"/>
        <w:rPr>
          <w:sz w:val="20"/>
          <w:szCs w:val="20"/>
          <w:color w:val="auto"/>
        </w:rPr>
      </w:pPr>
    </w:p>
    <w:p>
      <w:pPr>
        <w:ind w:left="2160" w:hanging="322"/>
        <w:spacing w:after="0"/>
        <w:tabs>
          <w:tab w:leader="none" w:pos="2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 for payment all notes or portions of notes properly tendered and not properly withdrawn pursuant to the change of control offer;</w:t>
      </w:r>
    </w:p>
    <w:p>
      <w:pPr>
        <w:spacing w:after="0" w:line="97" w:lineRule="exact"/>
        <w:rPr>
          <w:rFonts w:ascii="Times New Roman" w:cs="Times New Roman" w:eastAsia="Times New Roman" w:hAnsi="Times New Roman"/>
          <w:sz w:val="14"/>
          <w:szCs w:val="14"/>
          <w:color w:val="auto"/>
        </w:rPr>
      </w:pPr>
    </w:p>
    <w:p>
      <w:pPr>
        <w:ind w:left="2160" w:right="739" w:hanging="322"/>
        <w:spacing w:after="0" w:line="273" w:lineRule="auto"/>
        <w:tabs>
          <w:tab w:leader="none" w:pos="2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 with the paying agent an amount equal to the change of control payment in respect of all notes or portions of notes properly tendered; and</w:t>
      </w:r>
    </w:p>
    <w:p>
      <w:pPr>
        <w:spacing w:after="0" w:line="57" w:lineRule="exact"/>
        <w:rPr>
          <w:rFonts w:ascii="Times New Roman" w:cs="Times New Roman" w:eastAsia="Times New Roman" w:hAnsi="Times New Roman"/>
          <w:sz w:val="14"/>
          <w:szCs w:val="14"/>
          <w:color w:val="auto"/>
        </w:rPr>
      </w:pPr>
    </w:p>
    <w:p>
      <w:pPr>
        <w:ind w:left="2160" w:right="799" w:hanging="322"/>
        <w:spacing w:after="0" w:line="273" w:lineRule="auto"/>
        <w:tabs>
          <w:tab w:leader="none" w:pos="2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 or cause to be delivered to the trustee the notes properly accepted together with an officers’ certificate stating the aggregate principal amount of notes or portions of notes being purchased.</w:t>
      </w:r>
    </w:p>
    <w:p>
      <w:pPr>
        <w:spacing w:after="0" w:line="130" w:lineRule="exact"/>
        <w:rPr>
          <w:sz w:val="20"/>
          <w:szCs w:val="20"/>
          <w:color w:val="auto"/>
        </w:rPr>
      </w:pPr>
    </w:p>
    <w:p>
      <w:pPr>
        <w:ind w:left="1420" w:right="539" w:firstLine="337"/>
        <w:spacing w:after="0" w:line="273" w:lineRule="auto"/>
        <w:rPr>
          <w:sz w:val="20"/>
          <w:szCs w:val="20"/>
          <w:color w:val="auto"/>
        </w:rPr>
      </w:pPr>
      <w:r>
        <w:rPr>
          <w:rFonts w:ascii="Times New Roman" w:cs="Times New Roman" w:eastAsia="Times New Roman" w:hAnsi="Times New Roman"/>
          <w:sz w:val="14"/>
          <w:szCs w:val="14"/>
          <w:color w:val="auto"/>
        </w:rPr>
        <w:t>The paying agent will promptly mail or deliver (or otherwise transmit in accordance with the procedures of the ICSDs) to each holder of notes properly tendered the purchase price for the notes, and the trustee will</w:t>
      </w:r>
    </w:p>
    <w:p>
      <w:pPr>
        <w:spacing w:after="0" w:line="7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S-21</w:t>
      </w:r>
    </w:p>
    <w:p>
      <w:pPr>
        <w:sectPr>
          <w:pgSz w:w="11900" w:h="16838" w:orient="portrait"/>
          <w:cols w:equalWidth="0" w:num="1">
            <w:col w:w="10159"/>
          </w:cols>
          <w:pgMar w:left="300" w:top="381"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699"/>
        <w:spacing w:after="0" w:line="259" w:lineRule="auto"/>
        <w:rPr>
          <w:sz w:val="20"/>
          <w:szCs w:val="20"/>
          <w:color w:val="auto"/>
        </w:rPr>
      </w:pPr>
      <w:r>
        <w:rPr>
          <w:rFonts w:ascii="Times New Roman" w:cs="Times New Roman" w:eastAsia="Times New Roman" w:hAnsi="Times New Roman"/>
          <w:sz w:val="14"/>
          <w:szCs w:val="14"/>
          <w:color w:val="auto"/>
        </w:rPr>
        <w:t xml:space="preserve">promptly authenticate and mail or deliver (or cause to be transferred by book-entry) to each holder a new note equal in principal amount to any unpurchased portion of any notes surrendered;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each new note will be in a principal amount of €100,000 and any integral multiple of €1,000 in excess thereof.</w:t>
      </w:r>
    </w:p>
    <w:p>
      <w:pPr>
        <w:spacing w:after="0" w:line="141" w:lineRule="exact"/>
        <w:rPr>
          <w:sz w:val="20"/>
          <w:szCs w:val="20"/>
          <w:color w:val="auto"/>
        </w:rPr>
      </w:pPr>
    </w:p>
    <w:p>
      <w:pPr>
        <w:ind w:left="1420" w:right="299" w:firstLine="337"/>
        <w:spacing w:after="0" w:line="251" w:lineRule="auto"/>
        <w:rPr>
          <w:sz w:val="20"/>
          <w:szCs w:val="20"/>
          <w:color w:val="auto"/>
        </w:rPr>
      </w:pPr>
      <w:r>
        <w:rPr>
          <w:rFonts w:ascii="Times New Roman" w:cs="Times New Roman" w:eastAsia="Times New Roman" w:hAnsi="Times New Roman"/>
          <w:sz w:val="14"/>
          <w:szCs w:val="14"/>
          <w:color w:val="auto"/>
        </w:rPr>
        <w:t>In addition, if holders of not less than 90% in aggregate principal amount of the notes then outstanding validly tender and do not withdraw such notes in a change of control offer and we, or any third party making such an offer in lieu of us as described above, purchase all of such notes properly tendered and not withdrawn by such holders, we or such third party will have the right, upon not less than 10 days’ nor more than 60 days’ prior notice to the holders and the trustee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notice is given not more than 60 days following such repurchase pursuant to the change of control offer described above) to redeem all notes that remain outstanding following such tender offer on a date specified in such notice (the “second change of control purchase date”) and at a price in cash equal to 101% of the aggregate principal amount of the notes repurchased plus accrued and unpaid interest, if any, on the notes repurchased to, but excluding, the second change of control purchase date.</w:t>
      </w:r>
    </w:p>
    <w:p>
      <w:pPr>
        <w:spacing w:after="0" w:line="145" w:lineRule="exact"/>
        <w:rPr>
          <w:sz w:val="20"/>
          <w:szCs w:val="20"/>
          <w:color w:val="auto"/>
        </w:rPr>
      </w:pPr>
    </w:p>
    <w:p>
      <w:pPr>
        <w:ind w:left="1420" w:right="379" w:firstLine="337"/>
        <w:spacing w:after="0" w:line="253" w:lineRule="auto"/>
        <w:rPr>
          <w:sz w:val="20"/>
          <w:szCs w:val="20"/>
          <w:color w:val="auto"/>
        </w:rPr>
      </w:pPr>
      <w:r>
        <w:rPr>
          <w:rFonts w:ascii="Times New Roman" w:cs="Times New Roman" w:eastAsia="Times New Roman" w:hAnsi="Times New Roman"/>
          <w:sz w:val="14"/>
          <w:szCs w:val="14"/>
          <w:color w:val="auto"/>
        </w:rPr>
        <w:t>We will not be required to make a change of control offer upon a change of control triggering event if (i) a third party makes such an offer in the manner, at the times and otherwise in compliance with the requirements for an offer made by us, and such third party purchases all notes properly tendered and not withdrawn under its offer; or (ii) prior to the occurrence of the related change of control triggering event, we have given written notice of a redemption of the notes as provided under “—Optional Redemption” above, unless we have failed to pay the redemption price on the redemption date.</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For purposes of the foregoing discussion of a repurchase at the option of holders, the following definitions are applicable:</w:t>
      </w:r>
    </w:p>
    <w:p>
      <w:pPr>
        <w:spacing w:after="0" w:line="87" w:lineRule="exact"/>
        <w:rPr>
          <w:sz w:val="20"/>
          <w:szCs w:val="20"/>
          <w:color w:val="auto"/>
        </w:rPr>
      </w:pPr>
    </w:p>
    <w:p>
      <w:pPr>
        <w:ind w:left="1420" w:right="319" w:firstLine="337"/>
        <w:spacing w:after="0" w:line="270" w:lineRule="auto"/>
        <w:rPr>
          <w:sz w:val="20"/>
          <w:szCs w:val="20"/>
          <w:color w:val="auto"/>
        </w:rPr>
      </w:pPr>
      <w:r>
        <w:rPr>
          <w:rFonts w:ascii="Times New Roman" w:cs="Times New Roman" w:eastAsia="Times New Roman" w:hAnsi="Times New Roman"/>
          <w:sz w:val="13"/>
          <w:szCs w:val="13"/>
          <w:color w:val="auto"/>
        </w:rPr>
        <w:t>“Below investment grade rating event” means that the rating of the notes is lowered by each of the Rating Agencies and the notes are rated below an investment grade rating by each of the Rating Agencies, and such lowering occurs on any date from the date of the public notice of our intention to effect a change of control until the end of the 60-day period following public notice of the occurrence of a change of control (which 60-day period shall be extended so long as the rating of the notes is under publicly announced consideration for possible downgrade by either of the Rating Agencies as a result of the change of control); provided that a below investment grade rating event otherwise arising by virtue of a particular reduction in rating shall not be deemed to have occurred in respect to a particular change of control (and thus shall not be deemed a below investment grade rating event for purposes of the definition of change of control triggering event hereunder) if the Rating Agency or Rating Agencies making the reduction in rating to which this definition would otherwise apply do not announce or publicly confirm or inform the trustee and us in writing at its or our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38" w:lineRule="exact"/>
        <w:rPr>
          <w:sz w:val="20"/>
          <w:szCs w:val="20"/>
          <w:color w:val="auto"/>
        </w:rPr>
      </w:pPr>
    </w:p>
    <w:p>
      <w:pPr>
        <w:ind w:left="1420" w:right="319" w:firstLine="337"/>
        <w:spacing w:after="0" w:line="249" w:lineRule="auto"/>
        <w:rPr>
          <w:sz w:val="20"/>
          <w:szCs w:val="20"/>
          <w:color w:val="auto"/>
        </w:rPr>
      </w:pPr>
      <w:r>
        <w:rPr>
          <w:rFonts w:ascii="Times New Roman" w:cs="Times New Roman" w:eastAsia="Times New Roman" w:hAnsi="Times New Roman"/>
          <w:sz w:val="14"/>
          <w:szCs w:val="14"/>
          <w:color w:val="auto"/>
        </w:rPr>
        <w:t>“Change of control” means the occurrence of any of the following: (1) the direct or indirect sale, lease, transfer, conveyance or other disposition (other than by way of merger or consolidation), in one or a series of related transactions, of all or substantially all of the properties and assets of Fiserv and our subsidiaries taken as a whole to any “person” or “group” (as those terms are used in Section 13(d)(3) of the Exchange Act) other than us or one of our subsidiaries; (2) the approval by the holders of our common stock of any plan or proposal for the liquidation or dissolution of Fiserv (whether or not otherwise in compliance with the provisions of the indenture); (3) the consummation of any transaction (including, without limitation, any merger or consolidation) the result of which is that any “person” or “group” (as those terms are used in Section 13(d)(3) of the Exchange Act) becomes the “beneficial owner” (as defined in Rules 13d-3 and 13d-5 under the Exchange Act), directly or indirectly, of more than 50% of the then outstanding number of shares of our voting stock; or (4) Fiserv consolidates or merges with or into any entity, pursuant to a transaction in which any of the outstanding voting stock of Fiserv or such other entity is converted into or exchanged for cash, securities or other property (except when voting stock of Fiserv is converted into, or exchanged for, at least a majority of the voting stock of the surviving person).</w:t>
      </w:r>
    </w:p>
    <w:p>
      <w:pPr>
        <w:spacing w:after="0" w:line="9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S-22</w:t>
      </w:r>
    </w:p>
    <w:p>
      <w:pPr>
        <w:sectPr>
          <w:pgSz w:w="11900" w:h="16838" w:orient="portrait"/>
          <w:cols w:equalWidth="0" w:num="1">
            <w:col w:w="10159"/>
          </w:cols>
          <w:pgMar w:left="300" w:top="381"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jc w:val="both"/>
        <w:ind w:left="1420" w:right="439" w:firstLine="337"/>
        <w:spacing w:after="0" w:line="259" w:lineRule="auto"/>
        <w:rPr>
          <w:sz w:val="20"/>
          <w:szCs w:val="20"/>
          <w:color w:val="auto"/>
        </w:rPr>
      </w:pPr>
      <w:r>
        <w:rPr>
          <w:rFonts w:ascii="Times New Roman" w:cs="Times New Roman" w:eastAsia="Times New Roman" w:hAnsi="Times New Roman"/>
          <w:sz w:val="14"/>
          <w:szCs w:val="14"/>
          <w:color w:val="auto"/>
        </w:rPr>
        <w:t>Notwithstanding the foregoing, a transaction will not be considered to be a change of control if (a) we become a direct or indirect wholly owned subsidiary of a person and (b) immediately following that transaction, the direct or indirect holders of the voting stock of such person are substantially the same as the holders of our voting stock immediately prior to that transaction.</w:t>
      </w:r>
    </w:p>
    <w:p>
      <w:pPr>
        <w:spacing w:after="0" w:line="14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“Change of control triggering event” means the occurrence of both a change of control and a below investment grade rating event.</w:t>
      </w:r>
    </w:p>
    <w:p>
      <w:pPr>
        <w:spacing w:after="0" w:line="170" w:lineRule="exact"/>
        <w:rPr>
          <w:sz w:val="20"/>
          <w:szCs w:val="20"/>
          <w:color w:val="auto"/>
        </w:rPr>
      </w:pPr>
    </w:p>
    <w:p>
      <w:pPr>
        <w:ind w:left="1420" w:right="379" w:firstLine="337"/>
        <w:spacing w:after="0" w:line="312" w:lineRule="auto"/>
        <w:rPr>
          <w:sz w:val="20"/>
          <w:szCs w:val="20"/>
          <w:color w:val="auto"/>
        </w:rPr>
      </w:pPr>
      <w:r>
        <w:rPr>
          <w:rFonts w:ascii="Times New Roman" w:cs="Times New Roman" w:eastAsia="Times New Roman" w:hAnsi="Times New Roman"/>
          <w:sz w:val="13"/>
          <w:szCs w:val="13"/>
          <w:color w:val="auto"/>
        </w:rPr>
        <w:t>“Investment grade rating” means a rating equal to or higher than Baa3 (or the equivalent under any successor rating category) by Moody’s, BBB-(or the equivalent under any successor rating category) by S&amp;P and the equivalent investment grade rating by any other Rating Agency, respectively.</w:t>
      </w:r>
    </w:p>
    <w:p>
      <w:pPr>
        <w:spacing w:after="0" w:line="10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“Moody’s” means Moody’s Investors Service, Inc., or its successor.</w:t>
      </w:r>
    </w:p>
    <w:p>
      <w:pPr>
        <w:spacing w:after="0" w:line="170" w:lineRule="exact"/>
        <w:rPr>
          <w:sz w:val="20"/>
          <w:szCs w:val="20"/>
          <w:color w:val="auto"/>
        </w:rPr>
      </w:pPr>
    </w:p>
    <w:p>
      <w:pPr>
        <w:ind w:left="1420" w:right="439" w:firstLine="337"/>
        <w:spacing w:after="0" w:line="276" w:lineRule="auto"/>
        <w:rPr>
          <w:sz w:val="20"/>
          <w:szCs w:val="20"/>
          <w:color w:val="auto"/>
        </w:rPr>
      </w:pPr>
      <w:r>
        <w:rPr>
          <w:rFonts w:ascii="Times New Roman" w:cs="Times New Roman" w:eastAsia="Times New Roman" w:hAnsi="Times New Roman"/>
          <w:sz w:val="13"/>
          <w:szCs w:val="13"/>
          <w:color w:val="auto"/>
        </w:rPr>
        <w:t>“Rating Agency” means (1) each of Moody’s and S&amp;P; and (2) if any of Moody’s or S&amp;P ceases to rate the notes or fails to make a rating of the notes publicly available for reasons outside of our control, a “nationally recognized statistical rating organization” within the meaning of Section 3(a)</w:t>
      </w:r>
    </w:p>
    <w:p>
      <w:pPr>
        <w:ind w:left="1420" w:right="319" w:firstLine="5"/>
        <w:spacing w:after="0" w:line="253" w:lineRule="auto"/>
        <w:tabs>
          <w:tab w:leader="none" w:pos="168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Exchange Act selected by us (as certified by an officer of us to the trustee) as a replacement agency for Moody’s or S&amp;P, or both of them, as the case may be.</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“S&amp;P” means S&amp;P Global Ratings, a division of S&amp;P Global Inc., or its successor.</w:t>
      </w:r>
    </w:p>
    <w:p>
      <w:pPr>
        <w:spacing w:after="0" w:line="170" w:lineRule="exact"/>
        <w:rPr>
          <w:sz w:val="20"/>
          <w:szCs w:val="20"/>
          <w:color w:val="auto"/>
        </w:rPr>
      </w:pPr>
    </w:p>
    <w:p>
      <w:pPr>
        <w:ind w:left="1420" w:right="339" w:firstLine="337"/>
        <w:spacing w:after="0" w:line="253" w:lineRule="auto"/>
        <w:rPr>
          <w:sz w:val="20"/>
          <w:szCs w:val="20"/>
          <w:color w:val="auto"/>
        </w:rPr>
      </w:pPr>
      <w:r>
        <w:rPr>
          <w:rFonts w:ascii="Times New Roman" w:cs="Times New Roman" w:eastAsia="Times New Roman" w:hAnsi="Times New Roman"/>
          <w:sz w:val="14"/>
          <w:szCs w:val="14"/>
          <w:color w:val="auto"/>
        </w:rPr>
        <w:t>The definition of change of control includes a phrase relating to the direct or indirect sale, transfer, lease, conveyance or other disposition of “all or substantially all” of the properties and assets of us and our subsidiaries taken as a whole. Although there is a limited body of case law interpreting the phrase “substantially all,” there is no precise established definition of the phrase under applicable law. Accordingly, the ability of a holder of notes to require us to repurchase its notes as a result of a sale, transfer, lease, conveyance or other disposition of less than all of the properties and assets of us and our subsidiaries taken as a whole to another person or group may be uncertain.</w:t>
      </w:r>
    </w:p>
    <w:p>
      <w:pPr>
        <w:spacing w:after="0" w:line="22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8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Merger, Consolidation and Sale of Assets</w:t>
      </w:r>
    </w:p>
    <w:p>
      <w:pPr>
        <w:spacing w:after="0" w:line="91" w:lineRule="exact"/>
        <w:rPr>
          <w:sz w:val="20"/>
          <w:szCs w:val="20"/>
          <w:color w:val="auto"/>
        </w:rPr>
      </w:pPr>
    </w:p>
    <w:p>
      <w:pPr>
        <w:ind w:left="1420" w:right="319" w:firstLine="337"/>
        <w:spacing w:after="0" w:line="259" w:lineRule="auto"/>
        <w:rPr>
          <w:sz w:val="20"/>
          <w:szCs w:val="20"/>
          <w:color w:val="auto"/>
        </w:rPr>
      </w:pPr>
      <w:r>
        <w:rPr>
          <w:rFonts w:ascii="Times New Roman" w:cs="Times New Roman" w:eastAsia="Times New Roman" w:hAnsi="Times New Roman"/>
          <w:sz w:val="14"/>
          <w:szCs w:val="14"/>
          <w:color w:val="auto"/>
        </w:rPr>
        <w:t>We have agreed, with respect to each series of notes, not to consolidate or merge with or into any other person, permit any other person to consolidate with or merge into us or sell, transfer, lease or convey all or substantially all of the properties and assets of Fiserv and our subsidiaries, taken as a whole, to any other person, unless:</w:t>
      </w:r>
    </w:p>
    <w:p>
      <w:pPr>
        <w:spacing w:after="0" w:line="68" w:lineRule="exact"/>
        <w:rPr>
          <w:sz w:val="20"/>
          <w:szCs w:val="20"/>
          <w:color w:val="auto"/>
        </w:rPr>
      </w:pPr>
    </w:p>
    <w:p>
      <w:pPr>
        <w:jc w:val="both"/>
        <w:ind w:left="2160" w:right="339" w:hanging="322"/>
        <w:spacing w:after="0" w:line="259" w:lineRule="auto"/>
        <w:tabs>
          <w:tab w:leader="none" w:pos="2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the surviving entity or our successor is an entity organized and existing under the laws of the United States of America (or any state or territory thereof or the District of Columbia), the United Kingdom (or any constituent country thereof), Germany, France, Luxembourg, the Netherlands, Ireland or Canada (or any province or territory thereof);</w:t>
      </w:r>
    </w:p>
    <w:p>
      <w:pPr>
        <w:spacing w:after="0" w:line="68" w:lineRule="exact"/>
        <w:rPr>
          <w:rFonts w:ascii="Times New Roman" w:cs="Times New Roman" w:eastAsia="Times New Roman" w:hAnsi="Times New Roman"/>
          <w:sz w:val="14"/>
          <w:szCs w:val="14"/>
          <w:color w:val="auto"/>
        </w:rPr>
      </w:pPr>
    </w:p>
    <w:p>
      <w:pPr>
        <w:jc w:val="both"/>
        <w:ind w:left="2160" w:right="339" w:hanging="322"/>
        <w:spacing w:after="0" w:line="259" w:lineRule="auto"/>
        <w:tabs>
          <w:tab w:leader="none" w:pos="2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surviving entity, if other than us, expressly assumes, by a supplemental indenture, the due and punctual payment of the principal of and any premium and interest on the outstanding notes and the performance and observance of every covenant in the indenture and any paying agency agreement that we would otherwise have to perform or observe;</w:t>
      </w:r>
    </w:p>
    <w:p>
      <w:pPr>
        <w:spacing w:after="0" w:line="68" w:lineRule="exact"/>
        <w:rPr>
          <w:rFonts w:ascii="Times New Roman" w:cs="Times New Roman" w:eastAsia="Times New Roman" w:hAnsi="Times New Roman"/>
          <w:sz w:val="14"/>
          <w:szCs w:val="14"/>
          <w:color w:val="auto"/>
        </w:rPr>
      </w:pPr>
    </w:p>
    <w:p>
      <w:pPr>
        <w:ind w:left="2160" w:right="539" w:hanging="322"/>
        <w:spacing w:after="0" w:line="259" w:lineRule="auto"/>
        <w:tabs>
          <w:tab w:leader="none" w:pos="2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such transaction and treating any indebtedness that becomes an obligation of ours or any of our subsidiaries as a result of such transaction as having been incurred by us or any of our subsidiaries at the time of such transaction, there will not be any event of default or event which, after notice or lapse of time or both, would become an event of default;</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S-23</w:t>
      </w:r>
    </w:p>
    <w:p>
      <w:pPr>
        <w:sectPr>
          <w:pgSz w:w="11900" w:h="16838" w:orient="portrait"/>
          <w:cols w:equalWidth="0" w:num="1">
            <w:col w:w="10159"/>
          </w:cols>
          <w:pgMar w:left="300" w:top="381"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right="339" w:hanging="322"/>
        <w:spacing w:after="0" w:line="259" w:lineRule="auto"/>
        <w:tabs>
          <w:tab w:leader="none" w:pos="21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as a result of any such transaction, our property or assets would become subject to a lien which would not be permitted under “— Limitations on Liens,” we or our successor shall take those steps that are necessary to secure all outstanding notes equally and ratably with the indebtedness secured by that lien; and</w:t>
      </w:r>
    </w:p>
    <w:p>
      <w:pPr>
        <w:spacing w:after="0" w:line="68" w:lineRule="exact"/>
        <w:rPr>
          <w:rFonts w:ascii="Times New Roman" w:cs="Times New Roman" w:eastAsia="Times New Roman" w:hAnsi="Times New Roman"/>
          <w:sz w:val="14"/>
          <w:szCs w:val="14"/>
          <w:color w:val="auto"/>
        </w:rPr>
      </w:pPr>
    </w:p>
    <w:p>
      <w:pPr>
        <w:ind w:left="2160" w:right="879" w:hanging="322"/>
        <w:spacing w:after="0" w:line="273" w:lineRule="auto"/>
        <w:tabs>
          <w:tab w:leader="none" w:pos="21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delivered to the trustee an officers’ certificate and an opinion of counsel, each stating that all conditions precedent to the consummation of the particular transaction under the indenture have been complied with.</w:t>
      </w:r>
    </w:p>
    <w:p>
      <w:pPr>
        <w:spacing w:after="0" w:line="130" w:lineRule="exact"/>
        <w:rPr>
          <w:sz w:val="20"/>
          <w:szCs w:val="20"/>
          <w:color w:val="auto"/>
        </w:rPr>
      </w:pPr>
    </w:p>
    <w:p>
      <w:pPr>
        <w:ind w:left="1420" w:right="299" w:firstLine="337"/>
        <w:spacing w:after="0" w:line="255" w:lineRule="auto"/>
        <w:rPr>
          <w:sz w:val="20"/>
          <w:szCs w:val="20"/>
          <w:color w:val="auto"/>
        </w:rPr>
      </w:pPr>
      <w:r>
        <w:rPr>
          <w:rFonts w:ascii="Times New Roman" w:cs="Times New Roman" w:eastAsia="Times New Roman" w:hAnsi="Times New Roman"/>
          <w:sz w:val="14"/>
          <w:szCs w:val="14"/>
          <w:color w:val="auto"/>
        </w:rPr>
        <w:t>Upon any consolidation or merger with or into any other person or any sale, transfer, lease or conveyance of all or substantially all of the properties and assets of Fiserv and our subsidiaries, taken as a whole, to any other person, the successor person will succeed to, and be substituted for, us under the indenture, and we, except in the case of a lease, will be relieved of all obligations and covenants under the notes and the indenture to the extent we were the predecessor person.</w:t>
      </w:r>
    </w:p>
    <w:p>
      <w:pPr>
        <w:spacing w:after="0" w:line="22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Limitations on Liens</w:t>
      </w:r>
    </w:p>
    <w:p>
      <w:pPr>
        <w:spacing w:after="0" w:line="91" w:lineRule="exact"/>
        <w:rPr>
          <w:sz w:val="20"/>
          <w:szCs w:val="20"/>
          <w:color w:val="auto"/>
        </w:rPr>
      </w:pPr>
    </w:p>
    <w:p>
      <w:pPr>
        <w:ind w:left="1420" w:right="299" w:firstLine="337"/>
        <w:spacing w:after="0" w:line="253" w:lineRule="auto"/>
        <w:rPr>
          <w:sz w:val="20"/>
          <w:szCs w:val="20"/>
          <w:color w:val="auto"/>
        </w:rPr>
      </w:pPr>
      <w:r>
        <w:rPr>
          <w:rFonts w:ascii="Times New Roman" w:cs="Times New Roman" w:eastAsia="Times New Roman" w:hAnsi="Times New Roman"/>
          <w:sz w:val="14"/>
          <w:szCs w:val="14"/>
          <w:color w:val="auto"/>
        </w:rPr>
        <w:t>Neither we nor any of our restricted subsidiaries may create or assume, except in our favor or in favor of one or more of our wholly owned subsidiaries, any mortgage, pledge, lien or encumbrance (as used in this paragraph, “liens”) on any principal property, or upon any stock or indebtedness of any of our restricted subsidiaries, that secures any indebtedness of Fiserv or such restricted subsidiary unless the outstanding notes of each series are secured equally and ratably with (or prior to) the obligations so secured by such lien, except that the foregoing restriction does not apply to the following types of liens:</w:t>
      </w:r>
    </w:p>
    <w:p>
      <w:pPr>
        <w:spacing w:after="0" w:line="62" w:lineRule="exact"/>
        <w:rPr>
          <w:sz w:val="20"/>
          <w:szCs w:val="20"/>
          <w:color w:val="auto"/>
        </w:rPr>
      </w:pPr>
    </w:p>
    <w:p>
      <w:pPr>
        <w:ind w:left="1420" w:right="679" w:firstLine="342"/>
        <w:spacing w:after="0" w:line="273" w:lineRule="auto"/>
        <w:tabs>
          <w:tab w:leader="none" w:pos="1945"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in connection with workers’ compensation, unemployment insurance or other social security obligations (which phrase shall not be construed to refer to ERISA or the minimum funding obligations under Section 412 of the Code);</w:t>
      </w:r>
    </w:p>
    <w:p>
      <w:pPr>
        <w:spacing w:after="0" w:line="130" w:lineRule="exact"/>
        <w:rPr>
          <w:rFonts w:ascii="Times New Roman" w:cs="Times New Roman" w:eastAsia="Times New Roman" w:hAnsi="Times New Roman"/>
          <w:sz w:val="14"/>
          <w:szCs w:val="14"/>
          <w:color w:val="auto"/>
        </w:rPr>
      </w:pPr>
    </w:p>
    <w:p>
      <w:pPr>
        <w:ind w:left="1420" w:right="379" w:firstLine="342"/>
        <w:spacing w:after="0" w:line="259" w:lineRule="auto"/>
        <w:tabs>
          <w:tab w:leader="none" w:pos="1953"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to secure the performance of bids, tenders, letters of credit, contracts (other than contracts for the payment of indebtedness), leases, statutory obligations, surety, customs, appeal, performance and payment bonds and other obligations of a similar nature, in each such case arising in the ordinary course of business;</w:t>
      </w:r>
    </w:p>
    <w:p>
      <w:pPr>
        <w:spacing w:after="0" w:line="140" w:lineRule="exact"/>
        <w:rPr>
          <w:rFonts w:ascii="Times New Roman" w:cs="Times New Roman" w:eastAsia="Times New Roman" w:hAnsi="Times New Roman"/>
          <w:sz w:val="14"/>
          <w:szCs w:val="14"/>
          <w:color w:val="auto"/>
        </w:rPr>
      </w:pPr>
    </w:p>
    <w:p>
      <w:pPr>
        <w:ind w:left="1420" w:right="399" w:firstLine="342"/>
        <w:spacing w:after="0" w:line="255" w:lineRule="auto"/>
        <w:tabs>
          <w:tab w:leader="none" w:pos="1945"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mechanics’, workmen’s, carriers’, warehousemen’s, materialmen’s, landlords’, or other similar liens arising in the ordinary course of business with respect to obligations (i) which are not more than 30 days’ past due or are being contested in good faith and by appropriate action or (ii) the nonpayment of which in the aggregate would not reasonably be expected to have a material adverse effect on Fiserv and its subsidiaries taken as a whole;</w:t>
      </w:r>
    </w:p>
    <w:p>
      <w:pPr>
        <w:spacing w:after="0" w:line="143" w:lineRule="exact"/>
        <w:rPr>
          <w:rFonts w:ascii="Times New Roman" w:cs="Times New Roman" w:eastAsia="Times New Roman" w:hAnsi="Times New Roman"/>
          <w:sz w:val="14"/>
          <w:szCs w:val="14"/>
          <w:color w:val="auto"/>
        </w:rPr>
      </w:pPr>
    </w:p>
    <w:p>
      <w:pPr>
        <w:ind w:left="1960" w:hanging="198"/>
        <w:spacing w:after="0"/>
        <w:tabs>
          <w:tab w:leader="none" w:pos="196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for taxes, assessments, fees or governmental charges or levies which (i) are not delinquent, (ii) are payable without material penalty,</w:t>
      </w:r>
    </w:p>
    <w:p>
      <w:pPr>
        <w:spacing w:after="0" w:line="17" w:lineRule="exact"/>
        <w:rPr>
          <w:rFonts w:ascii="Times New Roman" w:cs="Times New Roman" w:eastAsia="Times New Roman" w:hAnsi="Times New Roman"/>
          <w:sz w:val="14"/>
          <w:szCs w:val="14"/>
          <w:color w:val="auto"/>
        </w:rPr>
      </w:pPr>
    </w:p>
    <w:p>
      <w:pPr>
        <w:ind w:left="1420" w:right="459" w:firstLine="5"/>
        <w:spacing w:after="0" w:line="253" w:lineRule="auto"/>
        <w:tabs>
          <w:tab w:leader="none" w:pos="1661"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being contested in good faith and by appropriate action or (iv) the nonpayment of which in the aggregate would not reasonably be expected to have a material adverse effect on Fiserv and its subsidiaries taken as a whole;</w:t>
      </w:r>
    </w:p>
    <w:p>
      <w:pPr>
        <w:spacing w:after="0" w:line="143" w:lineRule="exact"/>
        <w:rPr>
          <w:rFonts w:ascii="Times New Roman" w:cs="Times New Roman" w:eastAsia="Times New Roman" w:hAnsi="Times New Roman"/>
          <w:sz w:val="14"/>
          <w:szCs w:val="14"/>
          <w:color w:val="auto"/>
        </w:rPr>
      </w:pPr>
    </w:p>
    <w:p>
      <w:pPr>
        <w:ind w:left="1420" w:right="339" w:firstLine="342"/>
        <w:spacing w:after="0" w:line="289" w:lineRule="auto"/>
        <w:tabs>
          <w:tab w:leader="none" w:pos="1945" w:val="left"/>
        </w:tabs>
        <w:numPr>
          <w:ilvl w:val="1"/>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liens consisting of attachments, judgments or awards against Fiserv or any subsidiary with respect to which an appeal or proceeding for review shall be pending or a stay of execution shall have been obtained, or which are otherwise being contested in good faith and by appropriate action, and in respect of which adequate reserves shall have been established in accordance with GAAP on the books of Fiserv or any of its subsidiaries;</w:t>
      </w:r>
    </w:p>
    <w:p>
      <w:pPr>
        <w:spacing w:after="0" w:line="121" w:lineRule="exact"/>
        <w:rPr>
          <w:rFonts w:ascii="Times New Roman" w:cs="Times New Roman" w:eastAsia="Times New Roman" w:hAnsi="Times New Roman"/>
          <w:sz w:val="13"/>
          <w:szCs w:val="13"/>
          <w:color w:val="auto"/>
        </w:rPr>
      </w:pPr>
    </w:p>
    <w:p>
      <w:pPr>
        <w:ind w:left="1420" w:right="459" w:firstLine="342"/>
        <w:spacing w:after="0" w:line="259" w:lineRule="auto"/>
        <w:tabs>
          <w:tab w:leader="none" w:pos="193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easements, rights of way, restrictions, leases of property to others, easements for installations of public utilities, title imperfections and restrictions, zoning ordinances and other similar encumbrances affecting property which in the aggregate do not materially impair the operation of the business of Fiserv and its subsidiaries taken as a whole;</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S-24</w:t>
      </w:r>
    </w:p>
    <w:p>
      <w:pPr>
        <w:sectPr>
          <w:pgSz w:w="11900" w:h="16838" w:orient="portrait"/>
          <w:cols w:equalWidth="0" w:num="1">
            <w:col w:w="10159"/>
          </w:cols>
          <w:pgMar w:left="300" w:top="381"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519" w:firstLine="342"/>
        <w:spacing w:after="0" w:line="273" w:lineRule="auto"/>
        <w:tabs>
          <w:tab w:leader="none" w:pos="1953"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existing on the date of the corresponding supplemental indenture and securing indebtedness or other obligations of Fiserv or any of its subsidiaries;</w:t>
      </w:r>
    </w:p>
    <w:p>
      <w:pPr>
        <w:spacing w:after="0" w:line="130" w:lineRule="exact"/>
        <w:rPr>
          <w:rFonts w:ascii="Times New Roman" w:cs="Times New Roman" w:eastAsia="Times New Roman" w:hAnsi="Times New Roman"/>
          <w:sz w:val="14"/>
          <w:szCs w:val="14"/>
          <w:color w:val="auto"/>
        </w:rPr>
      </w:pPr>
    </w:p>
    <w:p>
      <w:pPr>
        <w:ind w:left="1960" w:hanging="198"/>
        <w:spacing w:after="0"/>
        <w:tabs>
          <w:tab w:leader="none" w:pos="19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statutory liens in favor of lessors arising in connection with property leased to Fiserv or any of its subsidiaries;</w:t>
      </w:r>
    </w:p>
    <w:p>
      <w:pPr>
        <w:spacing w:after="0" w:line="169" w:lineRule="exact"/>
        <w:rPr>
          <w:rFonts w:ascii="Times New Roman" w:cs="Times New Roman" w:eastAsia="Times New Roman" w:hAnsi="Times New Roman"/>
          <w:sz w:val="14"/>
          <w:szCs w:val="14"/>
          <w:color w:val="auto"/>
        </w:rPr>
      </w:pPr>
    </w:p>
    <w:p>
      <w:pPr>
        <w:ind w:left="1420" w:right="519" w:firstLine="342"/>
        <w:spacing w:after="0" w:line="273" w:lineRule="auto"/>
        <w:tabs>
          <w:tab w:leader="none" w:pos="192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margin stock to the extent that a prohibition on such liens pursuant to this provision would violate Regulation U of the U.S. Federal Reserve Board, as amended;</w:t>
      </w:r>
    </w:p>
    <w:p>
      <w:pPr>
        <w:spacing w:after="0" w:line="130" w:lineRule="exact"/>
        <w:rPr>
          <w:rFonts w:ascii="Times New Roman" w:cs="Times New Roman" w:eastAsia="Times New Roman" w:hAnsi="Times New Roman"/>
          <w:sz w:val="14"/>
          <w:szCs w:val="14"/>
          <w:color w:val="auto"/>
        </w:rPr>
      </w:pPr>
    </w:p>
    <w:p>
      <w:pPr>
        <w:ind w:left="1420" w:right="319" w:firstLine="342"/>
        <w:spacing w:after="0" w:line="253" w:lineRule="auto"/>
        <w:tabs>
          <w:tab w:leader="none" w:pos="192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property hereafter acquired by Fiserv or any of its subsidiaries created within 365 days of such acquisition (or in the case of real property, completion of construction including any improvements or the commencement of operation of the property, whichever occurs later) to secure or provide for the payment or financing of all or any part of the purchase price or construction thereof; provided that the lien secured thereby shall attach only to the property so acquired or constructed and related assets (except that individual financings by one person (or an affiliate thereof) may be cross-collateralized to other financings provided by such person and its affiliates that are permitted by this clause (j));</w:t>
      </w:r>
    </w:p>
    <w:p>
      <w:pPr>
        <w:spacing w:after="0" w:line="144" w:lineRule="exact"/>
        <w:rPr>
          <w:rFonts w:ascii="Times New Roman" w:cs="Times New Roman" w:eastAsia="Times New Roman" w:hAnsi="Times New Roman"/>
          <w:sz w:val="14"/>
          <w:szCs w:val="14"/>
          <w:color w:val="auto"/>
        </w:rPr>
      </w:pPr>
    </w:p>
    <w:p>
      <w:pPr>
        <w:ind w:left="1960" w:hanging="198"/>
        <w:spacing w:after="0"/>
        <w:tabs>
          <w:tab w:leader="none" w:pos="19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in respect of financing leases and permitted sale-leaseback transactions;</w:t>
      </w:r>
    </w:p>
    <w:p>
      <w:pPr>
        <w:spacing w:after="0" w:line="169" w:lineRule="exact"/>
        <w:rPr>
          <w:rFonts w:ascii="Times New Roman" w:cs="Times New Roman" w:eastAsia="Times New Roman" w:hAnsi="Times New Roman"/>
          <w:sz w:val="14"/>
          <w:szCs w:val="14"/>
          <w:color w:val="auto"/>
        </w:rPr>
      </w:pPr>
    </w:p>
    <w:p>
      <w:pPr>
        <w:ind w:left="1420" w:right="339" w:firstLine="342"/>
        <w:spacing w:after="0" w:line="251" w:lineRule="auto"/>
        <w:tabs>
          <w:tab w:leader="none" w:pos="192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liens on the property of a person that becomes a subsidiary of Fiserv after the date hereof; provided that (A) such liens existed at the time such person becomes a subsidiary of Fiserv and were not created in anticipation thereof, (B) any such liens are not extended to any property of Fiserv or of any of its subsidiaries, other than the property or assets of such subsidiary, and (ii) liens on the proceeds of indebtedness incurred to finance an acquisition, investment or refinancing pursuant to customary escrow or similar arrangements to the extent such proceeds (A) secure such indebtedness or are otherwise restricted in favor of the holders of such indebtedness and (B) will be required to repay such indebtedness if such acquisition, investment or refinancing is not consummated;</w:t>
      </w:r>
    </w:p>
    <w:p>
      <w:pPr>
        <w:spacing w:after="0" w:line="148" w:lineRule="exact"/>
        <w:rPr>
          <w:rFonts w:ascii="Times New Roman" w:cs="Times New Roman" w:eastAsia="Times New Roman" w:hAnsi="Times New Roman"/>
          <w:sz w:val="14"/>
          <w:szCs w:val="14"/>
          <w:color w:val="auto"/>
        </w:rPr>
      </w:pPr>
    </w:p>
    <w:p>
      <w:pPr>
        <w:ind w:left="2000" w:hanging="238"/>
        <w:spacing w:after="0"/>
        <w:tabs>
          <w:tab w:leader="none" w:pos="20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property existing at the time of acquisition thereof and not created in contemplation thereof;</w:t>
      </w:r>
    </w:p>
    <w:p>
      <w:pPr>
        <w:spacing w:after="0" w:line="169" w:lineRule="exact"/>
        <w:rPr>
          <w:rFonts w:ascii="Times New Roman" w:cs="Times New Roman" w:eastAsia="Times New Roman" w:hAnsi="Times New Roman"/>
          <w:sz w:val="14"/>
          <w:szCs w:val="14"/>
          <w:color w:val="auto"/>
        </w:rPr>
      </w:pPr>
    </w:p>
    <w:p>
      <w:pPr>
        <w:ind w:left="1420" w:right="319" w:firstLine="342"/>
        <w:spacing w:after="0" w:line="259" w:lineRule="auto"/>
        <w:tabs>
          <w:tab w:leader="none" w:pos="1953"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 of a collecting bank arising under Section 4-208 of the Uniform Commercial Code on the items in the course of collection, (ii) in favor of a banking institution arising as a matter of law encumbering deposits (including the right of set off) and which are within the general parameters customary in the banking industry and (iii) liens on assets in order to secure defeased and/or discharged indebtedness;</w:t>
      </w:r>
    </w:p>
    <w:p>
      <w:pPr>
        <w:spacing w:after="0" w:line="140" w:lineRule="exact"/>
        <w:rPr>
          <w:rFonts w:ascii="Times New Roman" w:cs="Times New Roman" w:eastAsia="Times New Roman" w:hAnsi="Times New Roman"/>
          <w:sz w:val="14"/>
          <w:szCs w:val="14"/>
          <w:color w:val="auto"/>
        </w:rPr>
      </w:pPr>
    </w:p>
    <w:p>
      <w:pPr>
        <w:ind w:left="1960" w:hanging="198"/>
        <w:spacing w:after="0"/>
        <w:tabs>
          <w:tab w:leader="none" w:pos="19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securing securitized indebtedness and receivables factoring, discounting, facilities or securitizations;</w:t>
      </w:r>
    </w:p>
    <w:p>
      <w:pPr>
        <w:spacing w:after="0" w:line="169" w:lineRule="exact"/>
        <w:rPr>
          <w:rFonts w:ascii="Times New Roman" w:cs="Times New Roman" w:eastAsia="Times New Roman" w:hAnsi="Times New Roman"/>
          <w:sz w:val="14"/>
          <w:szCs w:val="14"/>
          <w:color w:val="auto"/>
        </w:rPr>
      </w:pPr>
    </w:p>
    <w:p>
      <w:pPr>
        <w:ind w:left="1420" w:right="359" w:firstLine="342"/>
        <w:spacing w:after="0" w:line="251" w:lineRule="auto"/>
        <w:tabs>
          <w:tab w:leader="none" w:pos="1953"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extension, renewal, refinancing, substitution or replacement (or successive extensions, renewals, refinancings, substitutions or replacements), as a whole or in part, of any of the liens referred to in paragraphs (g), (j), (l), (m) and (u) of this covenant to the extent that the principal amount secured by such lien at such time is not increased (other than increases related to required premiums, accrued interest and reasonable fees and expenses in connection with such extensions, renewals, refinancings, substitutions or replacements); provided that such extension, renewal, refinancing, substitution or replacement lien shall be limited to all or any part of substantially the same property or assets that secured the lien extended, renewed, refinanced, substituted or replaced (plus improvements on such property and proceeds thereof);</w:t>
      </w:r>
    </w:p>
    <w:p>
      <w:pPr>
        <w:spacing w:after="0" w:line="148" w:lineRule="exact"/>
        <w:rPr>
          <w:rFonts w:ascii="Times New Roman" w:cs="Times New Roman" w:eastAsia="Times New Roman" w:hAnsi="Times New Roman"/>
          <w:sz w:val="14"/>
          <w:szCs w:val="14"/>
          <w:color w:val="auto"/>
        </w:rPr>
      </w:pPr>
    </w:p>
    <w:p>
      <w:pPr>
        <w:ind w:left="1960" w:hanging="198"/>
        <w:spacing w:after="0"/>
        <w:tabs>
          <w:tab w:leader="none" w:pos="19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proceeds of any of the assets permitted to be the subject of any lien or assignment permitted by this covenant;</w:t>
      </w:r>
    </w:p>
    <w:p>
      <w:pPr>
        <w:spacing w:after="0" w:line="169" w:lineRule="exact"/>
        <w:rPr>
          <w:rFonts w:ascii="Times New Roman" w:cs="Times New Roman" w:eastAsia="Times New Roman" w:hAnsi="Times New Roman"/>
          <w:sz w:val="14"/>
          <w:szCs w:val="14"/>
          <w:color w:val="auto"/>
        </w:rPr>
      </w:pPr>
    </w:p>
    <w:p>
      <w:pPr>
        <w:ind w:left="1420" w:right="359" w:firstLine="342"/>
        <w:spacing w:after="0" w:line="259" w:lineRule="auto"/>
        <w:tabs>
          <w:tab w:leader="none" w:pos="193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upon specific items of inventory or other goods of any person securing such person’s obligation in respect of banker’s acceptances issued or created in the ordinary course of business for the account of such person to facilitate the purchase, shipment, or storage of such inventory or other goods;</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S-25</w:t>
      </w:r>
    </w:p>
    <w:p>
      <w:pPr>
        <w:sectPr>
          <w:pgSz w:w="11900" w:h="16838" w:orient="portrait"/>
          <w:cols w:equalWidth="0" w:num="1">
            <w:col w:w="10159"/>
          </w:cols>
          <w:pgMar w:left="300" w:top="381"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359" w:firstLine="342"/>
        <w:spacing w:after="0" w:line="249" w:lineRule="auto"/>
        <w:tabs>
          <w:tab w:leader="none" w:pos="193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 that are contractual rights of set-off (A) relating to the establishment of depository relations with banks not given in connection with the issuance of debt, (B) relating to our pooled deposit or sweep accounts to permit satisfaction of overdraft or similar obligations and other cash management activities incurred in the ordinary course of business or (C) relating to purchase orders and other agreements entered into with our customers in the ordinary course of business and (ii) (W) of a collection bank arising under Section 4-210 of the Uniform Commercial Code on items in the course of collection, (X) encumbering reasonable customary initial deposits and margin deposits and attaching to commodity trading accounts or other brokerage accounts incurred in the ordinary course of business, (Y) in favor of banking institutions arising as a matter of law or pursuant to customary account agreements encumbering deposits (including the right of set-off) and which are within the general parameters customary in the banking industry, and (Z) of financial institutions funding the vault cash or other arrangements, pursuant to which various financial institutions fund the cash requirements of automated teller machines and cash access facilities operated by us or our subsidiaries at customer locations (the “Vault Cash Operations”), in the cash provided by such institutions for such Vault Cash Operations;</w:t>
      </w:r>
    </w:p>
    <w:p>
      <w:pPr>
        <w:spacing w:after="0" w:line="149" w:lineRule="exact"/>
        <w:rPr>
          <w:rFonts w:ascii="Times New Roman" w:cs="Times New Roman" w:eastAsia="Times New Roman" w:hAnsi="Times New Roman"/>
          <w:sz w:val="14"/>
          <w:szCs w:val="14"/>
          <w:color w:val="auto"/>
        </w:rPr>
      </w:pPr>
    </w:p>
    <w:p>
      <w:pPr>
        <w:ind w:left="1920" w:hanging="158"/>
        <w:spacing w:after="0"/>
        <w:tabs>
          <w:tab w:leader="none" w:pos="19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pursuant to the terms and conditions of any contracts between us or any subsidiary and the U.S. government; and</w:t>
      </w:r>
    </w:p>
    <w:p>
      <w:pPr>
        <w:spacing w:after="0" w:line="165" w:lineRule="exact"/>
        <w:rPr>
          <w:rFonts w:ascii="Times New Roman" w:cs="Times New Roman" w:eastAsia="Times New Roman" w:hAnsi="Times New Roman"/>
          <w:sz w:val="14"/>
          <w:szCs w:val="14"/>
          <w:color w:val="auto"/>
        </w:rPr>
      </w:pPr>
    </w:p>
    <w:p>
      <w:pPr>
        <w:ind w:left="1420" w:right="359" w:firstLine="342"/>
        <w:spacing w:after="0" w:line="276" w:lineRule="auto"/>
        <w:tabs>
          <w:tab w:leader="none" w:pos="1953"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other liens;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without duplication, the aggregate sum of all obligations and indebtedness secured by liens incurred pursuant to this clause (u), together with the aggregate principal amount secured by liens incurred pursuant to clause (p) that extend, renew, refinance, substitute for or replace liens incurred under this clause (u) and the aggregate attributable value of any property involved in a sale-leaseback transaction that is permitted to be incurred solely because it falls under the Applicable Threshold described in the proviso contained in the definition of “permitted sale-leaseback transactions,” would not exceed the greater of (i) $4.0 billion and (ii) 15.0% of net worth as determined at the time of, and immediately after giving effect to, the incurrence of such lien based on the balance sheet for the end of the most recent quarter for which financial statements are available.</w:t>
      </w:r>
    </w:p>
    <w:p>
      <w:pPr>
        <w:spacing w:after="0" w:line="131" w:lineRule="exact"/>
        <w:rPr>
          <w:sz w:val="20"/>
          <w:szCs w:val="20"/>
          <w:color w:val="auto"/>
        </w:rPr>
      </w:pPr>
    </w:p>
    <w:p>
      <w:pPr>
        <w:ind w:left="1420" w:right="399" w:firstLine="337"/>
        <w:spacing w:after="0" w:line="259" w:lineRule="auto"/>
        <w:rPr>
          <w:sz w:val="20"/>
          <w:szCs w:val="20"/>
          <w:color w:val="auto"/>
        </w:rPr>
      </w:pPr>
      <w:r>
        <w:rPr>
          <w:rFonts w:ascii="Times New Roman" w:cs="Times New Roman" w:eastAsia="Times New Roman" w:hAnsi="Times New Roman"/>
          <w:sz w:val="14"/>
          <w:szCs w:val="14"/>
          <w:color w:val="auto"/>
        </w:rPr>
        <w:t>Any lien created for the benefit of the holders of the notes pursuant to the preceding paragraph shall provide by its terms that such lien shall be automatically and unconditionally released and discharged upon the release and discharge of the lien giving rise to the obligation to equally and ratably secure the notes.</w:t>
      </w:r>
    </w:p>
    <w:p>
      <w:pPr>
        <w:spacing w:after="0" w:line="2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Limitations on Sale-Leaseback Transactions</w:t>
      </w:r>
    </w:p>
    <w:p>
      <w:pPr>
        <w:spacing w:after="0" w:line="91" w:lineRule="exact"/>
        <w:rPr>
          <w:sz w:val="20"/>
          <w:szCs w:val="20"/>
          <w:color w:val="auto"/>
        </w:rPr>
      </w:pPr>
    </w:p>
    <w:p>
      <w:pPr>
        <w:ind w:left="1420" w:right="759" w:firstLine="337"/>
        <w:spacing w:after="0" w:line="259" w:lineRule="auto"/>
        <w:rPr>
          <w:sz w:val="20"/>
          <w:szCs w:val="20"/>
          <w:color w:val="auto"/>
        </w:rPr>
      </w:pPr>
      <w:r>
        <w:rPr>
          <w:rFonts w:ascii="Times New Roman" w:cs="Times New Roman" w:eastAsia="Times New Roman" w:hAnsi="Times New Roman"/>
          <w:sz w:val="14"/>
          <w:szCs w:val="14"/>
          <w:color w:val="auto"/>
        </w:rPr>
        <w:t>Neither we nor any of our restricted subsidiaries may sell or transfer to any person other than Fiserv or any of its subsidiaries any principal property owned by us or any of our restricted subsidiaries with the intention of taking back a lease thereof, other than permitted sale-leaseback transactions.</w:t>
      </w:r>
    </w:p>
    <w:p>
      <w:pPr>
        <w:spacing w:after="0" w:line="141" w:lineRule="exact"/>
        <w:rPr>
          <w:sz w:val="20"/>
          <w:szCs w:val="20"/>
          <w:color w:val="auto"/>
        </w:rPr>
      </w:pPr>
    </w:p>
    <w:p>
      <w:pPr>
        <w:ind w:left="1420" w:right="399" w:firstLine="337"/>
        <w:spacing w:after="0" w:line="312" w:lineRule="auto"/>
        <w:rPr>
          <w:sz w:val="20"/>
          <w:szCs w:val="20"/>
          <w:color w:val="auto"/>
        </w:rPr>
      </w:pPr>
      <w:r>
        <w:rPr>
          <w:rFonts w:ascii="Times New Roman" w:cs="Times New Roman" w:eastAsia="Times New Roman" w:hAnsi="Times New Roman"/>
          <w:sz w:val="13"/>
          <w:szCs w:val="13"/>
          <w:color w:val="auto"/>
        </w:rPr>
        <w:t>Our real property, improvements and fixtures are not subject to the limitations on sale-leaseback transactions described above. As of March 31, 2026, our real property, improvements and fixtures had a net book value of approximately $3.2 billion, some of which were subject to financing leases.</w:t>
      </w:r>
    </w:p>
    <w:p>
      <w:pPr>
        <w:spacing w:after="0" w:line="18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Definitions</w:t>
      </w:r>
    </w:p>
    <w:p>
      <w:pPr>
        <w:spacing w:after="0" w:line="91" w:lineRule="exact"/>
        <w:rPr>
          <w:sz w:val="20"/>
          <w:szCs w:val="20"/>
          <w:color w:val="auto"/>
        </w:rPr>
      </w:pPr>
    </w:p>
    <w:p>
      <w:pPr>
        <w:ind w:left="1420" w:right="659" w:firstLine="337"/>
        <w:spacing w:after="0" w:line="273" w:lineRule="auto"/>
        <w:rPr>
          <w:sz w:val="20"/>
          <w:szCs w:val="20"/>
          <w:color w:val="auto"/>
        </w:rPr>
      </w:pPr>
      <w:r>
        <w:rPr>
          <w:rFonts w:ascii="Times New Roman" w:cs="Times New Roman" w:eastAsia="Times New Roman" w:hAnsi="Times New Roman"/>
          <w:sz w:val="14"/>
          <w:szCs w:val="14"/>
          <w:color w:val="auto"/>
        </w:rPr>
        <w:t>Set forth below is a summary of certain of the defined terms used in the foregoing provisions. Reference is made to the indenture for the full definition of all such terms, as well as any other terms used above for which no definition is provided.</w:t>
      </w:r>
    </w:p>
    <w:p>
      <w:pPr>
        <w:spacing w:after="0" w:line="130" w:lineRule="exact"/>
        <w:rPr>
          <w:sz w:val="20"/>
          <w:szCs w:val="20"/>
          <w:color w:val="auto"/>
        </w:rPr>
      </w:pPr>
    </w:p>
    <w:p>
      <w:pPr>
        <w:ind w:left="1420" w:right="339" w:firstLine="337"/>
        <w:spacing w:after="0" w:line="253" w:lineRule="auto"/>
        <w:rPr>
          <w:sz w:val="20"/>
          <w:szCs w:val="20"/>
          <w:color w:val="auto"/>
        </w:rPr>
      </w:pPr>
      <w:r>
        <w:rPr>
          <w:rFonts w:ascii="Times New Roman" w:cs="Times New Roman" w:eastAsia="Times New Roman" w:hAnsi="Times New Roman"/>
          <w:sz w:val="14"/>
          <w:szCs w:val="14"/>
          <w:color w:val="auto"/>
        </w:rPr>
        <w:t>The term “attributable value” means, in respect of any sale-leaseback transaction, the lesser of (a) the sale price of the principal property involved in such transaction multiplied by a fraction the numerator of which is the remaining portion of the base term of the lease included in such sale-leaseback transaction and the denominator of which is the base term of such lease and (b) the present value (discounted at the rate of interest implicit in such transaction) of the total obligations of the lessee for rental payments during the remaining term of the lease involved in such transaction (including any period for which the lease has been extended).</w:t>
      </w:r>
    </w:p>
    <w:p>
      <w:pPr>
        <w:spacing w:after="0" w:line="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S-26</w:t>
      </w:r>
    </w:p>
    <w:p>
      <w:pPr>
        <w:sectPr>
          <w:pgSz w:w="11900" w:h="16838" w:orient="portrait"/>
          <w:cols w:equalWidth="0" w:num="1">
            <w:col w:w="10159"/>
          </w:cols>
          <w:pgMar w:left="300" w:top="381"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The term “GAAP” means generally accepted accounting principles in the United States.</w:t>
      </w:r>
    </w:p>
    <w:p>
      <w:pPr>
        <w:spacing w:after="0" w:line="170" w:lineRule="exact"/>
        <w:rPr>
          <w:sz w:val="20"/>
          <w:szCs w:val="20"/>
          <w:color w:val="auto"/>
        </w:rPr>
      </w:pPr>
    </w:p>
    <w:p>
      <w:pPr>
        <w:ind w:left="1420" w:right="319" w:firstLine="337"/>
        <w:spacing w:after="0" w:line="249" w:lineRule="auto"/>
        <w:rPr>
          <w:sz w:val="20"/>
          <w:szCs w:val="20"/>
          <w:color w:val="auto"/>
        </w:rPr>
      </w:pPr>
      <w:r>
        <w:rPr>
          <w:rFonts w:ascii="Times New Roman" w:cs="Times New Roman" w:eastAsia="Times New Roman" w:hAnsi="Times New Roman"/>
          <w:sz w:val="14"/>
          <w:szCs w:val="14"/>
          <w:color w:val="auto"/>
        </w:rPr>
        <w:t xml:space="preserve">The term “indebtedness” means, with respect to any person (a) all indebtedness for borrowed money, (b) all obligations of such person evidenced by notes, bonds, debentures or similar instruments and (c) all indebtedness of any other person of the foregoing types to the extent guaranteed by such person, but only, for each of clauses (a) through (c), if and to the extent any of the foregoing indebtedness would appear as a liability upon an unconsolidated balance sheet of such person prepared in accordance with GAAP (but not including contingent liabilities which appear only in a footnote to a balance sheet);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notwithstanding anything to the contrary contained herein, for purposes of this definition, “indebtedness” shall not include (1) any intercompany indebtedness between or among Fiserv and its subsidiaries, (2) any indebtedness that has been defeased and/or discharged if funds in an amount equal to all such indebtedness (including interest and any other amounts required to be paid to the holders thereof in order to give effect to such defeasance) have been irrevocably deposited with a trustee, paying agent or other similar Person for the benefit of the relevant holders of such indebtedness or (3) interest, fees, make-whole amounts, premium, charges or expenses, if any, relating to the principal amount of indebtedness.</w:t>
      </w:r>
    </w:p>
    <w:p>
      <w:pPr>
        <w:spacing w:after="0" w:line="150" w:lineRule="exact"/>
        <w:rPr>
          <w:sz w:val="20"/>
          <w:szCs w:val="20"/>
          <w:color w:val="auto"/>
        </w:rPr>
      </w:pPr>
    </w:p>
    <w:p>
      <w:pPr>
        <w:ind w:left="1420" w:right="359" w:firstLine="337"/>
        <w:spacing w:after="0" w:line="251" w:lineRule="auto"/>
        <w:rPr>
          <w:sz w:val="20"/>
          <w:szCs w:val="20"/>
          <w:color w:val="auto"/>
        </w:rPr>
      </w:pPr>
      <w:r>
        <w:rPr>
          <w:rFonts w:ascii="Times New Roman" w:cs="Times New Roman" w:eastAsia="Times New Roman" w:hAnsi="Times New Roman"/>
          <w:sz w:val="14"/>
          <w:szCs w:val="14"/>
          <w:color w:val="auto"/>
        </w:rPr>
        <w:t xml:space="preserve">The term “net worth” means, at any date, the sum of all amounts that would be included under shareholders’ equity on a consolidated balance sheet of Fiserv and its subsidiaries determined in accordance with GAAP on such date or, in the event such date is not a fiscal quarter end, as of the immediately preceding fiscal quarter end;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for purposes of calculating shareholders’ equity, any accumulated other comprehensive income or loss, in each case as reflected on such consolidated balance sheet of Fiserv and its subsidiaries determined in accordance with GAAP, shall be excluded; provided, further, that “net worth” shall be adjusted to give effect to each acquisition and disposition of assets other than in the ordinary course of business (including by way of merger) that has occurred on or prior to the date on which net worth is being calculated but after the immediately preceding quarter end as if such acquisition or disposition had occurred on the date of such immediately preceding quarter end.</w:t>
      </w:r>
    </w:p>
    <w:p>
      <w:pPr>
        <w:spacing w:after="0" w:line="145" w:lineRule="exact"/>
        <w:rPr>
          <w:sz w:val="20"/>
          <w:szCs w:val="20"/>
          <w:color w:val="auto"/>
        </w:rPr>
      </w:pPr>
    </w:p>
    <w:p>
      <w:pPr>
        <w:ind w:left="1420" w:right="319" w:firstLine="337"/>
        <w:spacing w:after="0" w:line="248" w:lineRule="auto"/>
        <w:rPr>
          <w:sz w:val="20"/>
          <w:szCs w:val="20"/>
          <w:color w:val="auto"/>
        </w:rPr>
      </w:pPr>
      <w:r>
        <w:rPr>
          <w:rFonts w:ascii="Times New Roman" w:cs="Times New Roman" w:eastAsia="Times New Roman" w:hAnsi="Times New Roman"/>
          <w:sz w:val="14"/>
          <w:szCs w:val="14"/>
          <w:color w:val="auto"/>
        </w:rPr>
        <w:t xml:space="preserve">The term “permitted sale-leaseback transaction” means any sale or transfer by us or any of our restricted subsidiaries of any principal property owned by us or any of our restricted subsidiaries with the intention of taking back a lease thereof;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“permitted sale-leaseback transactions” shall not include any such transaction involving machinery and/or equipment (excluding any lease for a temporary period of not more than thirty-six months with the intent that the use of the subject machinery and/or equipment will be discontinued at or before the expiration of such period) relating to facilities (a) in full operation for more than 180 days as of the date of the corresponding supplemental indenture and (b) that are material to the business of Fiserv and its subsidiaries taken as a whole, to the extent that the aggregate attributable value of the machinery and/or equipment from time to time involved in such transactions (giving effect to payment in full under any such transaction and excluding the Applied Amounts, as defined in the following sentence), plus the amount of obligations and indebtedness from time to time secured by liens incurred under clause (u) of the covenant described under “—Limitations on Liens” above, exceeds the greater of (i) $4.0 billion and (ii) 15.0% of net worth as determined at the time of, and immediately after giving effect to, the incurrence of such transactions based on the balance sheet for the end of the most recent quarter for which financial statements are available (such greater amount, the “Applicable Threshold”). For purposes of this definition, “Applied Amounts” means an amount (which may be conclusively determined by the board of directors of Fiserv) equal to the greater of (i) capitalized rent with respect to the applicable machinery and/or equipment and (ii) the fair value of the applicable machinery and/or equipment, that is applied within 180 days of the applicable transaction or transactions to repayment of the notes or to the repayment of any indebtedness for borrowed money which, in accordance with GAAP, is classified as long-term debt and that is on parity with the notes.</w:t>
      </w:r>
    </w:p>
    <w:p>
      <w:pPr>
        <w:spacing w:after="0" w:line="152" w:lineRule="exact"/>
        <w:rPr>
          <w:sz w:val="20"/>
          <w:szCs w:val="20"/>
          <w:color w:val="auto"/>
        </w:rPr>
      </w:pPr>
    </w:p>
    <w:p>
      <w:pPr>
        <w:jc w:val="both"/>
        <w:ind w:left="1420" w:right="519" w:firstLine="337"/>
        <w:spacing w:after="0" w:line="289" w:lineRule="auto"/>
        <w:rPr>
          <w:sz w:val="20"/>
          <w:szCs w:val="20"/>
          <w:color w:val="auto"/>
        </w:rPr>
      </w:pPr>
      <w:r>
        <w:rPr>
          <w:rFonts w:ascii="Times New Roman" w:cs="Times New Roman" w:eastAsia="Times New Roman" w:hAnsi="Times New Roman"/>
          <w:sz w:val="13"/>
          <w:szCs w:val="13"/>
          <w:color w:val="auto"/>
        </w:rPr>
        <w:t>The term “principal property” means the real property, fixtures, machinery and equipment relating to any facility that is real property located within the territorial limits of the United States of America (excluding its territories and possessions and Puerto Rico) owned by us or any restricted subsidiary, except for any facility that (i) has a net book value, on the date the determination of whether such property is a principal property is being</w:t>
      </w:r>
    </w:p>
    <w:p>
      <w:pPr>
        <w:spacing w:after="0" w:line="7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S-27</w:t>
      </w:r>
    </w:p>
    <w:p>
      <w:pPr>
        <w:sectPr>
          <w:pgSz w:w="11900" w:h="16838" w:orient="portrait"/>
          <w:cols w:equalWidth="0" w:num="1">
            <w:col w:w="10159"/>
          </w:cols>
          <w:pgMar w:left="300" w:top="381"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359"/>
        <w:spacing w:after="0" w:line="259" w:lineRule="auto"/>
        <w:rPr>
          <w:sz w:val="20"/>
          <w:szCs w:val="20"/>
          <w:color w:val="auto"/>
        </w:rPr>
      </w:pPr>
      <w:r>
        <w:rPr>
          <w:rFonts w:ascii="Times New Roman" w:cs="Times New Roman" w:eastAsia="Times New Roman" w:hAnsi="Times New Roman"/>
          <w:sz w:val="14"/>
          <w:szCs w:val="14"/>
          <w:color w:val="auto"/>
        </w:rPr>
        <w:t>made for purposes of the covenants set forth under “—Limitations on Liens” and “—Limitations on Sale-Leaseback Transactions”, of less than 2% of our net worth or (ii) in the opinion of our board of directors, is not of material importance to the business conducted by us and our subsidiaries, taken as a whole.</w:t>
      </w:r>
    </w:p>
    <w:p>
      <w:pPr>
        <w:spacing w:after="0" w:line="141" w:lineRule="exact"/>
        <w:rPr>
          <w:sz w:val="20"/>
          <w:szCs w:val="20"/>
          <w:color w:val="auto"/>
        </w:rPr>
      </w:pPr>
    </w:p>
    <w:p>
      <w:pPr>
        <w:ind w:left="1420" w:right="779" w:firstLine="337"/>
        <w:spacing w:after="0" w:line="273" w:lineRule="auto"/>
        <w:rPr>
          <w:sz w:val="20"/>
          <w:szCs w:val="20"/>
          <w:color w:val="auto"/>
        </w:rPr>
      </w:pPr>
      <w:r>
        <w:rPr>
          <w:rFonts w:ascii="Times New Roman" w:cs="Times New Roman" w:eastAsia="Times New Roman" w:hAnsi="Times New Roman"/>
          <w:sz w:val="14"/>
          <w:szCs w:val="14"/>
          <w:color w:val="auto"/>
        </w:rPr>
        <w:t>The term “property” means, with respect to any person, all types of real, personal or mixed property and all types of tangible or intangible property owned or leased by such person.</w:t>
      </w:r>
    </w:p>
    <w:p>
      <w:pPr>
        <w:spacing w:after="0" w:line="130" w:lineRule="exact"/>
        <w:rPr>
          <w:sz w:val="20"/>
          <w:szCs w:val="20"/>
          <w:color w:val="auto"/>
        </w:rPr>
      </w:pPr>
    </w:p>
    <w:p>
      <w:pPr>
        <w:ind w:left="1420" w:right="319" w:firstLine="337"/>
        <w:spacing w:after="0" w:line="253" w:lineRule="auto"/>
        <w:rPr>
          <w:sz w:val="20"/>
          <w:szCs w:val="20"/>
          <w:color w:val="auto"/>
        </w:rPr>
      </w:pPr>
      <w:r>
        <w:rPr>
          <w:rFonts w:ascii="Times New Roman" w:cs="Times New Roman" w:eastAsia="Times New Roman" w:hAnsi="Times New Roman"/>
          <w:sz w:val="14"/>
          <w:szCs w:val="14"/>
          <w:color w:val="auto"/>
        </w:rPr>
        <w:t>The term “restricted subsidiary” means any subsidiary of ours that constitutes a “significant subsidiary” (as such term is defined in Regulation S-X, promulgated pursuant to the Securities Act of 1933) and owns a principal property, excluding: (i) Bastogne, Inc. and any bankruptcy-remote, special-purpose entity created in connection with the financing of settlement float with respect to customer funds or otherwise, (ii) any subsidiary which is not organized under the laws of any state of the United States of America; (iii) any subsidiary which conducts the major portion of its business outside the United States of America; and (iv) any subsidiary of any of the foregoing.</w:t>
      </w:r>
    </w:p>
    <w:p>
      <w:pPr>
        <w:spacing w:after="0" w:line="144" w:lineRule="exact"/>
        <w:rPr>
          <w:sz w:val="20"/>
          <w:szCs w:val="20"/>
          <w:color w:val="auto"/>
        </w:rPr>
      </w:pPr>
    </w:p>
    <w:p>
      <w:pPr>
        <w:ind w:left="1420" w:right="519" w:firstLine="337"/>
        <w:spacing w:after="0" w:line="259" w:lineRule="auto"/>
        <w:rPr>
          <w:sz w:val="20"/>
          <w:szCs w:val="20"/>
          <w:color w:val="auto"/>
        </w:rPr>
      </w:pPr>
      <w:r>
        <w:rPr>
          <w:rFonts w:ascii="Times New Roman" w:cs="Times New Roman" w:eastAsia="Times New Roman" w:hAnsi="Times New Roman"/>
          <w:sz w:val="14"/>
          <w:szCs w:val="14"/>
          <w:color w:val="auto"/>
        </w:rPr>
        <w:t>The term “securitized indebtedness” means, with respect to any person as of any date, the reasonably expected liability of such person for the repayment of, or otherwise relating to, all accounts receivable, general intangibles, chattel paper or other financial assets and related rights and assets sold or otherwise transferred by such person, or any subsidiary or affiliate thereof, on or prior to such date.</w:t>
      </w:r>
    </w:p>
    <w:p>
      <w:pPr>
        <w:spacing w:after="0" w:line="141" w:lineRule="exact"/>
        <w:rPr>
          <w:sz w:val="20"/>
          <w:szCs w:val="20"/>
          <w:color w:val="auto"/>
        </w:rPr>
      </w:pPr>
    </w:p>
    <w:p>
      <w:pPr>
        <w:ind w:left="1420" w:right="299" w:firstLine="337"/>
        <w:spacing w:after="0" w:line="249" w:lineRule="auto"/>
        <w:rPr>
          <w:sz w:val="20"/>
          <w:szCs w:val="20"/>
          <w:color w:val="auto"/>
        </w:rPr>
      </w:pPr>
      <w:r>
        <w:rPr>
          <w:rFonts w:ascii="Times New Roman" w:cs="Times New Roman" w:eastAsia="Times New Roman" w:hAnsi="Times New Roman"/>
          <w:sz w:val="14"/>
          <w:szCs w:val="14"/>
          <w:color w:val="auto"/>
        </w:rPr>
        <w:t>The term “subsidiary” of any person (the “parent”) means any corporation, limited liability company, partnership, association or other entity the accounts of which would be consolidated with those of the parent in the parent’s consolidated financial statements if such financial statements were prepared in accordance with GAAP (excluding any FIN 46 Entity, but only to the extent that the owners of such FIN 46 Entity’s indebtedness have no recourse, directly or indirectly, to such person or any of its subsidiaries for the principal, premium, if any, and interest on such indebtedness) as of such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 by such person. “FIN 46 Entity” means any person the financial condition and results of which, solely due to Accounting Standards Codification 810 or any other Accounting Standards Codification or Financial Accounting Standard having a similar result or effect (as amended, restated, supplemented, replaced or otherwise modified from time to time), such person is required to consolidate in its financial statements. “Controlled” means the possession, directly or indirectly, of the power to direct or cause the direction of the management or policies of a person, whether through the ability to exercise voting power, by contract or otherwise.</w:t>
      </w:r>
    </w:p>
    <w:p>
      <w:pPr>
        <w:spacing w:after="0" w:line="148" w:lineRule="exact"/>
        <w:rPr>
          <w:sz w:val="20"/>
          <w:szCs w:val="20"/>
          <w:color w:val="auto"/>
        </w:rPr>
      </w:pPr>
    </w:p>
    <w:p>
      <w:pPr>
        <w:ind w:left="1420" w:right="299" w:firstLine="337"/>
        <w:spacing w:after="0" w:line="251" w:lineRule="auto"/>
        <w:rPr>
          <w:sz w:val="20"/>
          <w:szCs w:val="20"/>
          <w:color w:val="auto"/>
        </w:rPr>
      </w:pPr>
      <w:r>
        <w:rPr>
          <w:rFonts w:ascii="Times New Roman" w:cs="Times New Roman" w:eastAsia="Times New Roman" w:hAnsi="Times New Roman"/>
          <w:sz w:val="14"/>
          <w:szCs w:val="14"/>
          <w:color w:val="auto"/>
        </w:rPr>
        <w:t>The term “wholly owned subsidiary” of any person means (i) any corporation, association or other business entity of which 100% of the total voting power of shares of capital stock or other equity interests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and (ii) any partnership, limited liability company or similar pass-through entity of which the sole partners, members or other similar persons in corresponding roles, however designated, are such person or one or more of the other subsidiaries of such person (or any combination thereof).</w:t>
      </w:r>
    </w:p>
    <w:p>
      <w:pPr>
        <w:spacing w:after="0" w:line="148" w:lineRule="exact"/>
        <w:rPr>
          <w:sz w:val="20"/>
          <w:szCs w:val="20"/>
          <w:color w:val="auto"/>
        </w:rPr>
      </w:pPr>
    </w:p>
    <w:p>
      <w:pPr>
        <w:ind w:left="1420" w:right="339" w:firstLine="337"/>
        <w:spacing w:after="0" w:line="251" w:lineRule="auto"/>
        <w:rPr>
          <w:sz w:val="20"/>
          <w:szCs w:val="20"/>
          <w:color w:val="auto"/>
        </w:rPr>
      </w:pPr>
      <w:r>
        <w:rPr>
          <w:rFonts w:ascii="Times New Roman" w:cs="Times New Roman" w:eastAsia="Times New Roman" w:hAnsi="Times New Roman"/>
          <w:sz w:val="14"/>
          <w:szCs w:val="14"/>
          <w:color w:val="auto"/>
        </w:rPr>
        <w:t>Except as otherwise expressly provided in the indenture, all accounting terms not otherwise defined in the corresponding supplemental indenture have the meanings assigned to them in accordance with GAAP as in effect on the date of the indenture, but (i) without giving effect to any election under Accounting Standards Codification 825-10-25 (or any other Accounting Standards Codification or Financial Accounting Standard having a similar result or effect) to value any indebtedness or other liabilities of Fiserv or any subsidiary at “fair value,” as defined therein and (ii) without giving effect to any treatment of indebtedness in respect of convertible debt instruments under Accounting Standards Codification 470-20 (or any other Accounting Standards</w:t>
      </w:r>
    </w:p>
    <w:p>
      <w:pPr>
        <w:spacing w:after="0" w:line="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S-28</w:t>
      </w:r>
    </w:p>
    <w:p>
      <w:pPr>
        <w:sectPr>
          <w:pgSz w:w="11900" w:h="16838" w:orient="portrait"/>
          <w:cols w:equalWidth="0" w:num="1">
            <w:col w:w="10159"/>
          </w:cols>
          <w:pgMar w:left="300" w:top="381"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559"/>
        <w:spacing w:after="0" w:line="273" w:lineRule="auto"/>
        <w:rPr>
          <w:sz w:val="20"/>
          <w:szCs w:val="20"/>
          <w:color w:val="auto"/>
        </w:rPr>
      </w:pPr>
      <w:r>
        <w:rPr>
          <w:rFonts w:ascii="Times New Roman" w:cs="Times New Roman" w:eastAsia="Times New Roman" w:hAnsi="Times New Roman"/>
          <w:sz w:val="14"/>
          <w:szCs w:val="14"/>
          <w:color w:val="auto"/>
        </w:rPr>
        <w:t>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20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Payment of Additional Amounts</w:t>
      </w:r>
    </w:p>
    <w:p>
      <w:pPr>
        <w:spacing w:after="0" w:line="91" w:lineRule="exact"/>
        <w:rPr>
          <w:sz w:val="20"/>
          <w:szCs w:val="20"/>
          <w:color w:val="auto"/>
        </w:rPr>
      </w:pPr>
    </w:p>
    <w:p>
      <w:pPr>
        <w:ind w:left="1420" w:right="299" w:firstLine="337"/>
        <w:spacing w:after="0" w:line="250" w:lineRule="auto"/>
        <w:rPr>
          <w:sz w:val="20"/>
          <w:szCs w:val="20"/>
          <w:color w:val="auto"/>
        </w:rPr>
      </w:pPr>
      <w:r>
        <w:rPr>
          <w:rFonts w:ascii="Times New Roman" w:cs="Times New Roman" w:eastAsia="Times New Roman" w:hAnsi="Times New Roman"/>
          <w:sz w:val="14"/>
          <w:szCs w:val="14"/>
          <w:color w:val="auto"/>
        </w:rPr>
        <w:t>If, following a transaction to which the provisions of the indenture described above under “—Merger, Consolidation and Sale of Assets” applies, the surviving entity is organized under the laws of a jurisdiction other than the United States, any state or territory thereof or the District of Columbia, all payments made to each holder or beneficial owner by the surviving person under, or with respect to, the notes will be made free and clear of, and without withholding or deduction for or on account of, any present or future tax, duty, levy, impost, assessment or other governmental charge (including penalties, interest and other liabilities related thereto), which we collectively refer to in this prospectus supplement as the “Taxes,” imposed or levied by or on behalf of the jurisdiction of organization or tax residence of the surviving entity or any political subdivision thereof or taxing authority therein, which we refer to in this prospectus supplement as a “Taxing Jurisdiction,” unless such withholding or deduction is required by law or by the official interpretation or administration thereof.</w:t>
      </w:r>
    </w:p>
    <w:p>
      <w:pPr>
        <w:spacing w:after="0" w:line="148" w:lineRule="exact"/>
        <w:rPr>
          <w:sz w:val="20"/>
          <w:szCs w:val="20"/>
          <w:color w:val="auto"/>
        </w:rPr>
      </w:pPr>
    </w:p>
    <w:p>
      <w:pPr>
        <w:ind w:left="1420" w:right="299" w:firstLine="337"/>
        <w:spacing w:after="0" w:line="253" w:lineRule="auto"/>
        <w:rPr>
          <w:sz w:val="20"/>
          <w:szCs w:val="20"/>
          <w:color w:val="auto"/>
        </w:rPr>
      </w:pPr>
      <w:r>
        <w:rPr>
          <w:rFonts w:ascii="Times New Roman" w:cs="Times New Roman" w:eastAsia="Times New Roman" w:hAnsi="Times New Roman"/>
          <w:sz w:val="14"/>
          <w:szCs w:val="14"/>
          <w:color w:val="auto"/>
        </w:rPr>
        <w:t xml:space="preserve">If any amount for, or on account of, such Taxes is required to be withheld or deducted from any payment made under or with respect to the notes to a holder or beneficial owner, the surviving entity will pay such additional amounts, which we refer to in this prospectus supplement as “Additional Amounts,” as may be necessary so that the net amount received by each holder or beneficial owner (including Additional Amounts) after such withholding or deduction will not be less than the amount such holder or beneficial owner would have received if such Taxes had not been required to be withheld or deducted;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foregoing obligation to pay Additional Amounts does not apply to:</w:t>
      </w:r>
    </w:p>
    <w:p>
      <w:pPr>
        <w:spacing w:after="0" w:line="72" w:lineRule="exact"/>
        <w:rPr>
          <w:sz w:val="20"/>
          <w:szCs w:val="20"/>
          <w:color w:val="auto"/>
        </w:rPr>
      </w:pPr>
    </w:p>
    <w:p>
      <w:pPr>
        <w:ind w:left="2160" w:right="359" w:hanging="322"/>
        <w:spacing w:after="0" w:line="255" w:lineRule="auto"/>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Taxes imposed by the United States, including any Taxes withheld or deducted pursuant to Sections 1471 through 1474 of the Internal Revenue Code of 1986, as amended (or any amended or successor version of such Sections), any U.S. Treasury regulations promulgated thereunder, any official interpretations thereof or any agreements (including any law implementing any such agreement) entered into in connection with the implementation thereof (collectively, “FATCA”);</w:t>
      </w:r>
    </w:p>
    <w:p>
      <w:pPr>
        <w:spacing w:after="0" w:line="70" w:lineRule="exact"/>
        <w:rPr>
          <w:rFonts w:ascii="Times New Roman" w:cs="Times New Roman" w:eastAsia="Times New Roman" w:hAnsi="Times New Roman"/>
          <w:sz w:val="14"/>
          <w:szCs w:val="14"/>
          <w:color w:val="auto"/>
        </w:rPr>
      </w:pPr>
    </w:p>
    <w:p>
      <w:pPr>
        <w:ind w:left="2160" w:right="299" w:hanging="322"/>
        <w:spacing w:after="0" w:line="281" w:lineRule="auto"/>
        <w:tabs>
          <w:tab w:leader="none" w:pos="216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Taxes that would not have been so imposed but for the existence of any present or former connection between the relevant holder or any beneficial owner (or between a fiduciary, settlor, beneficiary, member or shareholder of, or possessor of power over the relevant holder or beneficial owner, if the relevant holder or beneficial owner is an estate, nominee, trust or entity) and a Taxing Jurisdiction (other than the mere receipt of such payment or the ownership or holding of such note outside of the surviving entity’s country of organization);</w:t>
      </w:r>
    </w:p>
    <w:p>
      <w:pPr>
        <w:spacing w:after="0" w:line="54" w:lineRule="exact"/>
        <w:rPr>
          <w:rFonts w:ascii="Times New Roman" w:cs="Times New Roman" w:eastAsia="Times New Roman" w:hAnsi="Times New Roman"/>
          <w:sz w:val="13"/>
          <w:szCs w:val="13"/>
          <w:color w:val="auto"/>
        </w:rPr>
      </w:pPr>
    </w:p>
    <w:p>
      <w:pPr>
        <w:ind w:left="2160" w:right="399" w:hanging="322"/>
        <w:spacing w:after="0" w:line="251" w:lineRule="auto"/>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Taxes that are imposed or withheld by reason of the failure by the relevant holder or any beneficial owner of the notes to comply on a timely basis with a written request of the surviving entity addressed to such holder or beneficial owner to provide certification, information, documents or other evidence concerning the nationality, residence or identity of such holder or beneficial owner or to make any declaration or similar claim or satisfy any other reporting requirement relating to such matters, which is required by a statute, treaty, regulation or administrative practice of the applicable Taxing Jurisdiction as a precondition to exemption from, or reduction in the rate of withholding or deduction of, all or part of such Taxes;</w:t>
      </w:r>
    </w:p>
    <w:p>
      <w:pPr>
        <w:spacing w:after="0" w:line="75"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estate, inheritance, gift, sales, excise, transfer, personal property tax or similar tax, duty, assessment or governmental charge;</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Taxes that are payable other than by deduction or withholding from a payment on or in respect of the notes;</w:t>
      </w:r>
    </w:p>
    <w:p>
      <w:pPr>
        <w:spacing w:after="0" w:line="97" w:lineRule="exact"/>
        <w:rPr>
          <w:rFonts w:ascii="Times New Roman" w:cs="Times New Roman" w:eastAsia="Times New Roman" w:hAnsi="Times New Roman"/>
          <w:sz w:val="14"/>
          <w:szCs w:val="14"/>
          <w:color w:val="auto"/>
        </w:rPr>
      </w:pPr>
    </w:p>
    <w:p>
      <w:pPr>
        <w:ind w:left="2160" w:right="339" w:hanging="322"/>
        <w:spacing w:after="0" w:line="259" w:lineRule="auto"/>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Taxes that are withheld or deducted by a paying agent from a payment if the notes were presented for payment by or on behalf of a holder to such paying agent and such withholding or deduction could have been avoided by presenting the relevant notes to another paying agent;</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S-29</w:t>
      </w:r>
    </w:p>
    <w:p>
      <w:pPr>
        <w:sectPr>
          <w:pgSz w:w="11900" w:h="16838" w:orient="portrait"/>
          <w:cols w:equalWidth="0" w:num="1">
            <w:col w:w="10159"/>
          </w:cols>
          <w:pgMar w:left="300" w:top="381"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right="519" w:hanging="322"/>
        <w:spacing w:after="0" w:line="259" w:lineRule="auto"/>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Taxes that are payable by any person acting as custodian bank or collecting agent on behalf of a holder, or otherwise in any manner which does not constitute a withholding or deduction by the surviving entity, its paying agent, or any successor thereof from payments made by it;</w:t>
      </w:r>
    </w:p>
    <w:p>
      <w:pPr>
        <w:spacing w:after="0" w:line="68" w:lineRule="exact"/>
        <w:rPr>
          <w:rFonts w:ascii="Times New Roman" w:cs="Times New Roman" w:eastAsia="Times New Roman" w:hAnsi="Times New Roman"/>
          <w:sz w:val="14"/>
          <w:szCs w:val="14"/>
          <w:color w:val="auto"/>
        </w:rPr>
      </w:pPr>
    </w:p>
    <w:p>
      <w:pPr>
        <w:ind w:left="2160" w:right="379" w:hanging="322"/>
        <w:spacing w:after="0" w:line="259" w:lineRule="auto"/>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Taxes that are payable by reason of a change in law that becomes effective more than 15 days after the relevant payment becomes due and is made available for payment to the holders, unless such Taxes would have been applicable had payment been made within such 15 day period;</w:t>
      </w:r>
    </w:p>
    <w:p>
      <w:pPr>
        <w:spacing w:after="0" w:line="68" w:lineRule="exact"/>
        <w:rPr>
          <w:rFonts w:ascii="Times New Roman" w:cs="Times New Roman" w:eastAsia="Times New Roman" w:hAnsi="Times New Roman"/>
          <w:sz w:val="14"/>
          <w:szCs w:val="14"/>
          <w:color w:val="auto"/>
        </w:rPr>
      </w:pPr>
    </w:p>
    <w:p>
      <w:pPr>
        <w:ind w:left="2160" w:right="299" w:hanging="322"/>
        <w:spacing w:after="0" w:line="255" w:lineRule="auto"/>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Taxes that are deducted or withheld pursuant to (i) any European Union directive or regulation concerning the taxation of interest income; (ii) any international treaty or understanding relating to such taxation and to which the Taxing Jurisdiction or the European Union is a party or (iii) any provision of law implementing, or complying with, or introduced to conform with, such directive, regulation, treaty or understanding; or</w:t>
      </w:r>
    </w:p>
    <w:p>
      <w:pPr>
        <w:spacing w:after="0" w:line="70"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combination of the Taxes described above.</w:t>
      </w:r>
    </w:p>
    <w:p>
      <w:pPr>
        <w:spacing w:after="0" w:line="170" w:lineRule="exact"/>
        <w:rPr>
          <w:sz w:val="20"/>
          <w:szCs w:val="20"/>
          <w:color w:val="auto"/>
        </w:rPr>
      </w:pPr>
    </w:p>
    <w:p>
      <w:pPr>
        <w:ind w:left="1420" w:right="399" w:firstLine="337"/>
        <w:spacing w:after="0" w:line="255" w:lineRule="auto"/>
        <w:rPr>
          <w:sz w:val="20"/>
          <w:szCs w:val="20"/>
          <w:color w:val="auto"/>
        </w:rPr>
      </w:pPr>
      <w:r>
        <w:rPr>
          <w:rFonts w:ascii="Times New Roman" w:cs="Times New Roman" w:eastAsia="Times New Roman" w:hAnsi="Times New Roman"/>
          <w:sz w:val="14"/>
          <w:szCs w:val="14"/>
          <w:color w:val="auto"/>
        </w:rPr>
        <w:t>In addition, the surviving entity shall not be required to pay Additional Amounts to a holder that is a fiduciary or partnership or any person other than the sole beneficial owner of such payment, to the extent that a beneficiary or settlor with respect to such fiduciary, a member of such a partnership or the beneficial owner of such payment would not have been entitled to the Additional Amounts had such beneficiary, settlor, member or beneficial owner been the actual holder of such note.</w:t>
      </w:r>
    </w:p>
    <w:p>
      <w:pPr>
        <w:spacing w:after="0" w:line="143" w:lineRule="exact"/>
        <w:rPr>
          <w:sz w:val="20"/>
          <w:szCs w:val="20"/>
          <w:color w:val="auto"/>
        </w:rPr>
      </w:pPr>
    </w:p>
    <w:p>
      <w:pPr>
        <w:ind w:left="1420" w:right="319" w:firstLine="337"/>
        <w:spacing w:after="0" w:line="273" w:lineRule="auto"/>
        <w:rPr>
          <w:sz w:val="20"/>
          <w:szCs w:val="20"/>
          <w:color w:val="auto"/>
        </w:rPr>
      </w:pPr>
      <w:r>
        <w:rPr>
          <w:rFonts w:ascii="Times New Roman" w:cs="Times New Roman" w:eastAsia="Times New Roman" w:hAnsi="Times New Roman"/>
          <w:sz w:val="14"/>
          <w:szCs w:val="14"/>
          <w:color w:val="auto"/>
        </w:rPr>
        <w:t>Whenever reference is made in any context to the principal of, and any interest on, any note, such mention shall be deemed to include any relevant Additional Amounts to the extent that, in such context, Additional Amounts are, were or would be payable in respect of such note.</w:t>
      </w:r>
    </w:p>
    <w:p>
      <w:pPr>
        <w:spacing w:after="0" w:line="20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Optional Tax Redemption</w:t>
      </w:r>
    </w:p>
    <w:p>
      <w:pPr>
        <w:spacing w:after="0" w:line="91" w:lineRule="exact"/>
        <w:rPr>
          <w:sz w:val="20"/>
          <w:szCs w:val="20"/>
          <w:color w:val="auto"/>
        </w:rPr>
      </w:pPr>
    </w:p>
    <w:p>
      <w:pPr>
        <w:ind w:left="1420" w:right="319" w:firstLine="337"/>
        <w:spacing w:after="0" w:line="251" w:lineRule="auto"/>
        <w:rPr>
          <w:sz w:val="20"/>
          <w:szCs w:val="20"/>
          <w:color w:val="auto"/>
        </w:rPr>
      </w:pPr>
      <w:r>
        <w:rPr>
          <w:rFonts w:ascii="Times New Roman" w:cs="Times New Roman" w:eastAsia="Times New Roman" w:hAnsi="Times New Roman"/>
          <w:sz w:val="14"/>
          <w:szCs w:val="14"/>
          <w:color w:val="auto"/>
        </w:rPr>
        <w:t>Each series of notes may be redeemed at any time, at the surviving entity’s option, in whole but not in part, upon not less than 10 nor more than 60 days’ prior notice, at a redemption price equal to 100% of the principal amount of the notes of such series then outstanding, plus accrued and unpaid interest on the principal amount being redeemed (and any Additional Amounts) to (but excluding) the redemption date, if (i) at any time following a transaction to which the provisions of the indenture described above under “—Merger, Consolidation and Sale of Assets” apply, the surviving entity is required to pay Additional Amounts pursuant to the provisions described above under “—Payment of Additional Amounts” and (ii) such obligation cannot be avoided by the surviving entity taking reasonable measures available to it.</w:t>
      </w:r>
    </w:p>
    <w:p>
      <w:pPr>
        <w:spacing w:after="0" w:line="148" w:lineRule="exact"/>
        <w:rPr>
          <w:sz w:val="20"/>
          <w:szCs w:val="20"/>
          <w:color w:val="auto"/>
        </w:rPr>
      </w:pPr>
    </w:p>
    <w:p>
      <w:pPr>
        <w:ind w:left="1420" w:right="719" w:firstLine="337"/>
        <w:spacing w:after="0" w:line="312" w:lineRule="auto"/>
        <w:rPr>
          <w:sz w:val="20"/>
          <w:szCs w:val="20"/>
          <w:color w:val="auto"/>
        </w:rPr>
      </w:pPr>
      <w:r>
        <w:rPr>
          <w:rFonts w:ascii="Times New Roman" w:cs="Times New Roman" w:eastAsia="Times New Roman" w:hAnsi="Times New Roman"/>
          <w:sz w:val="13"/>
          <w:szCs w:val="13"/>
          <w:color w:val="auto"/>
        </w:rPr>
        <w:t>Prior to the mailing of any such notice of redemption pursuant to the foregoing, the surviving entity will deliver to the trustee an opinion of independent tax counsel of recognized standing to the effect that the surviving entity is or would be obligated to pay such Additional Amounts.</w:t>
      </w:r>
    </w:p>
    <w:p>
      <w:pPr>
        <w:spacing w:after="0" w:line="108" w:lineRule="exact"/>
        <w:rPr>
          <w:sz w:val="20"/>
          <w:szCs w:val="20"/>
          <w:color w:val="auto"/>
        </w:rPr>
      </w:pPr>
    </w:p>
    <w:p>
      <w:pPr>
        <w:ind w:left="1420" w:right="699" w:firstLine="337"/>
        <w:spacing w:after="0" w:line="273" w:lineRule="auto"/>
        <w:rPr>
          <w:sz w:val="20"/>
          <w:szCs w:val="20"/>
          <w:color w:val="auto"/>
        </w:rPr>
      </w:pPr>
      <w:r>
        <w:rPr>
          <w:rFonts w:ascii="Times New Roman" w:cs="Times New Roman" w:eastAsia="Times New Roman" w:hAnsi="Times New Roman"/>
          <w:sz w:val="14"/>
          <w:szCs w:val="14"/>
          <w:color w:val="auto"/>
        </w:rPr>
        <w:t>No notice of redemption may be given earlier than 90 days prior to the earliest date on which the surviving entity would be obligated to pay Additional Amounts if a payment in respect of the relevant notes were then due.</w:t>
      </w:r>
    </w:p>
    <w:p>
      <w:pPr>
        <w:spacing w:after="0" w:line="20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9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An “event of default” with respect to each series of notes occurs if:</w:t>
      </w:r>
    </w:p>
    <w:p>
      <w:pPr>
        <w:spacing w:after="0" w:line="98" w:lineRule="exact"/>
        <w:rPr>
          <w:sz w:val="20"/>
          <w:szCs w:val="20"/>
          <w:color w:val="auto"/>
        </w:rPr>
      </w:pPr>
    </w:p>
    <w:p>
      <w:pPr>
        <w:ind w:left="2160" w:hanging="322"/>
        <w:spacing w:after="0"/>
        <w:tabs>
          <w:tab w:leader="none" w:pos="2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fail to pay interest on any of the notes of that series when due and payable and that failure continues for 30 consecutive days;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fail to pay the principal of, or premium, if any, on, any of the notes of that series at its maturity or when otherwise due and payable;</w:t>
      </w:r>
    </w:p>
    <w:p>
      <w:pPr>
        <w:spacing w:after="0" w:line="97" w:lineRule="exact"/>
        <w:rPr>
          <w:rFonts w:ascii="Times New Roman" w:cs="Times New Roman" w:eastAsia="Times New Roman" w:hAnsi="Times New Roman"/>
          <w:sz w:val="14"/>
          <w:szCs w:val="14"/>
          <w:color w:val="auto"/>
        </w:rPr>
      </w:pPr>
    </w:p>
    <w:p>
      <w:pPr>
        <w:ind w:left="2160" w:right="379" w:hanging="322"/>
        <w:spacing w:after="0" w:line="273" w:lineRule="auto"/>
        <w:tabs>
          <w:tab w:leader="none" w:pos="2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a default (which shall not have been cured or waived) in the payment of any principal of or interest on any of our indebtedness for borrowed money aggregating more than $625 million in</w:t>
      </w:r>
    </w:p>
    <w:p>
      <w:pPr>
        <w:spacing w:after="0" w:line="7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S-30</w:t>
      </w:r>
    </w:p>
    <w:p>
      <w:pPr>
        <w:sectPr>
          <w:pgSz w:w="11900" w:h="16838" w:orient="portrait"/>
          <w:cols w:equalWidth="0" w:num="1">
            <w:col w:w="10159"/>
          </w:cols>
          <w:pgMar w:left="300" w:top="381"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80" w:right="419"/>
        <w:spacing w:after="0" w:line="253" w:lineRule="auto"/>
        <w:rPr>
          <w:sz w:val="20"/>
          <w:szCs w:val="20"/>
          <w:color w:val="auto"/>
        </w:rPr>
      </w:pPr>
      <w:r>
        <w:rPr>
          <w:rFonts w:ascii="Times New Roman" w:cs="Times New Roman" w:eastAsia="Times New Roman" w:hAnsi="Times New Roman"/>
          <w:sz w:val="14"/>
          <w:szCs w:val="14"/>
          <w:color w:val="auto"/>
        </w:rPr>
        <w:t>principal amount, after giving effect to any applicable grace period, or in the performance of any other term or provision of any of our indebtedness in excess of $625 million in principal amount that results in such indebtedness becoming or being declared due and payable prior to the date on which it would otherwise become due and payable, and such acceleration is not rescinded or annulled, or such indebtedness has not been discharged, within a period of 60 consecutive days after there has been given written notice specifying such default as provided in the indenture;</w:t>
      </w:r>
    </w:p>
    <w:p>
      <w:pPr>
        <w:spacing w:after="0" w:line="72" w:lineRule="exact"/>
        <w:rPr>
          <w:sz w:val="20"/>
          <w:szCs w:val="20"/>
          <w:color w:val="auto"/>
        </w:rPr>
      </w:pPr>
    </w:p>
    <w:p>
      <w:pPr>
        <w:ind w:left="2160" w:right="439" w:hanging="322"/>
        <w:spacing w:after="0" w:line="273" w:lineRule="auto"/>
        <w:tabs>
          <w:tab w:leader="none" w:pos="21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fail to perform any covenant in the indenture with respect to the notes of that series and that failure continues for 90 consecutive days after we receive written notice as provided in the indenture; or</w:t>
      </w:r>
    </w:p>
    <w:p>
      <w:pPr>
        <w:spacing w:after="0" w:line="57" w:lineRule="exact"/>
        <w:rPr>
          <w:rFonts w:ascii="Times New Roman" w:cs="Times New Roman" w:eastAsia="Times New Roman" w:hAnsi="Times New Roman"/>
          <w:sz w:val="14"/>
          <w:szCs w:val="14"/>
          <w:color w:val="auto"/>
        </w:rPr>
      </w:pPr>
    </w:p>
    <w:p>
      <w:pPr>
        <w:ind w:left="2160" w:right="519" w:hanging="322"/>
        <w:spacing w:after="0" w:line="273" w:lineRule="auto"/>
        <w:tabs>
          <w:tab w:leader="none" w:pos="21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actions are taken relating to our bankruptcy, insolvency or reorganization or the bankruptcy, insolvency or reorganization of any restricted subsidiary of ours and, in certain circumstances, remain in effect for 60 consecutive days.</w:t>
      </w:r>
    </w:p>
    <w:p>
      <w:pPr>
        <w:spacing w:after="0" w:line="130" w:lineRule="exact"/>
        <w:rPr>
          <w:sz w:val="20"/>
          <w:szCs w:val="20"/>
          <w:color w:val="auto"/>
        </w:rPr>
      </w:pPr>
    </w:p>
    <w:p>
      <w:pPr>
        <w:ind w:left="1420" w:right="299" w:firstLine="337"/>
        <w:spacing w:after="0" w:line="251" w:lineRule="auto"/>
        <w:rPr>
          <w:sz w:val="20"/>
          <w:szCs w:val="20"/>
          <w:color w:val="auto"/>
        </w:rPr>
      </w:pPr>
      <w:r>
        <w:rPr>
          <w:rFonts w:ascii="Times New Roman" w:cs="Times New Roman" w:eastAsia="Times New Roman" w:hAnsi="Times New Roman"/>
          <w:sz w:val="14"/>
          <w:szCs w:val="14"/>
          <w:color w:val="auto"/>
        </w:rPr>
        <w:t>If an event of default with respect to the notes of a series occurs and continues, except for the bankruptcy, insolvency or reorganization actions referred to above, then the trustee or the holders of at least 25% in principal amount of the outstanding notes of the applicable series may require us to repay immediately the principal of, and any unpaid premium and interest on, all outstanding notes of such series. The holders of at least a majority in principal amount of the outstanding notes of the applicable series may rescind and annul that acceleration if all events of default with respect to the notes of that series, other than the nonpayment of accelerated principal, have been cured or waived as provided in the indenture. An event of default arising from the bankruptcy, insolvency or reorganization actions referred to above shall cause the principal of, and any unpaid premium and interest on, all notes to become immediately due and payable without any declaration or other act by the trustee, the holders of the notes or any other party.</w:t>
      </w:r>
    </w:p>
    <w:p>
      <w:pPr>
        <w:spacing w:after="0" w:line="145" w:lineRule="exact"/>
        <w:rPr>
          <w:sz w:val="20"/>
          <w:szCs w:val="20"/>
          <w:color w:val="auto"/>
        </w:rPr>
      </w:pPr>
    </w:p>
    <w:p>
      <w:pPr>
        <w:ind w:left="1420" w:right="379" w:firstLine="337"/>
        <w:spacing w:after="0" w:line="253" w:lineRule="auto"/>
        <w:rPr>
          <w:sz w:val="20"/>
          <w:szCs w:val="20"/>
          <w:color w:val="auto"/>
        </w:rPr>
      </w:pPr>
      <w:r>
        <w:rPr>
          <w:rFonts w:ascii="Times New Roman" w:cs="Times New Roman" w:eastAsia="Times New Roman" w:hAnsi="Times New Roman"/>
          <w:sz w:val="14"/>
          <w:szCs w:val="14"/>
          <w:color w:val="auto"/>
        </w:rPr>
        <w:t>The trustee is not obligated to exercise any of its rights or powers under the indenture at the request or direction of any holder of notes, unless the holders offer reasonable indemnity to the trustee. If the holders offer reasonable indemnity to the trustee, then the holders of at least a majority in principal amount of the outstanding notes of an applicable series will have the right, subject to some limitations, to direct the time, method and place of conducting any proceeding for any remedy available to the trustee or exercising any trust or power conferred on the trustee with respect to the notes of that series.</w:t>
      </w:r>
    </w:p>
    <w:p>
      <w:pPr>
        <w:spacing w:after="0" w:line="144" w:lineRule="exact"/>
        <w:rPr>
          <w:sz w:val="20"/>
          <w:szCs w:val="20"/>
          <w:color w:val="auto"/>
        </w:rPr>
      </w:pPr>
    </w:p>
    <w:p>
      <w:pPr>
        <w:ind w:left="1420" w:right="839" w:firstLine="337"/>
        <w:spacing w:after="0" w:line="273" w:lineRule="auto"/>
        <w:rPr>
          <w:sz w:val="20"/>
          <w:szCs w:val="20"/>
          <w:color w:val="auto"/>
        </w:rPr>
      </w:pPr>
      <w:r>
        <w:rPr>
          <w:rFonts w:ascii="Times New Roman" w:cs="Times New Roman" w:eastAsia="Times New Roman" w:hAnsi="Times New Roman"/>
          <w:sz w:val="14"/>
          <w:szCs w:val="14"/>
          <w:color w:val="auto"/>
        </w:rPr>
        <w:t>No holder of any note of a series will have any right to institute any proceeding with respect to the indenture or for any remedy under the indenture unless:</w:t>
      </w:r>
    </w:p>
    <w:p>
      <w:pPr>
        <w:spacing w:after="0" w:line="58" w:lineRule="exact"/>
        <w:rPr>
          <w:sz w:val="20"/>
          <w:szCs w:val="20"/>
          <w:color w:val="auto"/>
        </w:rPr>
      </w:pPr>
    </w:p>
    <w:p>
      <w:pPr>
        <w:ind w:left="2160" w:hanging="322"/>
        <w:spacing w:after="0"/>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has previously given to the trustee written notice of a continuing event of default with respect to the notes of that series;</w:t>
      </w:r>
    </w:p>
    <w:p>
      <w:pPr>
        <w:spacing w:after="0" w:line="97" w:lineRule="exact"/>
        <w:rPr>
          <w:rFonts w:ascii="Times New Roman" w:cs="Times New Roman" w:eastAsia="Times New Roman" w:hAnsi="Times New Roman"/>
          <w:sz w:val="14"/>
          <w:szCs w:val="14"/>
          <w:color w:val="auto"/>
        </w:rPr>
      </w:pPr>
    </w:p>
    <w:p>
      <w:pPr>
        <w:ind w:left="2160" w:right="419" w:hanging="322"/>
        <w:spacing w:after="0" w:line="273" w:lineRule="auto"/>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principal amount of the outstanding notes of that series have made a written request, and offered reasonable indemnity, to the trustee to institute a proceeding as trustee;</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has failed to institute the requested proceeding within 60 consecutive days after receipt of such notice; and</w:t>
      </w:r>
    </w:p>
    <w:p>
      <w:pPr>
        <w:spacing w:after="0" w:line="97" w:lineRule="exact"/>
        <w:rPr>
          <w:rFonts w:ascii="Times New Roman" w:cs="Times New Roman" w:eastAsia="Times New Roman" w:hAnsi="Times New Roman"/>
          <w:sz w:val="14"/>
          <w:szCs w:val="14"/>
          <w:color w:val="auto"/>
        </w:rPr>
      </w:pPr>
    </w:p>
    <w:p>
      <w:pPr>
        <w:ind w:left="2160" w:right="539" w:hanging="322"/>
        <w:spacing w:after="0" w:line="273" w:lineRule="auto"/>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has not received from the holders of at least a majority in principal amount of the outstanding notes of that series a direction inconsistent with the request during that 60-day period.</w:t>
      </w:r>
    </w:p>
    <w:p>
      <w:pPr>
        <w:spacing w:after="0" w:line="130" w:lineRule="exact"/>
        <w:rPr>
          <w:sz w:val="20"/>
          <w:szCs w:val="20"/>
          <w:color w:val="auto"/>
        </w:rPr>
      </w:pPr>
    </w:p>
    <w:p>
      <w:pPr>
        <w:ind w:left="1420" w:right="499" w:firstLine="337"/>
        <w:spacing w:after="0" w:line="273" w:lineRule="auto"/>
        <w:rPr>
          <w:sz w:val="20"/>
          <w:szCs w:val="20"/>
          <w:color w:val="auto"/>
        </w:rPr>
      </w:pPr>
      <w:r>
        <w:rPr>
          <w:rFonts w:ascii="Times New Roman" w:cs="Times New Roman" w:eastAsia="Times New Roman" w:hAnsi="Times New Roman"/>
          <w:sz w:val="14"/>
          <w:szCs w:val="14"/>
          <w:color w:val="auto"/>
        </w:rPr>
        <w:t>However, the holder of any note will have the absolute and unconditional right to receive payment of the principal of, and premium, if any, and interest on, that note as expressed therein, and to institute suit for the enforcement of any such payment.</w:t>
      </w:r>
    </w:p>
    <w:p>
      <w:pPr>
        <w:spacing w:after="0" w:line="130" w:lineRule="exact"/>
        <w:rPr>
          <w:sz w:val="20"/>
          <w:szCs w:val="20"/>
          <w:color w:val="auto"/>
        </w:rPr>
      </w:pPr>
    </w:p>
    <w:p>
      <w:pPr>
        <w:ind w:left="1420" w:right="519" w:firstLine="337"/>
        <w:spacing w:after="0" w:line="255" w:lineRule="auto"/>
        <w:rPr>
          <w:sz w:val="20"/>
          <w:szCs w:val="20"/>
          <w:color w:val="auto"/>
        </w:rPr>
      </w:pPr>
      <w:r>
        <w:rPr>
          <w:rFonts w:ascii="Times New Roman" w:cs="Times New Roman" w:eastAsia="Times New Roman" w:hAnsi="Times New Roman"/>
          <w:sz w:val="14"/>
          <w:szCs w:val="14"/>
          <w:color w:val="auto"/>
        </w:rPr>
        <w:t>We are required to furnish to the trustee annually within 120 days after the end of our fiscal year a statement as to the absence of some defaults under the indenture. Within 30 days after the occurrence of an event of default of which the trustee has received actual notice in accordance with the indenture, the trustee shall give notice of such event of default to the holders of the notes, except that, in the case of a default other than a payment default, the trustee may withhold notice if the trustee determines that withholding notice is in the interest of the holders.</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S-31</w:t>
      </w:r>
    </w:p>
    <w:p>
      <w:pPr>
        <w:sectPr>
          <w:pgSz w:w="11900" w:h="16838" w:orient="portrait"/>
          <w:cols w:equalWidth="0" w:num="1">
            <w:col w:w="10159"/>
          </w:cols>
          <w:pgMar w:left="300" w:top="381"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Modification, Amendment and Waiver</w:t>
      </w:r>
    </w:p>
    <w:p>
      <w:pPr>
        <w:spacing w:after="0" w:line="91" w:lineRule="exact"/>
        <w:rPr>
          <w:sz w:val="20"/>
          <w:szCs w:val="20"/>
          <w:color w:val="auto"/>
        </w:rPr>
      </w:pPr>
    </w:p>
    <w:p>
      <w:pPr>
        <w:ind w:left="1420" w:right="319" w:firstLine="337"/>
        <w:spacing w:after="0" w:line="259" w:lineRule="auto"/>
        <w:rPr>
          <w:sz w:val="20"/>
          <w:szCs w:val="20"/>
          <w:color w:val="auto"/>
        </w:rPr>
      </w:pPr>
      <w:r>
        <w:rPr>
          <w:rFonts w:ascii="Times New Roman" w:cs="Times New Roman" w:eastAsia="Times New Roman" w:hAnsi="Times New Roman"/>
          <w:sz w:val="14"/>
          <w:szCs w:val="14"/>
          <w:color w:val="auto"/>
        </w:rPr>
        <w:t xml:space="preserve">We, together with the trustee, may modify or amend the indenture and the terms of the notes of a series with the consent of the holders of at least a majority in principal amount of the outstanding notes of such series;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 modification or amendment may, without the consent of each affected holder of the notes of the affected series:</w:t>
      </w:r>
    </w:p>
    <w:p>
      <w:pPr>
        <w:spacing w:after="0" w:line="68" w:lineRule="exact"/>
        <w:rPr>
          <w:sz w:val="20"/>
          <w:szCs w:val="20"/>
          <w:color w:val="auto"/>
        </w:rPr>
      </w:pPr>
    </w:p>
    <w:p>
      <w:pPr>
        <w:ind w:left="2160" w:hanging="322"/>
        <w:spacing w:after="0"/>
        <w:tabs>
          <w:tab w:leader="none" w:pos="21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stated maturity of the principal of, or any installment of interest on, any note;</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or rate of interest on, any note;</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any amount payable upon the redemption or purchase at the option of the holder of any note;</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any place of payment where, or the currency in which, any principal of, or premium, if any, or interest on, any note is payable;</w:t>
      </w:r>
    </w:p>
    <w:p>
      <w:pPr>
        <w:spacing w:after="0" w:line="97" w:lineRule="exact"/>
        <w:rPr>
          <w:rFonts w:ascii="Times New Roman" w:cs="Times New Roman" w:eastAsia="Times New Roman" w:hAnsi="Times New Roman"/>
          <w:sz w:val="14"/>
          <w:szCs w:val="14"/>
          <w:color w:val="auto"/>
        </w:rPr>
      </w:pPr>
    </w:p>
    <w:p>
      <w:pPr>
        <w:ind w:left="2160" w:right="779" w:hanging="322"/>
        <w:spacing w:after="0" w:line="273" w:lineRule="auto"/>
        <w:tabs>
          <w:tab w:leader="none" w:pos="21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the right to institute suit for the enforcement of any payment on or with respect to any note on or after the stated maturity or redemption date; or</w:t>
      </w:r>
    </w:p>
    <w:p>
      <w:pPr>
        <w:spacing w:after="0" w:line="57" w:lineRule="exact"/>
        <w:rPr>
          <w:rFonts w:ascii="Times New Roman" w:cs="Times New Roman" w:eastAsia="Times New Roman" w:hAnsi="Times New Roman"/>
          <w:sz w:val="14"/>
          <w:szCs w:val="14"/>
          <w:color w:val="auto"/>
        </w:rPr>
      </w:pPr>
    </w:p>
    <w:p>
      <w:pPr>
        <w:ind w:left="2160" w:right="359" w:hanging="322"/>
        <w:spacing w:after="0" w:line="273" w:lineRule="auto"/>
        <w:tabs>
          <w:tab w:leader="none" w:pos="21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in principal amount of outstanding notes the consent of whose holders is required for modification or amendment of the indenture, for waiver of compliance with certain provisions of the indenture or for waiver of certain defaults.</w:t>
      </w:r>
    </w:p>
    <w:p>
      <w:pPr>
        <w:spacing w:after="0" w:line="130" w:lineRule="exact"/>
        <w:rPr>
          <w:sz w:val="20"/>
          <w:szCs w:val="20"/>
          <w:color w:val="auto"/>
        </w:rPr>
      </w:pPr>
    </w:p>
    <w:p>
      <w:pPr>
        <w:ind w:left="1420" w:right="399" w:firstLine="337"/>
        <w:spacing w:after="0" w:line="251" w:lineRule="auto"/>
        <w:rPr>
          <w:sz w:val="20"/>
          <w:szCs w:val="20"/>
          <w:color w:val="auto"/>
        </w:rPr>
      </w:pPr>
      <w:r>
        <w:rPr>
          <w:rFonts w:ascii="Times New Roman" w:cs="Times New Roman" w:eastAsia="Times New Roman" w:hAnsi="Times New Roman"/>
          <w:sz w:val="14"/>
          <w:szCs w:val="14"/>
          <w:color w:val="auto"/>
        </w:rPr>
        <w:t>The holders of at least a majority in principal amount of the outstanding notes of a series may, on behalf of the holders of all notes of that series, waive any past default under the indenture and its consequences, except a default in the payment of the principal of, or premium, if any, or interest on, any notes or in respect of a covenant or provision that under the indenture cannot be modified or amended without the consent of each holder of that series. In addition, the holders of at least a majority in principal amount of the outstanding notes of a series may, on behalf of the holders of all notes of that series, waive compliance with any other provision of the indenture or the notes, including compliance with our covenants described above under “—Covenants—Limitations on Liens” and “—Covenants—Limitations on Sale-Leaseback Transactions.”</w:t>
      </w:r>
    </w:p>
    <w:p>
      <w:pPr>
        <w:spacing w:after="0" w:line="148" w:lineRule="exact"/>
        <w:rPr>
          <w:sz w:val="20"/>
          <w:szCs w:val="20"/>
          <w:color w:val="auto"/>
        </w:rPr>
      </w:pPr>
    </w:p>
    <w:p>
      <w:pPr>
        <w:ind w:left="1420" w:right="699" w:firstLine="337"/>
        <w:spacing w:after="0" w:line="273" w:lineRule="auto"/>
        <w:rPr>
          <w:sz w:val="20"/>
          <w:szCs w:val="20"/>
          <w:color w:val="auto"/>
        </w:rPr>
      </w:pPr>
      <w:r>
        <w:rPr>
          <w:rFonts w:ascii="Times New Roman" w:cs="Times New Roman" w:eastAsia="Times New Roman" w:hAnsi="Times New Roman"/>
          <w:sz w:val="14"/>
          <w:szCs w:val="14"/>
          <w:color w:val="auto"/>
        </w:rPr>
        <w:t>In addition, we, together with the trustee, may modify or amend the indenture and the terms of the notes without seeking the consent of any holders of the notes to:</w:t>
      </w:r>
    </w:p>
    <w:p>
      <w:pPr>
        <w:spacing w:after="0" w:line="58" w:lineRule="exact"/>
        <w:rPr>
          <w:sz w:val="20"/>
          <w:szCs w:val="20"/>
          <w:color w:val="auto"/>
        </w:rPr>
      </w:pPr>
    </w:p>
    <w:p>
      <w:pPr>
        <w:ind w:left="2160" w:right="639" w:hanging="322"/>
        <w:spacing w:after="0" w:line="273" w:lineRule="auto"/>
        <w:tabs>
          <w:tab w:leader="none" w:pos="21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allow our successor to assume our obligations under the indenture and the notes pursuant to the provisions described above under the heading “—Covenants—Merger, Consolidation and Sale of Assets”;</w:t>
      </w:r>
    </w:p>
    <w:p>
      <w:pPr>
        <w:spacing w:after="0" w:line="57" w:lineRule="exact"/>
        <w:rPr>
          <w:rFonts w:ascii="Times New Roman" w:cs="Times New Roman" w:eastAsia="Times New Roman" w:hAnsi="Times New Roman"/>
          <w:sz w:val="14"/>
          <w:szCs w:val="14"/>
          <w:color w:val="auto"/>
        </w:rPr>
      </w:pPr>
    </w:p>
    <w:p>
      <w:pPr>
        <w:ind w:left="2160" w:right="659" w:hanging="322"/>
        <w:spacing w:after="0" w:line="273" w:lineRule="auto"/>
        <w:tabs>
          <w:tab w:leader="none" w:pos="21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to our covenants for the benefit of the holders of the notes or the trustee, paying agent, security registrar or other agent or similar person or surrender any right or power we have under the indenture;</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any additional events of default;</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add to or change any provisions of the indenture to the extent necessary to permit or facilitate the issuance of notes in uncertificated form;</w:t>
      </w:r>
    </w:p>
    <w:p>
      <w:pPr>
        <w:spacing w:after="0" w:line="109" w:lineRule="exact"/>
        <w:rPr>
          <w:rFonts w:ascii="Times New Roman" w:cs="Times New Roman" w:eastAsia="Times New Roman" w:hAnsi="Times New Roman"/>
          <w:sz w:val="13"/>
          <w:szCs w:val="13"/>
          <w:color w:val="auto"/>
        </w:rPr>
      </w:pPr>
    </w:p>
    <w:p>
      <w:pPr>
        <w:ind w:left="2160" w:right="419" w:hanging="322"/>
        <w:spacing w:after="0" w:line="259" w:lineRule="auto"/>
        <w:tabs>
          <w:tab w:leader="none" w:pos="21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or supplement any provision contained in the indenture or in any supplemental indentures to the extent such amendment or supplement does not apply to any outstanding notes issued prior to the date of such amendment or supplement and entitled to the benefits of such provision;</w:t>
      </w:r>
    </w:p>
    <w:p>
      <w:pPr>
        <w:spacing w:after="0" w:line="68"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secure the notes and provide for the terms of the release of such security;</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guarantees with respect to our obligations under the notes and provide for the terms of the release of such guarantees;</w:t>
      </w:r>
    </w:p>
    <w:p>
      <w:pPr>
        <w:spacing w:after="0" w:line="97" w:lineRule="exact"/>
        <w:rPr>
          <w:rFonts w:ascii="Times New Roman" w:cs="Times New Roman" w:eastAsia="Times New Roman" w:hAnsi="Times New Roman"/>
          <w:sz w:val="14"/>
          <w:szCs w:val="14"/>
          <w:color w:val="auto"/>
        </w:rPr>
      </w:pPr>
    </w:p>
    <w:p>
      <w:pPr>
        <w:ind w:left="2160" w:right="359" w:hanging="322"/>
        <w:spacing w:after="0" w:line="273" w:lineRule="auto"/>
        <w:tabs>
          <w:tab w:leader="none" w:pos="21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a successor trustee or paying agent with respect to the notes or otherwise change any of the provisions of the indenture as shall be necessary to provide for or facilitate the administration of the trusts thereunder by more than one trustee or paying agent;</w:t>
      </w:r>
    </w:p>
    <w:p>
      <w:pPr>
        <w:spacing w:after="0" w:line="7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S-32</w:t>
      </w:r>
    </w:p>
    <w:p>
      <w:pPr>
        <w:sectPr>
          <w:pgSz w:w="11900" w:h="16838" w:orient="portrait"/>
          <w:cols w:equalWidth="0" w:num="1">
            <w:col w:w="10159"/>
          </w:cols>
          <w:pgMar w:left="300" w:top="381"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hanging="322"/>
        <w:spacing w:after="0"/>
        <w:tabs>
          <w:tab w:leader="none" w:pos="21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the issuance of additional notes to the extent permitted under the indenture;</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a co-issuer with respect to the notes;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 any ambiguity, omission, defect or inconsistency, as determined in good faith by us;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conform the indenture to the description of the notes contained in this prospectus supplement and in the accompanying prospectus;</w:t>
      </w:r>
    </w:p>
    <w:p>
      <w:pPr>
        <w:spacing w:after="0" w:line="97" w:lineRule="exact"/>
        <w:rPr>
          <w:rFonts w:ascii="Times New Roman" w:cs="Times New Roman" w:eastAsia="Times New Roman" w:hAnsi="Times New Roman"/>
          <w:sz w:val="14"/>
          <w:szCs w:val="14"/>
          <w:color w:val="auto"/>
        </w:rPr>
      </w:pPr>
    </w:p>
    <w:p>
      <w:pPr>
        <w:ind w:left="2160" w:right="319" w:hanging="322"/>
        <w:spacing w:after="0" w:line="273" w:lineRule="auto"/>
        <w:tabs>
          <w:tab w:leader="none" w:pos="21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the rules and regulations of Euroclear, Clearstream or any other clearing system and the rules and regulations of any securities exchange or automated quotation system on which the notes may be listed or traded; or</w:t>
      </w:r>
    </w:p>
    <w:p>
      <w:pPr>
        <w:spacing w:after="0" w:line="57" w:lineRule="exact"/>
        <w:rPr>
          <w:rFonts w:ascii="Times New Roman" w:cs="Times New Roman" w:eastAsia="Times New Roman" w:hAnsi="Times New Roman"/>
          <w:sz w:val="14"/>
          <w:szCs w:val="14"/>
          <w:color w:val="auto"/>
        </w:rPr>
      </w:pPr>
    </w:p>
    <w:p>
      <w:pPr>
        <w:ind w:left="2160" w:right="319" w:hanging="322"/>
        <w:spacing w:after="0" w:line="273" w:lineRule="auto"/>
        <w:tabs>
          <w:tab w:leader="none" w:pos="21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other amendment or supplement to the indenture as long as that amendment or supplement does not adversely affect the rights of the holders of any notes in any material respect, as determined in good faith by us.</w:t>
      </w:r>
    </w:p>
    <w:p>
      <w:pPr>
        <w:spacing w:after="0" w:line="130" w:lineRule="exact"/>
        <w:rPr>
          <w:sz w:val="20"/>
          <w:szCs w:val="20"/>
          <w:color w:val="auto"/>
        </w:rPr>
      </w:pPr>
    </w:p>
    <w:p>
      <w:pPr>
        <w:ind w:left="1420" w:right="459" w:firstLine="337"/>
        <w:spacing w:after="0" w:line="273" w:lineRule="auto"/>
        <w:rPr>
          <w:sz w:val="20"/>
          <w:szCs w:val="20"/>
          <w:color w:val="auto"/>
        </w:rPr>
      </w:pPr>
      <w:r>
        <w:rPr>
          <w:rFonts w:ascii="Times New Roman" w:cs="Times New Roman" w:eastAsia="Times New Roman" w:hAnsi="Times New Roman"/>
          <w:sz w:val="14"/>
          <w:szCs w:val="14"/>
          <w:color w:val="auto"/>
        </w:rPr>
        <w:t>No amendment or supplement to the indenture made solely to conform the indenture to this description of the notes contained in this prospectus supplement and in the accompanying prospectus will be deemed to adversely affect the interests of the holders of the notes.</w:t>
      </w:r>
    </w:p>
    <w:p>
      <w:pPr>
        <w:spacing w:after="0" w:line="20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Defeasance, Covenant Defeasance and Satisfaction and Discharge</w:t>
      </w:r>
    </w:p>
    <w:p>
      <w:pPr>
        <w:spacing w:after="0" w:line="91" w:lineRule="exact"/>
        <w:rPr>
          <w:sz w:val="20"/>
          <w:szCs w:val="20"/>
          <w:color w:val="auto"/>
        </w:rPr>
      </w:pPr>
    </w:p>
    <w:p>
      <w:pPr>
        <w:ind w:left="1420" w:right="419" w:firstLine="337"/>
        <w:spacing w:after="0" w:line="253" w:lineRule="auto"/>
        <w:rPr>
          <w:sz w:val="20"/>
          <w:szCs w:val="20"/>
          <w:color w:val="auto"/>
        </w:rPr>
      </w:pPr>
      <w:r>
        <w:rPr>
          <w:rFonts w:ascii="Times New Roman" w:cs="Times New Roman" w:eastAsia="Times New Roman" w:hAnsi="Times New Roman"/>
          <w:sz w:val="14"/>
          <w:szCs w:val="14"/>
          <w:color w:val="auto"/>
        </w:rPr>
        <w:t>Except as prohibited by the indenture, if we deposit with the trustee sufficient money or government obligations, or both, to pay the principal of, and premium, if any, and interest on, the notes on the scheduled due dates therefor, then at our option we may be discharged from certain of our obligations with respect to the notes or elect that our failure to comply with certain restrictive covenants, including those described in “—Covenants— Merger, Consolidation and Sale of Assets,” “—Covenants—Limitations on Liens,” and “—Covenants—Limitations on Sale-Leaseback Transactions” will not be deemed to be or result in an event of default under the indenture governing the notes.</w:t>
      </w:r>
    </w:p>
    <w:p>
      <w:pPr>
        <w:spacing w:after="0" w:line="144" w:lineRule="exact"/>
        <w:rPr>
          <w:sz w:val="20"/>
          <w:szCs w:val="20"/>
          <w:color w:val="auto"/>
        </w:rPr>
      </w:pPr>
    </w:p>
    <w:p>
      <w:pPr>
        <w:ind w:left="1420" w:right="659" w:firstLine="337"/>
        <w:spacing w:after="0" w:line="273" w:lineRule="auto"/>
        <w:rPr>
          <w:sz w:val="20"/>
          <w:szCs w:val="20"/>
          <w:color w:val="auto"/>
        </w:rPr>
      </w:pPr>
      <w:r>
        <w:rPr>
          <w:rFonts w:ascii="Times New Roman" w:cs="Times New Roman" w:eastAsia="Times New Roman" w:hAnsi="Times New Roman"/>
          <w:sz w:val="14"/>
          <w:szCs w:val="14"/>
          <w:color w:val="auto"/>
        </w:rPr>
        <w:t>In addition, the indenture will be discharged and will cease to be of further effect as to the notes of a series (except as to any surviving rights expressly provided for in the indenture) when:</w:t>
      </w:r>
    </w:p>
    <w:p>
      <w:pPr>
        <w:spacing w:after="0" w:line="58" w:lineRule="exact"/>
        <w:rPr>
          <w:sz w:val="20"/>
          <w:szCs w:val="20"/>
          <w:color w:val="auto"/>
        </w:rPr>
      </w:pPr>
    </w:p>
    <w:p>
      <w:pPr>
        <w:ind w:left="2160" w:hanging="322"/>
        <w:spacing w:after="0"/>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w:t>
      </w:r>
    </w:p>
    <w:p>
      <w:pPr>
        <w:spacing w:after="0" w:line="97" w:lineRule="exact"/>
        <w:rPr>
          <w:rFonts w:ascii="Times New Roman" w:cs="Times New Roman" w:eastAsia="Times New Roman" w:hAnsi="Times New Roman"/>
          <w:sz w:val="14"/>
          <w:szCs w:val="14"/>
          <w:color w:val="auto"/>
        </w:rPr>
      </w:pPr>
    </w:p>
    <w:p>
      <w:pPr>
        <w:ind w:left="2520" w:right="379" w:hanging="258"/>
        <w:spacing w:after="0" w:line="259" w:lineRule="auto"/>
        <w:tabs>
          <w:tab w:leader="none" w:pos="252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notes of such series that have been authenticated (except lost, stolen or destroyed notes that have been replaced or paid and notes for whose payment money has theretofore been deposited in trust and thereafter repaid to us) have been delivered to the trustee for cancellation; or</w:t>
      </w:r>
    </w:p>
    <w:p>
      <w:pPr>
        <w:spacing w:after="0" w:line="68" w:lineRule="exact"/>
        <w:rPr>
          <w:rFonts w:ascii="Times New Roman" w:cs="Times New Roman" w:eastAsia="Times New Roman" w:hAnsi="Times New Roman"/>
          <w:sz w:val="14"/>
          <w:szCs w:val="14"/>
          <w:color w:val="auto"/>
        </w:rPr>
      </w:pPr>
    </w:p>
    <w:p>
      <w:pPr>
        <w:ind w:left="2520" w:right="379" w:hanging="258"/>
        <w:spacing w:after="0" w:line="253" w:lineRule="auto"/>
        <w:tabs>
          <w:tab w:leader="none" w:pos="252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notes of such series that have not been delivered to the trustee for cancellation have become due and payable or will become due and payable at their stated maturity within one year or are to be called for redemption within one year under arrangements satisfactory to the trustee and in any case we have deposited with the trustee as trust funds euros, U.S. dollars or government obligations in an amount sufficient, to pay the entire indebtedness of such notes not delivered to the trustee for cancellation, for principal, premium, if any, and accrued interest to, but excluding, the stated maturity or redemption date;</w:t>
      </w:r>
    </w:p>
    <w:p>
      <w:pPr>
        <w:spacing w:after="0" w:line="71"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paid or caused to be paid all other sums payable by us in respect of such notes under the indenture;</w:t>
      </w:r>
    </w:p>
    <w:p>
      <w:pPr>
        <w:spacing w:after="0" w:line="97" w:lineRule="exact"/>
        <w:rPr>
          <w:rFonts w:ascii="Times New Roman" w:cs="Times New Roman" w:eastAsia="Times New Roman" w:hAnsi="Times New Roman"/>
          <w:sz w:val="14"/>
          <w:szCs w:val="14"/>
          <w:color w:val="auto"/>
        </w:rPr>
      </w:pPr>
    </w:p>
    <w:p>
      <w:pPr>
        <w:ind w:left="2160" w:right="439" w:hanging="322"/>
        <w:spacing w:after="0" w:line="273" w:lineRule="auto"/>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delivered irrevocable written instructions to the trustee under the indenture to apply the deposited money toward the payment of the notes in accordance with the indenture; and</w:t>
      </w:r>
    </w:p>
    <w:p>
      <w:pPr>
        <w:spacing w:after="0" w:line="57" w:lineRule="exact"/>
        <w:rPr>
          <w:rFonts w:ascii="Times New Roman" w:cs="Times New Roman" w:eastAsia="Times New Roman" w:hAnsi="Times New Roman"/>
          <w:sz w:val="14"/>
          <w:szCs w:val="14"/>
          <w:color w:val="auto"/>
        </w:rPr>
      </w:pPr>
    </w:p>
    <w:p>
      <w:pPr>
        <w:ind w:left="2160" w:right="499" w:hanging="322"/>
        <w:spacing w:after="0" w:line="273" w:lineRule="auto"/>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delivered an officers’ certificate and an opinion of counsel to the trustee stating that all conditions precedent to satisfaction and discharge of the indenture with respect to such notes have been satisfied.</w:t>
      </w:r>
    </w:p>
    <w:p>
      <w:pPr>
        <w:spacing w:after="0" w:line="7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S-33</w:t>
      </w:r>
    </w:p>
    <w:p>
      <w:pPr>
        <w:sectPr>
          <w:pgSz w:w="11900" w:h="16838" w:orient="portrait"/>
          <w:cols w:equalWidth="0" w:num="1">
            <w:col w:w="10159"/>
          </w:cols>
          <w:pgMar w:left="300" w:top="381"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339" w:firstLine="337"/>
        <w:spacing w:after="0" w:line="250" w:lineRule="auto"/>
        <w:rPr>
          <w:sz w:val="20"/>
          <w:szCs w:val="20"/>
          <w:color w:val="auto"/>
        </w:rPr>
      </w:pPr>
      <w:r>
        <w:rPr>
          <w:rFonts w:ascii="Times New Roman" w:cs="Times New Roman" w:eastAsia="Times New Roman" w:hAnsi="Times New Roman"/>
          <w:sz w:val="14"/>
          <w:szCs w:val="14"/>
          <w:color w:val="auto"/>
        </w:rPr>
        <w:t>For purposes of the notes, “government obligations” means securities denominated in euro that are (a) direct obligations of the Federal Republic of Germany or any country that is a member of the European Union that has adopted the euro as its currency and whose long-term debt is rated equal to or higher than A-1 (or the equivalent under any successor rating category) by Moody’s or equal to or higher than A+ (or the equivalent under any successor rating category) by S&amp;P or the equivalent rating category of another internationally recognized rating agency, the payments of which are supported by the full faith and credit of the German government or such other member of the European Union, or (b) obligations of a person controlled or supervised by and acting as an agency or instrumentality of the Federal Republic of Germany or such other member of the European Union, the payments of which are unconditionally guaranteed as a full faith and credit obligation of the German government or such other member of the European Union.</w:t>
      </w:r>
    </w:p>
    <w:p>
      <w:pPr>
        <w:spacing w:after="0" w:line="22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Trustee and Paying Agent</w:t>
      </w:r>
    </w:p>
    <w:p>
      <w:pPr>
        <w:spacing w:after="0" w:line="91" w:lineRule="exact"/>
        <w:rPr>
          <w:sz w:val="20"/>
          <w:szCs w:val="20"/>
          <w:color w:val="auto"/>
        </w:rPr>
      </w:pPr>
    </w:p>
    <w:p>
      <w:pPr>
        <w:ind w:left="1420" w:right="479" w:firstLine="337"/>
        <w:spacing w:after="0" w:line="255" w:lineRule="auto"/>
        <w:rPr>
          <w:sz w:val="20"/>
          <w:szCs w:val="20"/>
          <w:color w:val="auto"/>
        </w:rPr>
      </w:pPr>
      <w:r>
        <w:rPr>
          <w:rFonts w:ascii="Times New Roman" w:cs="Times New Roman" w:eastAsia="Times New Roman" w:hAnsi="Times New Roman"/>
          <w:sz w:val="14"/>
          <w:szCs w:val="14"/>
          <w:color w:val="auto"/>
        </w:rPr>
        <w:t>The trustee under the indenture is U.S. Bank, and U.S. Bank Europe DAC, UK Branch will act as our paying agent with respect to the notes, subject, in each case, to replacement upon certain events specified in the indenture and the paying agency agreement. The notes may be exchanged or transferred, subject to and upon satisfaction of the terms and conditions set forth in the indenture, at the office or agency maintained for such purpose, initially the corporate trust office of the trustee in Milwaukee, Wisconsin.</w:t>
      </w:r>
    </w:p>
    <w:p>
      <w:pPr>
        <w:spacing w:after="0" w:line="22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The notes and the indenture will be governed by, and construed in accordance with, the laws of the State of New York.</w:t>
      </w:r>
    </w:p>
    <w:p>
      <w:pPr>
        <w:spacing w:after="0" w:line="24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Book-Entry</w:t>
      </w:r>
    </w:p>
    <w:p>
      <w:pPr>
        <w:spacing w:after="0" w:line="91" w:lineRule="exact"/>
        <w:rPr>
          <w:sz w:val="20"/>
          <w:szCs w:val="20"/>
          <w:color w:val="auto"/>
        </w:rPr>
      </w:pPr>
    </w:p>
    <w:p>
      <w:pPr>
        <w:ind w:left="1420" w:right="339" w:firstLine="337"/>
        <w:spacing w:after="0" w:line="255" w:lineRule="auto"/>
        <w:rPr>
          <w:sz w:val="20"/>
          <w:szCs w:val="20"/>
          <w:color w:val="auto"/>
        </w:rPr>
      </w:pPr>
      <w:r>
        <w:rPr>
          <w:rFonts w:ascii="Times New Roman" w:cs="Times New Roman" w:eastAsia="Times New Roman" w:hAnsi="Times New Roman"/>
          <w:sz w:val="14"/>
          <w:szCs w:val="14"/>
          <w:color w:val="auto"/>
        </w:rPr>
        <w:t>We have obtained the information in this section concerning Clearstream, Euroclear, and the book-entry systems and procedures from sources that we believe to be reliable, but we take no responsibility for the accuracy of this information. In addition, the description of the clearing systems in this section reflects our understanding of the rules and procedures of Clearstream and Euroclear as they are currently in effect. Those clearing systems could change their rules and procedures at any time.</w:t>
      </w:r>
    </w:p>
    <w:p>
      <w:pPr>
        <w:spacing w:after="0" w:line="143" w:lineRule="exact"/>
        <w:rPr>
          <w:sz w:val="20"/>
          <w:szCs w:val="20"/>
          <w:color w:val="auto"/>
        </w:rPr>
      </w:pPr>
    </w:p>
    <w:p>
      <w:pPr>
        <w:ind w:left="1420" w:right="379" w:firstLine="337"/>
        <w:spacing w:after="0" w:line="259" w:lineRule="auto"/>
        <w:rPr>
          <w:sz w:val="20"/>
          <w:szCs w:val="20"/>
          <w:color w:val="auto"/>
        </w:rPr>
      </w:pPr>
      <w:r>
        <w:rPr>
          <w:rFonts w:ascii="Times New Roman" w:cs="Times New Roman" w:eastAsia="Times New Roman" w:hAnsi="Times New Roman"/>
          <w:sz w:val="14"/>
          <w:szCs w:val="14"/>
          <w:color w:val="auto"/>
        </w:rPr>
        <w:t>The notes will be offered and sold only in denominations of €100,000 and integral multiples of €1,000 in excess thereof. The notes will be issued in the form of one or more fully registered global notes. Each such global note will be deposited with, or on behalf of, a common depositary, and registered in the name of the nominee of the common depositary for, and in respect of interests held through, Clearstream and Euroclear.</w:t>
      </w:r>
    </w:p>
    <w:p>
      <w:pPr>
        <w:spacing w:after="0" w:line="141" w:lineRule="exact"/>
        <w:rPr>
          <w:sz w:val="20"/>
          <w:szCs w:val="20"/>
          <w:color w:val="auto"/>
        </w:rPr>
      </w:pPr>
    </w:p>
    <w:p>
      <w:pPr>
        <w:ind w:left="1420" w:right="359" w:firstLine="337"/>
        <w:spacing w:after="0" w:line="251" w:lineRule="auto"/>
        <w:rPr>
          <w:sz w:val="20"/>
          <w:szCs w:val="20"/>
          <w:color w:val="auto"/>
        </w:rPr>
      </w:pPr>
      <w:r>
        <w:rPr>
          <w:rFonts w:ascii="Times New Roman" w:cs="Times New Roman" w:eastAsia="Times New Roman" w:hAnsi="Times New Roman"/>
          <w:sz w:val="14"/>
          <w:szCs w:val="14"/>
          <w:color w:val="auto"/>
        </w:rPr>
        <w:t>Except as set forth below, the global notes may be transferred, in whole and not in part, only to Euroclear or Clearstream or their respective nominees. You may hold your interests in the global notes in Europe through Clearstream or Euroclear, either as a participant in such systems or indirectly through organizations that are participants in such systems. Clearstream and Euroclear will hold interests in the global notes on behalf of their respective participating organizations or customers through customers’ securities accounts in Clearstream’s or Euroclear’s names on the books of their respective depositaries. Book-entry interests in the notes and all transfers relating to the notes will be reflected in the book-entry records of Clearstream and Euroclear.</w:t>
      </w:r>
    </w:p>
    <w:p>
      <w:pPr>
        <w:spacing w:after="0" w:line="148" w:lineRule="exact"/>
        <w:rPr>
          <w:sz w:val="20"/>
          <w:szCs w:val="20"/>
          <w:color w:val="auto"/>
        </w:rPr>
      </w:pPr>
    </w:p>
    <w:p>
      <w:pPr>
        <w:jc w:val="both"/>
        <w:ind w:left="1420" w:right="339" w:firstLine="337"/>
        <w:spacing w:after="0" w:line="259" w:lineRule="auto"/>
        <w:rPr>
          <w:sz w:val="20"/>
          <w:szCs w:val="20"/>
          <w:color w:val="auto"/>
        </w:rPr>
      </w:pPr>
      <w:r>
        <w:rPr>
          <w:rFonts w:ascii="Times New Roman" w:cs="Times New Roman" w:eastAsia="Times New Roman" w:hAnsi="Times New Roman"/>
          <w:sz w:val="14"/>
          <w:szCs w:val="14"/>
          <w:color w:val="auto"/>
        </w:rPr>
        <w:t>The distribution of the notes will be cleared through Clearstream and Euroclear. Any secondary market trading of book-entry interests in the notes will take place through Clearstream and Euroclear participants (as defined below) and will settle in same day funds. Beneficial owners of the notes will receive payments relating to their notes in euro, except as described above under “—Euro Notes—Issuance in Euro.”</w:t>
      </w:r>
    </w:p>
    <w:p>
      <w:pPr>
        <w:spacing w:after="0" w:line="141" w:lineRule="exact"/>
        <w:rPr>
          <w:sz w:val="20"/>
          <w:szCs w:val="20"/>
          <w:color w:val="auto"/>
        </w:rPr>
      </w:pPr>
    </w:p>
    <w:p>
      <w:pPr>
        <w:ind w:left="1420" w:right="879" w:firstLine="337"/>
        <w:spacing w:after="0" w:line="273" w:lineRule="auto"/>
        <w:rPr>
          <w:sz w:val="20"/>
          <w:szCs w:val="20"/>
          <w:color w:val="auto"/>
        </w:rPr>
      </w:pPr>
      <w:r>
        <w:rPr>
          <w:rFonts w:ascii="Times New Roman" w:cs="Times New Roman" w:eastAsia="Times New Roman" w:hAnsi="Times New Roman"/>
          <w:sz w:val="14"/>
          <w:szCs w:val="14"/>
          <w:color w:val="auto"/>
        </w:rPr>
        <w:t>Clearstream and Euroclear have established electronic securities and payment transfer, processing, depositary and custodial links among themselves and others, either directly or through custodians and</w:t>
      </w:r>
    </w:p>
    <w:p>
      <w:pPr>
        <w:spacing w:after="0" w:line="7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S-34</w:t>
      </w:r>
    </w:p>
    <w:p>
      <w:pPr>
        <w:sectPr>
          <w:pgSz w:w="11900" w:h="16838" w:orient="portrait"/>
          <w:cols w:equalWidth="0" w:num="1">
            <w:col w:w="10159"/>
          </w:cols>
          <w:pgMar w:left="300" w:top="381"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439"/>
        <w:spacing w:after="0" w:line="259" w:lineRule="auto"/>
        <w:rPr>
          <w:sz w:val="20"/>
          <w:szCs w:val="20"/>
          <w:color w:val="auto"/>
        </w:rPr>
      </w:pPr>
      <w:r>
        <w:rPr>
          <w:rFonts w:ascii="Times New Roman" w:cs="Times New Roman" w:eastAsia="Times New Roman" w:hAnsi="Times New Roman"/>
          <w:sz w:val="14"/>
          <w:szCs w:val="14"/>
          <w:color w:val="auto"/>
        </w:rPr>
        <w:t>depositaries. These links allow book-entry interests in the notes to be issued, held and transferred among the clearing systems without the physical transfer of certificates. Special procedures to facilitate clearance and settlement have been established among these clearing systems to trade securities across borders in the secondary market.</w:t>
      </w:r>
    </w:p>
    <w:p>
      <w:pPr>
        <w:spacing w:after="0" w:line="141" w:lineRule="exact"/>
        <w:rPr>
          <w:sz w:val="20"/>
          <w:szCs w:val="20"/>
          <w:color w:val="auto"/>
        </w:rPr>
      </w:pPr>
    </w:p>
    <w:p>
      <w:pPr>
        <w:jc w:val="both"/>
        <w:ind w:left="1420" w:right="379" w:firstLine="337"/>
        <w:spacing w:after="0" w:line="259" w:lineRule="auto"/>
        <w:rPr>
          <w:sz w:val="20"/>
          <w:szCs w:val="20"/>
          <w:color w:val="auto"/>
        </w:rPr>
      </w:pPr>
      <w:r>
        <w:rPr>
          <w:rFonts w:ascii="Times New Roman" w:cs="Times New Roman" w:eastAsia="Times New Roman" w:hAnsi="Times New Roman"/>
          <w:sz w:val="14"/>
          <w:szCs w:val="14"/>
          <w:color w:val="auto"/>
        </w:rPr>
        <w:t>The policies of Clearstream and Euroclear will govern payments, transfers, exchanges and other matters relating to each investor’s interest in the notes held by them. Neither we nor the trustee or paying agent have any responsibility for any aspect of the records kept by Clearstream or Euroclear or any of their direct or indirect participants. We, the paying agent and the trustee also do not supervise these systems in any way.</w:t>
      </w:r>
    </w:p>
    <w:p>
      <w:pPr>
        <w:spacing w:after="0" w:line="141" w:lineRule="exact"/>
        <w:rPr>
          <w:sz w:val="20"/>
          <w:szCs w:val="20"/>
          <w:color w:val="auto"/>
        </w:rPr>
      </w:pPr>
    </w:p>
    <w:p>
      <w:pPr>
        <w:jc w:val="both"/>
        <w:ind w:left="1420" w:right="519" w:firstLine="337"/>
        <w:spacing w:after="0" w:line="259" w:lineRule="auto"/>
        <w:rPr>
          <w:sz w:val="20"/>
          <w:szCs w:val="20"/>
          <w:color w:val="auto"/>
        </w:rPr>
      </w:pPr>
      <w:r>
        <w:rPr>
          <w:rFonts w:ascii="Times New Roman" w:cs="Times New Roman" w:eastAsia="Times New Roman" w:hAnsi="Times New Roman"/>
          <w:sz w:val="14"/>
          <w:szCs w:val="14"/>
          <w:color w:val="auto"/>
        </w:rPr>
        <w:t>Clearstream and Euroclear and their participants perform these clearance and settlement functions under agreements they have made with one another or with their customers. You should be aware that they are not obligated to perform or continue to perform these procedures and may modify them or discontinue them at any time.</w:t>
      </w:r>
    </w:p>
    <w:p>
      <w:pPr>
        <w:spacing w:after="0" w:line="141" w:lineRule="exact"/>
        <w:rPr>
          <w:sz w:val="20"/>
          <w:szCs w:val="20"/>
          <w:color w:val="auto"/>
        </w:rPr>
      </w:pPr>
    </w:p>
    <w:p>
      <w:pPr>
        <w:ind w:left="1420" w:right="399" w:firstLine="337"/>
        <w:spacing w:after="0" w:line="253" w:lineRule="auto"/>
        <w:rPr>
          <w:sz w:val="20"/>
          <w:szCs w:val="20"/>
          <w:color w:val="auto"/>
        </w:rPr>
      </w:pPr>
      <w:r>
        <w:rPr>
          <w:rFonts w:ascii="Times New Roman" w:cs="Times New Roman" w:eastAsia="Times New Roman" w:hAnsi="Times New Roman"/>
          <w:sz w:val="14"/>
          <w:szCs w:val="14"/>
          <w:color w:val="auto"/>
        </w:rPr>
        <w:t>Except as provided below,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us or the trustee pursuant to the indenture. Accordingly, each person owning a beneficial interest in a note must rely on the procedures of Euroclear and Clearstream and, if such person is not a participant, on the procedures of the participant through which such person owns its interest, in order to exercise any rights of a holder of notes.</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We have been advised by Clearstream and Euroclear, respectively, as follows:</w:t>
      </w:r>
    </w:p>
    <w:p>
      <w:pPr>
        <w:spacing w:after="0" w:line="24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Clearstream</w:t>
      </w:r>
    </w:p>
    <w:p>
      <w:pPr>
        <w:spacing w:after="0" w:line="91" w:lineRule="exact"/>
        <w:rPr>
          <w:sz w:val="20"/>
          <w:szCs w:val="20"/>
          <w:color w:val="auto"/>
        </w:rPr>
      </w:pPr>
    </w:p>
    <w:p>
      <w:pPr>
        <w:ind w:left="1420" w:right="399" w:firstLine="337"/>
        <w:spacing w:after="0" w:line="270" w:lineRule="auto"/>
        <w:rPr>
          <w:sz w:val="20"/>
          <w:szCs w:val="20"/>
          <w:color w:val="auto"/>
        </w:rPr>
      </w:pPr>
      <w:r>
        <w:rPr>
          <w:rFonts w:ascii="Times New Roman" w:cs="Times New Roman" w:eastAsia="Times New Roman" w:hAnsi="Times New Roman"/>
          <w:sz w:val="13"/>
          <w:szCs w:val="13"/>
          <w:color w:val="auto"/>
        </w:rPr>
        <w:t>Clearstream has advised that it is incorporated under the laws of Luxembourg and is licensed as a bank and professional depositary. Clearstream holds securities for its participating organizations. Clearstream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markets in several countries. Clearstream has established an electronic bridge with the Euroclear Operator (as defined below) to facilitate the settlement of trades between the nominees of Clearstream and Euroclear. As a registered bank in Luxembourg, Clearstream is subject to regulation by the Luxembourg Commission for the Supervision of the Financial Sector (</w:t>
      </w:r>
      <w:r>
        <w:rPr>
          <w:rFonts w:ascii="Times New Roman" w:cs="Times New Roman" w:eastAsia="Times New Roman" w:hAnsi="Times New Roman"/>
          <w:sz w:val="13"/>
          <w:szCs w:val="13"/>
          <w:i w:val="1"/>
          <w:iCs w:val="1"/>
          <w:color w:val="auto"/>
        </w:rPr>
        <w:t>Commission de Surveillance du Secteur Financier</w:t>
      </w:r>
      <w:r>
        <w:rPr>
          <w:rFonts w:ascii="Times New Roman" w:cs="Times New Roman" w:eastAsia="Times New Roman" w:hAnsi="Times New Roman"/>
          <w:sz w:val="13"/>
          <w:szCs w:val="13"/>
          <w:color w:val="auto"/>
        </w:rPr>
        <w:t>). Clearstream participants are recognized financial institutions around the world, including underwriters, securities brokers and dealers, banks, trust companies, clearing corporations and certain other organizations and may include the underwriters. Indirect access to Clearstream is also available to others, such as banks, brokers, dealers and trust companies that clear through or maintain a custodial relationship with a Clearstream participant, either directly or indirectly.</w:t>
      </w:r>
    </w:p>
    <w:p>
      <w:pPr>
        <w:spacing w:after="0" w:line="136" w:lineRule="exact"/>
        <w:rPr>
          <w:sz w:val="20"/>
          <w:szCs w:val="20"/>
          <w:color w:val="auto"/>
        </w:rPr>
      </w:pPr>
    </w:p>
    <w:p>
      <w:pPr>
        <w:ind w:left="1420" w:right="479" w:firstLine="337"/>
        <w:spacing w:after="0" w:line="273" w:lineRule="auto"/>
        <w:rPr>
          <w:sz w:val="20"/>
          <w:szCs w:val="20"/>
          <w:color w:val="auto"/>
        </w:rPr>
      </w:pPr>
      <w:r>
        <w:rPr>
          <w:rFonts w:ascii="Times New Roman" w:cs="Times New Roman" w:eastAsia="Times New Roman" w:hAnsi="Times New Roman"/>
          <w:sz w:val="14"/>
          <w:szCs w:val="14"/>
          <w:color w:val="auto"/>
        </w:rPr>
        <w:t>Distributions with respect to interests in the global notes held beneficially through Clearstream will be credited to cash accounts of Clearstream participants in accordance with its rules and procedures.</w:t>
      </w:r>
    </w:p>
    <w:p>
      <w:pPr>
        <w:spacing w:after="0" w:line="20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Euroclear</w:t>
      </w:r>
    </w:p>
    <w:p>
      <w:pPr>
        <w:spacing w:after="0" w:line="91" w:lineRule="exact"/>
        <w:rPr>
          <w:sz w:val="20"/>
          <w:szCs w:val="20"/>
          <w:color w:val="auto"/>
        </w:rPr>
      </w:pPr>
    </w:p>
    <w:p>
      <w:pPr>
        <w:ind w:left="1420" w:right="499" w:firstLine="337"/>
        <w:spacing w:after="0" w:line="289" w:lineRule="auto"/>
        <w:rPr>
          <w:sz w:val="20"/>
          <w:szCs w:val="20"/>
          <w:color w:val="auto"/>
        </w:rPr>
      </w:pPr>
      <w:r>
        <w:rPr>
          <w:rFonts w:ascii="Times New Roman" w:cs="Times New Roman" w:eastAsia="Times New Roman" w:hAnsi="Times New Roman"/>
          <w:sz w:val="13"/>
          <w:szCs w:val="13"/>
          <w:color w:val="auto"/>
        </w:rPr>
        <w:t>Euroclear has advised that it was created in 1968 to hold securities for its participants and to clear and settle transactions between Euroclear participants through simultaneous electronic book-entry delivery against payment, thereby eliminating the need for physical movement of certificates and eliminating any risk from lack of simultaneous transfers of securities and cash. Euroclear is operated by Euroclear Bank S.A./N.V. (the</w:t>
      </w:r>
    </w:p>
    <w:p>
      <w:pPr>
        <w:spacing w:after="0" w:line="7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S-35</w:t>
      </w:r>
    </w:p>
    <w:p>
      <w:pPr>
        <w:sectPr>
          <w:pgSz w:w="11900" w:h="16838" w:orient="portrait"/>
          <w:cols w:equalWidth="0" w:num="1">
            <w:col w:w="10159"/>
          </w:cols>
          <w:pgMar w:left="300" w:top="381"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539"/>
        <w:spacing w:after="0" w:line="255" w:lineRule="auto"/>
        <w:rPr>
          <w:sz w:val="20"/>
          <w:szCs w:val="20"/>
          <w:color w:val="auto"/>
        </w:rPr>
      </w:pPr>
      <w:r>
        <w:rPr>
          <w:rFonts w:ascii="Times New Roman" w:cs="Times New Roman" w:eastAsia="Times New Roman" w:hAnsi="Times New Roman"/>
          <w:sz w:val="14"/>
          <w:szCs w:val="14"/>
          <w:color w:val="auto"/>
        </w:rPr>
        <w:t>“Euroclear Operator”). All operations are conducted by the Euroclear Operator, and all Euroclear securities clearance accounts and Euroclear cash accounts are accounts with the Euroclear Operator.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w:t>
      </w:r>
    </w:p>
    <w:p>
      <w:pPr>
        <w:spacing w:after="0" w:line="143" w:lineRule="exact"/>
        <w:rPr>
          <w:sz w:val="20"/>
          <w:szCs w:val="20"/>
          <w:color w:val="auto"/>
        </w:rPr>
      </w:pPr>
    </w:p>
    <w:p>
      <w:pPr>
        <w:ind w:left="1420" w:right="419" w:firstLine="337"/>
        <w:spacing w:after="0" w:line="251" w:lineRule="auto"/>
        <w:rPr>
          <w:sz w:val="20"/>
          <w:szCs w:val="20"/>
          <w:color w:val="auto"/>
        </w:rPr>
      </w:pPr>
      <w:r>
        <w:rPr>
          <w:rFonts w:ascii="Times New Roman" w:cs="Times New Roman" w:eastAsia="Times New Roman" w:hAnsi="Times New Roman"/>
          <w:sz w:val="14"/>
          <w:szCs w:val="14"/>
          <w:color w:val="auto"/>
        </w:rPr>
        <w:t>Securities clearance accounts and cash accounts with the Euroclear Operator are governed by the Terms and Conditions Governing Use of Euroclear and the related operating procedures of Euroclear, and applicable Belgian law (collectively,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148" w:lineRule="exact"/>
        <w:rPr>
          <w:sz w:val="20"/>
          <w:szCs w:val="20"/>
          <w:color w:val="auto"/>
        </w:rPr>
      </w:pPr>
    </w:p>
    <w:p>
      <w:pPr>
        <w:ind w:left="1420" w:right="539" w:firstLine="337"/>
        <w:spacing w:after="0" w:line="273" w:lineRule="auto"/>
        <w:rPr>
          <w:sz w:val="20"/>
          <w:szCs w:val="20"/>
          <w:color w:val="auto"/>
        </w:rPr>
      </w:pPr>
      <w:r>
        <w:rPr>
          <w:rFonts w:ascii="Times New Roman" w:cs="Times New Roman" w:eastAsia="Times New Roman" w:hAnsi="Times New Roman"/>
          <w:sz w:val="14"/>
          <w:szCs w:val="14"/>
          <w:color w:val="auto"/>
        </w:rPr>
        <w:t>Distributions with respect to interests in the global notes held beneficially through Euroclear will be credited to the cash accounts of Euroclear participants in accordance with the Terms and Conditions.</w:t>
      </w:r>
    </w:p>
    <w:p>
      <w:pPr>
        <w:spacing w:after="0" w:line="20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Global Clearance and Settlement Procedures</w:t>
      </w:r>
    </w:p>
    <w:p>
      <w:pPr>
        <w:spacing w:after="0" w:line="91" w:lineRule="exact"/>
        <w:rPr>
          <w:sz w:val="20"/>
          <w:szCs w:val="20"/>
          <w:color w:val="auto"/>
        </w:rPr>
      </w:pPr>
    </w:p>
    <w:p>
      <w:pPr>
        <w:ind w:left="1420" w:right="459" w:firstLine="337"/>
        <w:spacing w:after="0" w:line="255" w:lineRule="auto"/>
        <w:rPr>
          <w:sz w:val="20"/>
          <w:szCs w:val="20"/>
          <w:color w:val="auto"/>
        </w:rPr>
      </w:pPr>
      <w:r>
        <w:rPr>
          <w:rFonts w:ascii="Times New Roman" w:cs="Times New Roman" w:eastAsia="Times New Roman" w:hAnsi="Times New Roman"/>
          <w:sz w:val="14"/>
          <w:szCs w:val="14"/>
          <w:color w:val="auto"/>
        </w:rPr>
        <w:t>We understand that investors that hold their notes through Clearstream or Euroclear accounts will follow the settlement procedures that are applicable to conventional eurobonds in registered form. Notes will be credited to the securities custody accounts of Clearstream and Euroclear participants on the business day following the settlement date, for value on the settlement date. They will be credited either free of payment or against payment for value on the settlement date.</w:t>
      </w:r>
    </w:p>
    <w:p>
      <w:pPr>
        <w:spacing w:after="0" w:line="143" w:lineRule="exact"/>
        <w:rPr>
          <w:sz w:val="20"/>
          <w:szCs w:val="20"/>
          <w:color w:val="auto"/>
        </w:rPr>
      </w:pPr>
    </w:p>
    <w:p>
      <w:pPr>
        <w:ind w:left="1420" w:right="599" w:firstLine="337"/>
        <w:spacing w:after="0" w:line="259" w:lineRule="auto"/>
        <w:rPr>
          <w:sz w:val="20"/>
          <w:szCs w:val="20"/>
          <w:color w:val="auto"/>
        </w:rPr>
      </w:pPr>
      <w:r>
        <w:rPr>
          <w:rFonts w:ascii="Times New Roman" w:cs="Times New Roman" w:eastAsia="Times New Roman" w:hAnsi="Times New Roman"/>
          <w:sz w:val="14"/>
          <w:szCs w:val="14"/>
          <w:color w:val="auto"/>
        </w:rPr>
        <w:t>We understand that secondary market trading between Clearstream and/or Euroclear participants will occur in the ordinary way following the applicable rules and operating procedures of Clearstream and Euroclear. Secondary market trading will be settled using procedures applicable to conventional eurobonds in registered form.</w:t>
      </w:r>
    </w:p>
    <w:p>
      <w:pPr>
        <w:spacing w:after="0" w:line="141" w:lineRule="exact"/>
        <w:rPr>
          <w:sz w:val="20"/>
          <w:szCs w:val="20"/>
          <w:color w:val="auto"/>
        </w:rPr>
      </w:pPr>
    </w:p>
    <w:p>
      <w:pPr>
        <w:ind w:left="1420" w:right="299" w:firstLine="337"/>
        <w:spacing w:after="0" w:line="259" w:lineRule="auto"/>
        <w:rPr>
          <w:sz w:val="20"/>
          <w:szCs w:val="20"/>
          <w:color w:val="auto"/>
        </w:rPr>
      </w:pPr>
      <w:r>
        <w:rPr>
          <w:rFonts w:ascii="Times New Roman" w:cs="Times New Roman" w:eastAsia="Times New Roman" w:hAnsi="Times New Roman"/>
          <w:sz w:val="14"/>
          <w:szCs w:val="14"/>
          <w:color w:val="auto"/>
        </w:rPr>
        <w:t>You should be aware that investors will only be able to make and receive deliveries, payments and other communications involving the notes through Clearstream and Euroclear on days when those systems are open for business. Those systems may not be open for business on days when banks, brokers and other institutions are open for business in the United States.</w:t>
      </w:r>
    </w:p>
    <w:p>
      <w:pPr>
        <w:spacing w:after="0" w:line="141" w:lineRule="exact"/>
        <w:rPr>
          <w:sz w:val="20"/>
          <w:szCs w:val="20"/>
          <w:color w:val="auto"/>
        </w:rPr>
      </w:pPr>
    </w:p>
    <w:p>
      <w:pPr>
        <w:ind w:left="1420" w:right="359" w:firstLine="337"/>
        <w:spacing w:after="0" w:line="255" w:lineRule="auto"/>
        <w:rPr>
          <w:sz w:val="20"/>
          <w:szCs w:val="20"/>
          <w:color w:val="auto"/>
        </w:rPr>
      </w:pPr>
      <w:r>
        <w:rPr>
          <w:rFonts w:ascii="Times New Roman" w:cs="Times New Roman" w:eastAsia="Times New Roman" w:hAnsi="Times New Roman"/>
          <w:sz w:val="14"/>
          <w:szCs w:val="14"/>
          <w:color w:val="auto"/>
        </w:rPr>
        <w:t>In addition, because of time-zone differences, there may be problems with completing transactions involving Clearstream and Euroclear on the same business day as in the United States. U.S. investors who wish to transfer their interests in the notes, or to make or receive a payment or delivery of the notes, on a particular day, may find that the transactions will not be performed until the next business day in Luxembourg or Brussels, depending on whether Clearstream or Euroclear is used.</w:t>
      </w:r>
    </w:p>
    <w:p>
      <w:pPr>
        <w:spacing w:after="0" w:line="143" w:lineRule="exact"/>
        <w:rPr>
          <w:sz w:val="20"/>
          <w:szCs w:val="20"/>
          <w:color w:val="auto"/>
        </w:rPr>
      </w:pPr>
    </w:p>
    <w:p>
      <w:pPr>
        <w:ind w:left="1420" w:right="359" w:firstLine="337"/>
        <w:spacing w:after="0" w:line="255" w:lineRule="auto"/>
        <w:rPr>
          <w:sz w:val="20"/>
          <w:szCs w:val="20"/>
          <w:color w:val="auto"/>
        </w:rPr>
      </w:pPr>
      <w:r>
        <w:rPr>
          <w:rFonts w:ascii="Times New Roman" w:cs="Times New Roman" w:eastAsia="Times New Roman" w:hAnsi="Times New Roman"/>
          <w:sz w:val="14"/>
          <w:szCs w:val="14"/>
          <w:color w:val="auto"/>
        </w:rPr>
        <w:t>Clearstream or Euroclear will credit payments to the cash accounts of Clearstream or Euroclear participants, as applicable, in accordance with the relevant system’s rules and procedures, to the extent received by its depositary. Clearstream or the Euroclear Operator, as the case may be, will take any other action permitted to be taken by a holder under the indenture on behalf of a Clearstream or Euroclear participant only in accordance with its relevant rules and procedures.</w:t>
      </w:r>
    </w:p>
    <w:p>
      <w:pPr>
        <w:spacing w:after="0" w:line="143" w:lineRule="exact"/>
        <w:rPr>
          <w:sz w:val="20"/>
          <w:szCs w:val="20"/>
          <w:color w:val="auto"/>
        </w:rPr>
      </w:pPr>
    </w:p>
    <w:p>
      <w:pPr>
        <w:ind w:left="1420" w:right="419" w:firstLine="337"/>
        <w:spacing w:after="0" w:line="259" w:lineRule="auto"/>
        <w:rPr>
          <w:sz w:val="20"/>
          <w:szCs w:val="20"/>
          <w:color w:val="auto"/>
        </w:rPr>
      </w:pPr>
      <w:r>
        <w:rPr>
          <w:rFonts w:ascii="Times New Roman" w:cs="Times New Roman" w:eastAsia="Times New Roman" w:hAnsi="Times New Roman"/>
          <w:sz w:val="14"/>
          <w:szCs w:val="14"/>
          <w:color w:val="auto"/>
        </w:rPr>
        <w:t>Clearstream and Euroclear have agreed to the foregoing procedures in order to facilitate transfers of interests in the notes among participants of Clearstream and Euroclear. However, they are under no obligation to perform or continue to perform those procedures, and they may discontinue those procedures at any time.</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S-36</w:t>
      </w:r>
    </w:p>
    <w:p>
      <w:pPr>
        <w:sectPr>
          <w:pgSz w:w="11900" w:h="16838" w:orient="portrait"/>
          <w:cols w:equalWidth="0" w:num="1">
            <w:col w:w="10159"/>
          </w:cols>
          <w:pgMar w:left="300" w:top="381"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Certificated Notes</w:t>
      </w:r>
    </w:p>
    <w:p>
      <w:pPr>
        <w:spacing w:after="0" w:line="91" w:lineRule="exact"/>
        <w:rPr>
          <w:sz w:val="20"/>
          <w:szCs w:val="20"/>
          <w:color w:val="auto"/>
        </w:rPr>
      </w:pPr>
    </w:p>
    <w:p>
      <w:pPr>
        <w:ind w:left="1420" w:right="299" w:firstLine="337"/>
        <w:spacing w:after="0" w:line="250" w:lineRule="auto"/>
        <w:rPr>
          <w:sz w:val="20"/>
          <w:szCs w:val="20"/>
          <w:color w:val="auto"/>
        </w:rPr>
      </w:pPr>
      <w:r>
        <w:rPr>
          <w:rFonts w:ascii="Times New Roman" w:cs="Times New Roman" w:eastAsia="Times New Roman" w:hAnsi="Times New Roman"/>
          <w:sz w:val="14"/>
          <w:szCs w:val="14"/>
          <w:color w:val="auto"/>
        </w:rPr>
        <w:t>If Clearstream or Euroclear is at any time unwilling or unable to continue as depositary, and a successor depositary is not appointed by us within 90 days, we will issue notes of like tenor in minimum denominations of €100,000 principal amount and integral multiples of €1,000 in excess thereof, in definitive form in exchange for an applicable registered global note that had been held by the depositary. Any notes issued in definitive form in exchange for a registered global note will be registered in the name or names that the depositary gives to the trustee or other relevant agent of the trustee. It is expected that the depositary’s instructions will be based upon directions received by the depositary from participants with respect to ownership of beneficial interests in the applicable registered global note that had been held by the depositary. In addition, we may at any time determine that the notes shall no longer be represented by a global note and will issue notes in definitive form in exchange for such global note pursuant to the procedure described above.</w:t>
      </w:r>
    </w:p>
    <w:p>
      <w:pPr>
        <w:spacing w:after="0" w:line="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S-37</w:t>
      </w:r>
    </w:p>
    <w:p>
      <w:pPr>
        <w:sectPr>
          <w:pgSz w:w="11900" w:h="16838" w:orient="portrait"/>
          <w:cols w:equalWidth="0" w:num="1">
            <w:col w:w="10159"/>
          </w:cols>
          <w:pgMar w:left="300" w:top="381"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CERTAIN U.S. FEDERAL INCOME TAX CONSIDERATIONS</w:t>
      </w:r>
    </w:p>
    <w:p>
      <w:pPr>
        <w:spacing w:after="0" w:line="174" w:lineRule="exact"/>
        <w:rPr>
          <w:sz w:val="20"/>
          <w:szCs w:val="20"/>
          <w:color w:val="auto"/>
        </w:rPr>
      </w:pPr>
    </w:p>
    <w:p>
      <w:pPr>
        <w:ind w:left="1420" w:right="319" w:firstLine="337"/>
        <w:spacing w:after="0" w:line="251" w:lineRule="auto"/>
        <w:rPr>
          <w:sz w:val="20"/>
          <w:szCs w:val="20"/>
          <w:color w:val="auto"/>
        </w:rPr>
      </w:pPr>
      <w:r>
        <w:rPr>
          <w:rFonts w:ascii="Times New Roman" w:cs="Times New Roman" w:eastAsia="Times New Roman" w:hAnsi="Times New Roman"/>
          <w:sz w:val="14"/>
          <w:szCs w:val="14"/>
          <w:color w:val="auto"/>
        </w:rPr>
        <w:t>The following is a summary of the material U.S. federal income tax considerations relevant to U.S. Holders and Non-U.S. Holders (both as defined below) relating to the purchase, ownership and disposition of the notes. This summary is based upon current provisions of the Internal Revenue Code of 1986, as amended (the “Code”), existing and proposed Treasury regulations promulgated thereunder, judicial decisions and rulings, pronouncements and administrative interpretations of the Internal Revenue Service (the “IRS”), all of which are subject to change, possibly on a retroactive basis, at any time by legislative, judicial or administrative action. We cannot assure you that the IRS will not challenge the conclusions stated below, and no ruling from the IRS has been (or will be) sought on any of the matters discussed below.</w:t>
      </w:r>
    </w:p>
    <w:p>
      <w:pPr>
        <w:spacing w:after="0" w:line="148" w:lineRule="exact"/>
        <w:rPr>
          <w:sz w:val="20"/>
          <w:szCs w:val="20"/>
          <w:color w:val="auto"/>
        </w:rPr>
      </w:pPr>
    </w:p>
    <w:p>
      <w:pPr>
        <w:ind w:left="1420" w:right="299" w:firstLine="337"/>
        <w:spacing w:after="0" w:line="271" w:lineRule="auto"/>
        <w:rPr>
          <w:sz w:val="20"/>
          <w:szCs w:val="20"/>
          <w:color w:val="auto"/>
        </w:rPr>
      </w:pPr>
      <w:r>
        <w:rPr>
          <w:rFonts w:ascii="Times New Roman" w:cs="Times New Roman" w:eastAsia="Times New Roman" w:hAnsi="Times New Roman"/>
          <w:sz w:val="13"/>
          <w:szCs w:val="13"/>
          <w:color w:val="auto"/>
        </w:rPr>
        <w:t>For purposes of this summary, a “U.S. Holder” is a beneficial owner of notes that is (a) an individual who is a citizen of the United States or who is resident in the United States for U.S. federal income tax purposes, (b) an entity that is classified for U.S. federal income tax purposes as a corporation and that is organized under the laws of the United States, any state thereof, or the District of Columbia, or is otherwise treated for U.S. federal income tax purposes as a domestic corporation, (c) an estate, the income of which is subject to U.S. federal income taxation regardless of its source, or (d) a trust</w:t>
      </w:r>
    </w:p>
    <w:p>
      <w:pPr>
        <w:ind w:left="1420" w:right="359" w:firstLine="5"/>
        <w:spacing w:after="0" w:line="250" w:lineRule="auto"/>
        <w:tabs>
          <w:tab w:leader="none" w:pos="1585"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whose administration is subject to the primary supervision of a court within the United States and all substantial decisions of which are subject to the control of one or more United States persons as described in Section 7701(a)(30) of the Code (“United States persons”), or (ii) that has a valid election in effect under applicable Treasury regulations to be treated as a United States person.</w:t>
      </w:r>
    </w:p>
    <w:p>
      <w:pPr>
        <w:spacing w:after="0" w:line="145" w:lineRule="exact"/>
        <w:rPr>
          <w:sz w:val="20"/>
          <w:szCs w:val="20"/>
          <w:color w:val="auto"/>
        </w:rPr>
      </w:pPr>
    </w:p>
    <w:p>
      <w:pPr>
        <w:ind w:left="1420" w:right="299" w:firstLine="337"/>
        <w:spacing w:after="0" w:line="251" w:lineRule="auto"/>
        <w:rPr>
          <w:sz w:val="20"/>
          <w:szCs w:val="20"/>
          <w:color w:val="auto"/>
        </w:rPr>
      </w:pPr>
      <w:r>
        <w:rPr>
          <w:rFonts w:ascii="Times New Roman" w:cs="Times New Roman" w:eastAsia="Times New Roman" w:hAnsi="Times New Roman"/>
          <w:sz w:val="14"/>
          <w:szCs w:val="14"/>
          <w:color w:val="auto"/>
        </w:rPr>
        <w:t>For purposes of this summary, a “Non-U.S. Holder” is a beneficial owner of notes that is not a U.S. Holder as defined above and that is classified for U.S. federal income tax purposes as being neither a partnership nor a “disregarded entity.” If an entity classified for U.S. federal income tax purposes as a partnership owns notes, the tax treatment of a member of the entity will depend on the status of the member and the activities of the entity. The tax treatment of such an entity, and the tax treatment of any member of such an entity, are not addressed in this summary. Any entity that is classified for U.S. federal income tax purposes as a partnership or as a “disregarded entity” and that owns notes, and any members of such an entity, are encouraged to consult their own tax advisors. For U.S. federal income tax purposes, the assets held by any entity that is classified as a “disregarded entity” and that has a single member are generally deemed to be held directly by such member.</w:t>
      </w:r>
    </w:p>
    <w:p>
      <w:pPr>
        <w:spacing w:after="0" w:line="145" w:lineRule="exact"/>
        <w:rPr>
          <w:sz w:val="20"/>
          <w:szCs w:val="20"/>
          <w:color w:val="auto"/>
        </w:rPr>
      </w:pPr>
    </w:p>
    <w:p>
      <w:pPr>
        <w:ind w:left="1420" w:right="299" w:firstLine="337"/>
        <w:spacing w:after="0" w:line="248" w:lineRule="auto"/>
        <w:rPr>
          <w:sz w:val="20"/>
          <w:szCs w:val="20"/>
          <w:color w:val="auto"/>
        </w:rPr>
      </w:pPr>
      <w:r>
        <w:rPr>
          <w:rFonts w:ascii="Times New Roman" w:cs="Times New Roman" w:eastAsia="Times New Roman" w:hAnsi="Times New Roman"/>
          <w:sz w:val="14"/>
          <w:szCs w:val="14"/>
          <w:color w:val="auto"/>
        </w:rPr>
        <w:t>The following summary does not purport to be a complete analysis of all the potential U.S. federal income tax considerations relating to the purchase, ownership, and disposition of the notes. Without limiting the generality of the foregoing, this summary does not address the effect of any special rules applicable to certain types of beneficial owners, including, without limitation, dealers in securities, insurance companies, financial institutions, thrifts, regulated investment companies, real estate investment trusts, tax-exempt entities, U.S. Holders whose functional currency is not the U.S. dollar, U.S. expatriates, persons who hold notes as part of a straddle, conversion transaction, or other risk reduction or integrated investment transaction, persons who purchase or sell notes as part of a wash sale for tax purposes, traders in securities that elect to use a mark-to-market method of tax accounting for their securities holdings, persons subject to special tax accounting rules as a result of any item of gross income with respect to the notes being taken into account in an applicable financial statement, individual retirement accounts or qualified pension plans, controlled foreign corporations, passive foreign investment companies, corporations that accumulate earnings to avoid U.S. federal income tax, or investors in pass through entities, including partnerships and Subchapter S corporations. Furthermore, this summary does not discuss any tax consequences arising under the Medicare contribution tax on net investment income or any alternative minimum tax, and does not address any aspects of federal non-income taxation or state, local, or non-U.S. taxation. This summary only applies to those beneficial owners that purchase notes in the initial offering at the initial offering prices and that hold notes as “capital assets” within the meaning of Section 1221 of the Code (generally, assets held for investment). In the case of any Non-U.S. Holder who is an individual, this summary assumes that this individual was not formerly a United States citizen, and was not formerly a resident of the United States for U.S. federal income tax purposes.</w:t>
      </w:r>
    </w:p>
    <w:p>
      <w:pPr>
        <w:spacing w:after="0" w:line="10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S-38</w:t>
      </w:r>
    </w:p>
    <w:p>
      <w:pPr>
        <w:sectPr>
          <w:pgSz w:w="11900" w:h="16838" w:orient="portrait"/>
          <w:cols w:equalWidth="0" w:num="1">
            <w:col w:w="10159"/>
          </w:cols>
          <w:pgMar w:left="300" w:top="381"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319" w:firstLine="337"/>
        <w:spacing w:after="0" w:line="269" w:lineRule="auto"/>
        <w:rPr>
          <w:sz w:val="20"/>
          <w:szCs w:val="20"/>
          <w:color w:val="auto"/>
        </w:rPr>
      </w:pPr>
      <w:r>
        <w:rPr>
          <w:rFonts w:ascii="Times New Roman" w:cs="Times New Roman" w:eastAsia="Times New Roman" w:hAnsi="Times New Roman"/>
          <w:sz w:val="13"/>
          <w:szCs w:val="13"/>
          <w:color w:val="auto"/>
        </w:rPr>
        <w:t>Treasury regulations provide special rules for the treatment of debt instruments that provide for contingent payments. Under these regulations, a contingency is disregarded if the contingency is remote or incidental. In addition, these regulations provide that if a debt instrument provides for alternative payment schedules applicable upon the occurrence of one or more contingencies, other than remote or incidental contingencies, a single payment schedule can be presumed to apply if such payment schedule is significantly more likely than not to occur, and the timing and amounts of the payments that compose each payment schedule are known as of the issue date. We believe and intend to take the position that the contingencies on the notes (for example, your right to require us to purchase the notes upon a change of control triggering event as described under “Description of the Notes —Purchase of Notes upon a Change of Control Triggering Event,” and our requirement to pay certain additional amounts under certain circumstances as described under “Description of the Notes—Payment of Additional Amounts”) will not cause the “contingent payment debt instrument” rules of the Treasury regulations to apply. Our position is based, in part, on our determination that, as of the date of the issuance of the notes, the possibility that we might be required to repurchase the notes or pay additional amounts is a remote or incidental contingency within the meaning of applicable Treasury regulations. Our position is binding on you unless you disclose a contrary position in a manner required by applicable Treasury regulations. However, a successful challenge of this position by the IRS could adversely affect the timing and amount of income inclusions with respect to the notes and could also cause any gain from the sale or other disposition of a note to be treated as ordinary income rather than as capital gain. Beneficial owners of the notes are encouraged to consult their own tax advisors regarding the possible application of the contingent payment debt instrument rules to the notes. The remainder of this summary assumes that the notes will not be considered to be contingent payment debt instruments.</w:t>
      </w:r>
    </w:p>
    <w:p>
      <w:pPr>
        <w:spacing w:after="0" w:line="134" w:lineRule="exact"/>
        <w:rPr>
          <w:sz w:val="20"/>
          <w:szCs w:val="20"/>
          <w:color w:val="auto"/>
        </w:rPr>
      </w:pPr>
    </w:p>
    <w:p>
      <w:pPr>
        <w:ind w:left="1420" w:right="339" w:firstLine="337"/>
        <w:spacing w:after="0" w:line="255" w:lineRule="auto"/>
        <w:rPr>
          <w:sz w:val="20"/>
          <w:szCs w:val="20"/>
          <w:color w:val="auto"/>
        </w:rPr>
      </w:pPr>
      <w:r>
        <w:rPr>
          <w:rFonts w:ascii="Times New Roman" w:cs="Times New Roman" w:eastAsia="Times New Roman" w:hAnsi="Times New Roman"/>
          <w:sz w:val="14"/>
          <w:szCs w:val="14"/>
          <w:color w:val="auto"/>
        </w:rPr>
        <w:t>THIS SUMMARY IS OF A GENERAL NATURE AND IS INCLUDED HEREIN SOLELY FOR INFORMATION PURPOSES. THIS SUMMARY IS NOT INTENDED TO BE, AND SHOULD NOT BE CONSTRUED TO BE, LEGAL OR TAX ADVICE. NO REPRESENTATION WITH RESPECT TO THE CONSEQUENCES TO ANY PARTICULAR PURCHASER OF THE NOTES IS MADE. PROSPECTIVE PURCHASERS SHOULD CONSULT THEIR OWN ADVISORS WITH RESPECT TO THEIR PARTICULAR CIRCUMSTANCES.</w:t>
      </w:r>
    </w:p>
    <w:p>
      <w:pPr>
        <w:spacing w:after="0" w:line="22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U.S. Holders</w:t>
      </w:r>
    </w:p>
    <w:p>
      <w:pPr>
        <w:spacing w:after="0" w:line="8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Interest</w:t>
      </w:r>
    </w:p>
    <w:p>
      <w:pPr>
        <w:spacing w:after="0" w:line="91" w:lineRule="exact"/>
        <w:rPr>
          <w:sz w:val="20"/>
          <w:szCs w:val="20"/>
          <w:color w:val="auto"/>
        </w:rPr>
      </w:pPr>
    </w:p>
    <w:p>
      <w:pPr>
        <w:ind w:left="1420" w:right="339" w:firstLine="337"/>
        <w:spacing w:after="0" w:line="251" w:lineRule="auto"/>
        <w:rPr>
          <w:sz w:val="20"/>
          <w:szCs w:val="20"/>
          <w:color w:val="auto"/>
        </w:rPr>
      </w:pPr>
      <w:r>
        <w:rPr>
          <w:rFonts w:ascii="Times New Roman" w:cs="Times New Roman" w:eastAsia="Times New Roman" w:hAnsi="Times New Roman"/>
          <w:sz w:val="14"/>
          <w:szCs w:val="14"/>
          <w:color w:val="auto"/>
        </w:rPr>
        <w:t xml:space="preserve">It is anticipated, and this summary assumes, that the notes will be issued with less than a de minimis amount of original issue discount (“OID”), if any (as determined under the Code). However, if the notes are issued at a discount that will equal or exceed </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OID, each U.S. Holder generally will be required to include OID in income (as interest) as it accrues, regardless of its regular method of accounting for U.S. federal income tax purposes, using a constant yield method, before such U.S. Holder receives any payment attributable to such income. Stated interest on the notes generally will be taxable to a U.S. Holder as ordinary income as the interest accrues or is paid (in accordance with the U.S. Holder’s method of tax accounting). The remainder of this summary assumes that the notes are not issued with an amount equal to or greater than </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OID.</w:t>
      </w:r>
    </w:p>
    <w:p>
      <w:pPr>
        <w:spacing w:after="0" w:line="144" w:lineRule="exact"/>
        <w:rPr>
          <w:sz w:val="20"/>
          <w:szCs w:val="20"/>
          <w:color w:val="auto"/>
        </w:rPr>
      </w:pPr>
    </w:p>
    <w:p>
      <w:pPr>
        <w:ind w:left="1420" w:right="319" w:firstLine="337"/>
        <w:spacing w:after="0" w:line="262" w:lineRule="auto"/>
        <w:rPr>
          <w:sz w:val="20"/>
          <w:szCs w:val="20"/>
          <w:color w:val="auto"/>
        </w:rPr>
      </w:pPr>
      <w:r>
        <w:rPr>
          <w:rFonts w:ascii="Times New Roman" w:cs="Times New Roman" w:eastAsia="Times New Roman" w:hAnsi="Times New Roman"/>
          <w:sz w:val="14"/>
          <w:szCs w:val="14"/>
          <w:i w:val="1"/>
          <w:iCs w:val="1"/>
          <w:color w:val="auto"/>
        </w:rPr>
        <w:t>Cash Basis Taxpayer</w:t>
      </w:r>
      <w:r>
        <w:rPr>
          <w:rFonts w:ascii="Times New Roman" w:cs="Times New Roman" w:eastAsia="Times New Roman" w:hAnsi="Times New Roman"/>
          <w:sz w:val="14"/>
          <w:szCs w:val="14"/>
          <w:color w:val="auto"/>
        </w:rPr>
        <w:t>. A U.S. Holder that uses the cash receipts and disbursements method of accounting for U.S. federal income tax purposes will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generally recognize income equal to the U.S. dollar value of the euro interest payment, based on the exchange rate in effect on the date of receipt, regardless of whether the U.S. Holder actually converts the payment into U.S. dollars.</w:t>
      </w:r>
    </w:p>
    <w:p>
      <w:pPr>
        <w:spacing w:after="0" w:line="135" w:lineRule="exact"/>
        <w:rPr>
          <w:sz w:val="20"/>
          <w:szCs w:val="20"/>
          <w:color w:val="auto"/>
        </w:rPr>
      </w:pPr>
    </w:p>
    <w:p>
      <w:pPr>
        <w:ind w:left="1420" w:right="299" w:firstLine="337"/>
        <w:spacing w:after="0" w:line="283" w:lineRule="auto"/>
        <w:rPr>
          <w:sz w:val="20"/>
          <w:szCs w:val="20"/>
          <w:color w:val="auto"/>
        </w:rPr>
      </w:pPr>
      <w:r>
        <w:rPr>
          <w:rFonts w:ascii="Times New Roman" w:cs="Times New Roman" w:eastAsia="Times New Roman" w:hAnsi="Times New Roman"/>
          <w:sz w:val="13"/>
          <w:szCs w:val="13"/>
          <w:i w:val="1"/>
          <w:iCs w:val="1"/>
          <w:color w:val="auto"/>
        </w:rPr>
        <w:t>Accrual Basis Taxpayer</w:t>
      </w:r>
      <w:r>
        <w:rPr>
          <w:rFonts w:ascii="Times New Roman" w:cs="Times New Roman" w:eastAsia="Times New Roman" w:hAnsi="Times New Roman"/>
          <w:sz w:val="13"/>
          <w:szCs w:val="13"/>
          <w:color w:val="auto"/>
        </w:rPr>
        <w:t>. A U.S. Holder that uses an accrual method of accounting for U.S. federal income tax purposes may determine the amount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income that the U.S. Holder recognizes with respect to an interest payment by using one of two methods. Under the first method, a U.S. Holder would determine the amount of income accrued by converting euro amounts accrued into U.S. dollars based on the average exchange rate in effect during the interest accrual period or, with respect to an accrual period that spans two taxable years, that part of the period within the taxable year.</w:t>
      </w:r>
    </w:p>
    <w:p>
      <w:pPr>
        <w:spacing w:after="0" w:line="7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S-39</w:t>
      </w:r>
    </w:p>
    <w:p>
      <w:pPr>
        <w:sectPr>
          <w:pgSz w:w="11900" w:h="16838" w:orient="portrait"/>
          <w:cols w:equalWidth="0" w:num="1">
            <w:col w:w="10159"/>
          </w:cols>
          <w:pgMar w:left="300" w:top="381"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299" w:firstLine="337"/>
        <w:spacing w:after="0" w:line="251" w:lineRule="auto"/>
        <w:rPr>
          <w:sz w:val="20"/>
          <w:szCs w:val="20"/>
          <w:color w:val="auto"/>
        </w:rPr>
      </w:pPr>
      <w:r>
        <w:rPr>
          <w:rFonts w:ascii="Times New Roman" w:cs="Times New Roman" w:eastAsia="Times New Roman" w:hAnsi="Times New Roman"/>
          <w:sz w:val="14"/>
          <w:szCs w:val="14"/>
          <w:color w:val="auto"/>
        </w:rPr>
        <w:t>If a U.S. Holder elects the second method, the U.S. Holder will determine the amount of income accrued on the basis of the exchange rate in effect on the last day of the accrual period, or, in the case of an accrual period that spans two taxable years, the exchange rate in effect on the last day of the part of the period within the taxable year. Additionally, under this second method, if the U.S. Holder receives a payment of interest within five business days of the last day of the U.S. Holder’s accrual period or taxable year, the U.S. Holder may instead translate the interest accrued into U.S. dollars at the exchange rate in effect on the day that the U.S. Holder actually receives the interest payment. If the U.S. Holder elects the second method, it will apply to all debt instruments that the U.S. Holder holds at the beginning of the first taxable year to which the election applies and to all debt instruments that the U.S. Holder subsequently acquires. A U.S. Holder may not revoke this election without the consent of the IRS.</w:t>
      </w:r>
    </w:p>
    <w:p>
      <w:pPr>
        <w:spacing w:after="0" w:line="145" w:lineRule="exact"/>
        <w:rPr>
          <w:sz w:val="20"/>
          <w:szCs w:val="20"/>
          <w:color w:val="auto"/>
        </w:rPr>
      </w:pPr>
    </w:p>
    <w:p>
      <w:pPr>
        <w:ind w:left="1420" w:right="459" w:firstLine="337"/>
        <w:spacing w:after="0" w:line="255" w:lineRule="auto"/>
        <w:rPr>
          <w:sz w:val="20"/>
          <w:szCs w:val="20"/>
          <w:color w:val="auto"/>
        </w:rPr>
      </w:pPr>
      <w:r>
        <w:rPr>
          <w:rFonts w:ascii="Times New Roman" w:cs="Times New Roman" w:eastAsia="Times New Roman" w:hAnsi="Times New Roman"/>
          <w:sz w:val="14"/>
          <w:szCs w:val="14"/>
          <w:color w:val="auto"/>
        </w:rPr>
        <w:t>When the U.S. Holder actually receives an interest payment, including a payment attributable to accrued but unpaid interest upon the sale or retirement of the U.S. Holder’s note, the U.S. Holder will recognize ordinary income or loss measured by the difference, if any, between the exchange rate that the U.S. Holder used to accrue interest income and the exchange rate in effect on the date of receipt, regardless of whether the U.S. Holder actually converts the payment into U.S. dollars.</w:t>
      </w:r>
    </w:p>
    <w:p>
      <w:pPr>
        <w:spacing w:after="0" w:line="22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Disposition of Notes</w:t>
      </w:r>
    </w:p>
    <w:p>
      <w:pPr>
        <w:spacing w:after="0" w:line="91" w:lineRule="exact"/>
        <w:rPr>
          <w:sz w:val="20"/>
          <w:szCs w:val="20"/>
          <w:color w:val="auto"/>
        </w:rPr>
      </w:pPr>
    </w:p>
    <w:p>
      <w:pPr>
        <w:jc w:val="both"/>
        <w:ind w:left="1420" w:right="319" w:firstLine="337"/>
        <w:spacing w:after="0" w:line="259" w:lineRule="auto"/>
        <w:rPr>
          <w:sz w:val="20"/>
          <w:szCs w:val="20"/>
          <w:color w:val="auto"/>
        </w:rPr>
      </w:pPr>
      <w:r>
        <w:rPr>
          <w:rFonts w:ascii="Times New Roman" w:cs="Times New Roman" w:eastAsia="Times New Roman" w:hAnsi="Times New Roman"/>
          <w:sz w:val="14"/>
          <w:szCs w:val="14"/>
          <w:color w:val="auto"/>
        </w:rPr>
        <w:t>In the case of a sale or other taxable disposition (including a redemption or retirement) of a note, a U.S. Holder will recognize gain or loss equal to the difference, if any, between the amount realized from such disposition (other than any amount representing accrued but unpaid interest, which will be treated as ordinary income to the extent not previously included in income) and the U.S. Holder’s adjusted tax basis in the note.</w:t>
      </w:r>
    </w:p>
    <w:p>
      <w:pPr>
        <w:spacing w:after="0" w:line="141" w:lineRule="exact"/>
        <w:rPr>
          <w:sz w:val="20"/>
          <w:szCs w:val="20"/>
          <w:color w:val="auto"/>
        </w:rPr>
      </w:pPr>
    </w:p>
    <w:p>
      <w:pPr>
        <w:jc w:val="both"/>
        <w:ind w:left="1420" w:right="379" w:firstLine="337"/>
        <w:spacing w:after="0" w:line="289" w:lineRule="auto"/>
        <w:rPr>
          <w:sz w:val="20"/>
          <w:szCs w:val="20"/>
          <w:color w:val="auto"/>
        </w:rPr>
      </w:pPr>
      <w:r>
        <w:rPr>
          <w:rFonts w:ascii="Times New Roman" w:cs="Times New Roman" w:eastAsia="Times New Roman" w:hAnsi="Times New Roman"/>
          <w:sz w:val="13"/>
          <w:szCs w:val="13"/>
          <w:color w:val="auto"/>
        </w:rPr>
        <w:t>The amount realized by the U.S. Holder will be the U.S. dollar value of the amount received on the date the note is disposed of or retired, except that in the case of a note that is traded on an established securities market, as defined in the applicable Treasury regulations, a cash basis taxpayer, or an accrual basis taxpayer that so elects, will determine the amount realized based on the U.S. dollar value of the euro on the settlement date of the sale.</w:t>
      </w:r>
    </w:p>
    <w:p>
      <w:pPr>
        <w:spacing w:after="0" w:line="122" w:lineRule="exact"/>
        <w:rPr>
          <w:sz w:val="20"/>
          <w:szCs w:val="20"/>
          <w:color w:val="auto"/>
        </w:rPr>
      </w:pPr>
    </w:p>
    <w:p>
      <w:pPr>
        <w:ind w:left="1420" w:right="479" w:firstLine="337"/>
        <w:spacing w:after="0" w:line="255" w:lineRule="auto"/>
        <w:rPr>
          <w:sz w:val="20"/>
          <w:szCs w:val="20"/>
          <w:color w:val="auto"/>
        </w:rPr>
      </w:pPr>
      <w:r>
        <w:rPr>
          <w:rFonts w:ascii="Times New Roman" w:cs="Times New Roman" w:eastAsia="Times New Roman" w:hAnsi="Times New Roman"/>
          <w:sz w:val="14"/>
          <w:szCs w:val="14"/>
          <w:color w:val="auto"/>
        </w:rPr>
        <w:t>A U.S. Holder’s adjusted tax basis in a note generally will equal the U.S. dollar value of the purchase price of the note on the date of purchase. However, if a U.S. Holder is a cash basis taxpayer, or an accrual basis taxpayer that so elects, and in either case the U.S. Holder’s note is traded on an established securities market, as defined in the applicable Treasury regulations, the U.S. Holder’s basis will be equal to the U.S. dollar value of the purchase price on the settlement date of the U.S. Holder’s purchase.</w:t>
      </w:r>
    </w:p>
    <w:p>
      <w:pPr>
        <w:spacing w:after="0" w:line="143" w:lineRule="exact"/>
        <w:rPr>
          <w:sz w:val="20"/>
          <w:szCs w:val="20"/>
          <w:color w:val="auto"/>
        </w:rPr>
      </w:pPr>
    </w:p>
    <w:p>
      <w:pPr>
        <w:ind w:left="1420" w:right="299" w:firstLine="337"/>
        <w:spacing w:after="0" w:line="253" w:lineRule="auto"/>
        <w:rPr>
          <w:sz w:val="20"/>
          <w:szCs w:val="20"/>
          <w:color w:val="auto"/>
        </w:rPr>
      </w:pPr>
      <w:r>
        <w:rPr>
          <w:rFonts w:ascii="Times New Roman" w:cs="Times New Roman" w:eastAsia="Times New Roman" w:hAnsi="Times New Roman"/>
          <w:sz w:val="14"/>
          <w:szCs w:val="14"/>
          <w:color w:val="auto"/>
        </w:rPr>
        <w:t>A gain or loss recognized by a U.S. Holder on a sale or other taxable disposition of a note generally will constitute capital gain or loss, except to the extent of the difference in the U.S. dollar value of the principal amount of the notes between the U.S. Holder’s purchase and disposition of the notes attributable to changes in exchange rates as described below. Capital gain recognized by an individual upon the sale or other taxable disposition of a note that is held for more than one year is generally eligible for a reduced rate of U.S. federal income taxation. The deductibility of a capital loss recognized upon the sale or other taxable disposition of a note is subject to limitations.</w:t>
      </w:r>
    </w:p>
    <w:p>
      <w:pPr>
        <w:spacing w:after="0" w:line="144" w:lineRule="exact"/>
        <w:rPr>
          <w:sz w:val="20"/>
          <w:szCs w:val="20"/>
          <w:color w:val="auto"/>
        </w:rPr>
      </w:pPr>
    </w:p>
    <w:p>
      <w:pPr>
        <w:jc w:val="both"/>
        <w:ind w:left="1420" w:right="419" w:firstLine="337"/>
        <w:spacing w:after="0" w:line="259" w:lineRule="auto"/>
        <w:rPr>
          <w:sz w:val="20"/>
          <w:szCs w:val="20"/>
          <w:color w:val="auto"/>
        </w:rPr>
      </w:pPr>
      <w:r>
        <w:rPr>
          <w:rFonts w:ascii="Times New Roman" w:cs="Times New Roman" w:eastAsia="Times New Roman" w:hAnsi="Times New Roman"/>
          <w:sz w:val="14"/>
          <w:szCs w:val="14"/>
          <w:color w:val="auto"/>
        </w:rPr>
        <w:t>A U.S. Holder must treat any portion of the gain or loss that the U.S. Holder recognizes on the sale or retirement of a note as ordinary income or loss to the extent attributable to changes in exchange rates. However, the U.S. Holder takes exchange gain or loss into account only to the extent of the total gain or loss the U.S. Holder realizes on the transaction.</w:t>
      </w:r>
    </w:p>
    <w:p>
      <w:pPr>
        <w:spacing w:after="0" w:line="2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Exchange of Amounts in Other Than U.S. Dollars</w:t>
      </w:r>
    </w:p>
    <w:p>
      <w:pPr>
        <w:spacing w:after="0" w:line="91" w:lineRule="exact"/>
        <w:rPr>
          <w:sz w:val="20"/>
          <w:szCs w:val="20"/>
          <w:color w:val="auto"/>
        </w:rPr>
      </w:pPr>
    </w:p>
    <w:p>
      <w:pPr>
        <w:ind w:left="1420" w:right="539" w:firstLine="337"/>
        <w:spacing w:after="0" w:line="273" w:lineRule="auto"/>
        <w:rPr>
          <w:sz w:val="20"/>
          <w:szCs w:val="20"/>
          <w:color w:val="auto"/>
        </w:rPr>
      </w:pPr>
      <w:r>
        <w:rPr>
          <w:rFonts w:ascii="Times New Roman" w:cs="Times New Roman" w:eastAsia="Times New Roman" w:hAnsi="Times New Roman"/>
          <w:sz w:val="14"/>
          <w:szCs w:val="14"/>
          <w:color w:val="auto"/>
        </w:rPr>
        <w:t>A U.S. Holder’s tax basis in the euro would equal its U.S. dollar value when the interest is received or at the time of the sale or retirement. If a U.S. Holder purchases euro, the U.S. Holder generally will have a tax basis</w:t>
      </w:r>
    </w:p>
    <w:p>
      <w:pPr>
        <w:spacing w:after="0" w:line="7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S-40</w:t>
      </w:r>
    </w:p>
    <w:p>
      <w:pPr>
        <w:sectPr>
          <w:pgSz w:w="11900" w:h="16838" w:orient="portrait"/>
          <w:cols w:equalWidth="0" w:num="1">
            <w:col w:w="10159"/>
          </w:cols>
          <w:pgMar w:left="300" w:top="381"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319"/>
        <w:spacing w:after="0" w:line="273" w:lineRule="auto"/>
        <w:rPr>
          <w:sz w:val="20"/>
          <w:szCs w:val="20"/>
          <w:color w:val="auto"/>
        </w:rPr>
      </w:pPr>
      <w:r>
        <w:rPr>
          <w:rFonts w:ascii="Times New Roman" w:cs="Times New Roman" w:eastAsia="Times New Roman" w:hAnsi="Times New Roman"/>
          <w:sz w:val="14"/>
          <w:szCs w:val="14"/>
          <w:color w:val="auto"/>
        </w:rPr>
        <w:t>equal to the U.S. dollar value of the euro on the date of such purchase. If the U.S. Holder sells or disposes of euro, including if the U.S. Holder uses euro to purchase notes or exchanges euro for U.S. dollars, any gain or loss recognized generally will be ordinary income or loss.</w:t>
      </w:r>
    </w:p>
    <w:p>
      <w:pPr>
        <w:spacing w:after="0" w:line="20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Treasury Regulations Requiring Disclosure of Reportable Transactions</w:t>
      </w:r>
    </w:p>
    <w:p>
      <w:pPr>
        <w:spacing w:after="0" w:line="91" w:lineRule="exact"/>
        <w:rPr>
          <w:sz w:val="20"/>
          <w:szCs w:val="20"/>
          <w:color w:val="auto"/>
        </w:rPr>
      </w:pPr>
    </w:p>
    <w:p>
      <w:pPr>
        <w:ind w:left="1420" w:right="299" w:firstLine="337"/>
        <w:spacing w:after="0" w:line="250" w:lineRule="auto"/>
        <w:rPr>
          <w:sz w:val="20"/>
          <w:szCs w:val="20"/>
          <w:color w:val="auto"/>
        </w:rPr>
      </w:pPr>
      <w:r>
        <w:rPr>
          <w:rFonts w:ascii="Times New Roman" w:cs="Times New Roman" w:eastAsia="Times New Roman" w:hAnsi="Times New Roman"/>
          <w:sz w:val="14"/>
          <w:szCs w:val="14"/>
          <w:color w:val="auto"/>
        </w:rPr>
        <w:t>Treasury regulations require United States taxpayers to report certain transactions that give rise to a loss in excess of certain thresholds (a “Reportable Transaction”). Under these regulations, a U.S. Holder (or a Non-U.S. Holder that holds the notes in connection with a U.S. trade or business) that recognizes a loss with respect to the notes that is characterized as an ordinary loss due to changes in currency exchange rates (under any of the rules discussed above) will be required to report the loss on IRS Form 8886 (Reportable Transaction Statement) if the loss exceeds the thresholds set forth in the regulations. For individuals and trusts, this loss threshold is $50,000 in any single taxable year. For other types of taxpayers and other types of losses, the thresholds are higher. U.S. Holders (or Non-U.S. Holders that hold the notes in connection with a U.S. trade or business) of the notes should consult with their tax advisor regarding any tax filing and reporting obligations that may apply in connection with acquiring, owning and disposing of notes.</w:t>
      </w:r>
    </w:p>
    <w:p>
      <w:pPr>
        <w:spacing w:after="0" w:line="22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and Backup Withholding</w:t>
      </w:r>
    </w:p>
    <w:p>
      <w:pPr>
        <w:spacing w:after="0" w:line="91" w:lineRule="exact"/>
        <w:rPr>
          <w:sz w:val="20"/>
          <w:szCs w:val="20"/>
          <w:color w:val="auto"/>
        </w:rPr>
      </w:pPr>
    </w:p>
    <w:p>
      <w:pPr>
        <w:ind w:left="1420" w:right="299" w:firstLine="337"/>
        <w:spacing w:after="0" w:line="253" w:lineRule="auto"/>
        <w:rPr>
          <w:sz w:val="20"/>
          <w:szCs w:val="20"/>
          <w:color w:val="auto"/>
        </w:rPr>
      </w:pPr>
      <w:r>
        <w:rPr>
          <w:rFonts w:ascii="Times New Roman" w:cs="Times New Roman" w:eastAsia="Times New Roman" w:hAnsi="Times New Roman"/>
          <w:sz w:val="14"/>
          <w:szCs w:val="14"/>
          <w:color w:val="auto"/>
        </w:rPr>
        <w:t>In general, information reporting requirements will apply with respect to payments of principal and interest on the notes to a U.S. Holder, and with respect to payments to a U.S. Holder of any proceeds from a disposition of the notes. In addition, a U.S. Holder may be subject to backup withholding on such payments that are subject to information reporting if the U.S. Holder fails to supply its correct taxpayer identification number in the manner required by applicable law, fails to certify that it is not subject to backup withholding, or otherwise fails to comply with applicable backup withholding rules.</w:t>
      </w:r>
    </w:p>
    <w:p>
      <w:pPr>
        <w:spacing w:after="0" w:line="144" w:lineRule="exact"/>
        <w:rPr>
          <w:sz w:val="20"/>
          <w:szCs w:val="20"/>
          <w:color w:val="auto"/>
        </w:rPr>
      </w:pPr>
    </w:p>
    <w:p>
      <w:pPr>
        <w:ind w:left="1420" w:right="639" w:firstLine="337"/>
        <w:spacing w:after="0" w:line="253" w:lineRule="auto"/>
        <w:rPr>
          <w:sz w:val="20"/>
          <w:szCs w:val="20"/>
          <w:color w:val="auto"/>
        </w:rPr>
      </w:pPr>
      <w:r>
        <w:rPr>
          <w:rFonts w:ascii="Times New Roman" w:cs="Times New Roman" w:eastAsia="Times New Roman" w:hAnsi="Times New Roman"/>
          <w:sz w:val="14"/>
          <w:szCs w:val="14"/>
          <w:color w:val="auto"/>
        </w:rPr>
        <w:t>Certain persons are exempt from information reporting and backup withholding, including corporations and financial institutions. Exempt recipients that are not subject to backup withholding and do not provide an IRS Form W-9 may nonetheless be treated as foreign payees subject to withholding under FATCA, and may be withheld upon at the 30% rate discussed below under “—Non-U.S. Holders—Foreign Account Tax Compliance.” U.S. Holders should consult their tax advisors as to their qualification for exemption from backup withholding and the procedure for obtaining such exemption.</w:t>
      </w:r>
    </w:p>
    <w:p>
      <w:pPr>
        <w:spacing w:after="0" w:line="144" w:lineRule="exact"/>
        <w:rPr>
          <w:sz w:val="20"/>
          <w:szCs w:val="20"/>
          <w:color w:val="auto"/>
        </w:rPr>
      </w:pPr>
    </w:p>
    <w:p>
      <w:pPr>
        <w:ind w:left="1420" w:right="379" w:firstLine="337"/>
        <w:spacing w:after="0" w:line="273" w:lineRule="auto"/>
        <w:rPr>
          <w:sz w:val="20"/>
          <w:szCs w:val="20"/>
          <w:color w:val="auto"/>
        </w:rPr>
      </w:pPr>
      <w:r>
        <w:rPr>
          <w:rFonts w:ascii="Times New Roman" w:cs="Times New Roman" w:eastAsia="Times New Roman" w:hAnsi="Times New Roman"/>
          <w:sz w:val="14"/>
          <w:szCs w:val="14"/>
          <w:color w:val="auto"/>
        </w:rPr>
        <w:t>Any amounts withheld from a U.S. Holder under the backup withholding provisions may be credited against the U.S. federal income tax liability, if any, of the U.S. Holder, and may entitle the U.S. Holder to a refund, provided that the required information is timely furnished to the IRS.</w:t>
      </w:r>
    </w:p>
    <w:p>
      <w:pPr>
        <w:spacing w:after="0" w:line="20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Non-U.S. Holders</w:t>
      </w:r>
    </w:p>
    <w:p>
      <w:pPr>
        <w:spacing w:after="0" w:line="8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Interest</w:t>
      </w:r>
    </w:p>
    <w:p>
      <w:pPr>
        <w:spacing w:after="0" w:line="9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3"/>
          <w:szCs w:val="13"/>
          <w:color w:val="auto"/>
        </w:rPr>
        <w:t>Interest earned on a note by a Non-U.S. Holder will be considered “portfolio interest,” and (subject to the discussion below under “—Information</w:t>
      </w:r>
    </w:p>
    <w:p>
      <w:pPr>
        <w:spacing w:after="0" w:line="2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Reporting and Backup Withholding” and “—Foreign Account Tax Compliance”) will not be subject to U.S. federal income tax or withholding, if:</w:t>
      </w:r>
    </w:p>
    <w:p>
      <w:pPr>
        <w:spacing w:after="0" w:line="84" w:lineRule="exact"/>
        <w:rPr>
          <w:sz w:val="20"/>
          <w:szCs w:val="20"/>
          <w:color w:val="auto"/>
        </w:rPr>
      </w:pPr>
    </w:p>
    <w:p>
      <w:pPr>
        <w:jc w:val="both"/>
        <w:ind w:left="2160" w:right="379" w:hanging="322"/>
        <w:spacing w:after="0" w:line="259" w:lineRule="auto"/>
        <w:tabs>
          <w:tab w:leader="none" w:pos="2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neither (i) a “controlled foreign corporation” that is related to us as described in Section 881(c)(3)(C) of the Code nor (ii) a person who owns, directly or under the attribution rules of Section 871(h)(3)(C) of the Code, 10% or more of the total combined voting power of our equity interests;</w:t>
      </w:r>
    </w:p>
    <w:p>
      <w:pPr>
        <w:spacing w:after="0" w:line="68"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 requirements described below are satisfied; and</w:t>
      </w:r>
    </w:p>
    <w:p>
      <w:pPr>
        <w:spacing w:after="0" w:line="97" w:lineRule="exact"/>
        <w:rPr>
          <w:rFonts w:ascii="Times New Roman" w:cs="Times New Roman" w:eastAsia="Times New Roman" w:hAnsi="Times New Roman"/>
          <w:sz w:val="14"/>
          <w:szCs w:val="14"/>
          <w:color w:val="auto"/>
        </w:rPr>
      </w:pPr>
    </w:p>
    <w:p>
      <w:pPr>
        <w:jc w:val="both"/>
        <w:ind w:left="2160" w:right="339" w:hanging="322"/>
        <w:spacing w:after="0" w:line="259" w:lineRule="auto"/>
        <w:tabs>
          <w:tab w:leader="none" w:pos="2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is not effectively connected with the conduct of a trade or business within the United States by the Non-U.S. Holder (or, in the case of an applicable income tax treaty, is not attributable to a permanent establishment or a fixed base that the Non-U.S. Holder maintains in the United States).</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S-41</w:t>
      </w:r>
    </w:p>
    <w:p>
      <w:pPr>
        <w:sectPr>
          <w:pgSz w:w="11900" w:h="16838" w:orient="portrait"/>
          <w:cols w:equalWidth="0" w:num="1">
            <w:col w:w="10159"/>
          </w:cols>
          <w:pgMar w:left="300" w:top="381"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339" w:firstLine="337"/>
        <w:spacing w:after="0" w:line="249" w:lineRule="auto"/>
        <w:rPr>
          <w:sz w:val="20"/>
          <w:szCs w:val="20"/>
          <w:color w:val="auto"/>
        </w:rPr>
      </w:pPr>
      <w:r>
        <w:rPr>
          <w:rFonts w:ascii="Times New Roman" w:cs="Times New Roman" w:eastAsia="Times New Roman" w:hAnsi="Times New Roman"/>
          <w:sz w:val="14"/>
          <w:szCs w:val="14"/>
          <w:color w:val="auto"/>
        </w:rPr>
        <w:t>In order to satisfy the certification requirement, the Non-U.S. Holder must provide a properly completed IRS Form W-8BEN, or IRS Form W-8BEN-E, as applicable (or suitable substitute IRS Form W-8BEN or IRS Form W-8BEN-E as applicable, or the appropriate successor form) under penalty of perjury, that provides the Non-U.S. Holder’s name and address and certifies that the Non-U.S. Holder is not a United States person. Alternatively, in a case where a securities clearing organization, bank or other financial institution holds the note in the ordinary course of business on behalf of the Non-U.S. Holder, the person who otherwise would be required to withhold U.S. federal income tax must receive from the financial institution a certification, under penalty of perjury, that a properly completed IRS Form W-8BEN or IRS Form W-8BEN-E, as applicable (or suitable substitute IRS Form W-8BEN or IRS Form W-8BEN-E, as applicable, or the appropriate successor form), has been received by it, or by another such financial institution, from the Non-U.S. Holder, and a copy of such a form must be furnished to the payor. Special rules apply to foreign partnerships, estates and trusts, and in certain circumstances, certifications as to foreign status of partners, trust owners, or beneficiaries may be required to be provided to the person who otherwise would be required to withhold U.S. federal income tax. In addition, special rules apply to payments made through a qualified intermediary.</w:t>
      </w:r>
    </w:p>
    <w:p>
      <w:pPr>
        <w:spacing w:after="0" w:line="148" w:lineRule="exact"/>
        <w:rPr>
          <w:sz w:val="20"/>
          <w:szCs w:val="20"/>
          <w:color w:val="auto"/>
        </w:rPr>
      </w:pPr>
    </w:p>
    <w:p>
      <w:pPr>
        <w:ind w:left="1420" w:right="479" w:firstLine="337"/>
        <w:spacing w:after="0" w:line="255" w:lineRule="auto"/>
        <w:rPr>
          <w:sz w:val="20"/>
          <w:szCs w:val="20"/>
          <w:color w:val="auto"/>
        </w:rPr>
      </w:pPr>
      <w:r>
        <w:rPr>
          <w:rFonts w:ascii="Times New Roman" w:cs="Times New Roman" w:eastAsia="Times New Roman" w:hAnsi="Times New Roman"/>
          <w:sz w:val="14"/>
          <w:szCs w:val="14"/>
          <w:color w:val="auto"/>
        </w:rPr>
        <w:t>If any of the conditions described above are not met, any payments to a Non-U.S. Holder of interest will be subject to a U.S. federal income tax and withholding at a rate of 30% (or at a lower rate under an applicable income tax treaty). To claim a reduction or exemption under an applicable income tax treaty, a Non-U.S. Holder must generally submit, to the person that otherwise would be required to withhold U.S. federal income tax, a properly completed IRS Form W-8BEN or IRS Form W-8BEN-E (or a suitable substitute or successor form).</w:t>
      </w:r>
    </w:p>
    <w:p>
      <w:pPr>
        <w:spacing w:after="0" w:line="143" w:lineRule="exact"/>
        <w:rPr>
          <w:sz w:val="20"/>
          <w:szCs w:val="20"/>
          <w:color w:val="auto"/>
        </w:rPr>
      </w:pPr>
    </w:p>
    <w:p>
      <w:pPr>
        <w:ind w:left="1420" w:right="299" w:firstLine="337"/>
        <w:spacing w:after="0" w:line="273" w:lineRule="auto"/>
        <w:rPr>
          <w:sz w:val="20"/>
          <w:szCs w:val="20"/>
          <w:color w:val="auto"/>
        </w:rPr>
      </w:pPr>
      <w:r>
        <w:rPr>
          <w:rFonts w:ascii="Times New Roman" w:cs="Times New Roman" w:eastAsia="Times New Roman" w:hAnsi="Times New Roman"/>
          <w:sz w:val="13"/>
          <w:szCs w:val="13"/>
          <w:color w:val="auto"/>
        </w:rPr>
        <w:t>Any interest earned on a note that is effectively connected with the conduct of a trade or business (and, if a United States income tax treaty applies, is attributable to a permanent establishment maintained) within the United States by a Non-U.S. Holder will be subject to U.S. federal income tax at regular graduated rates. If the Non-U.S. Holder is classified as a corporation for U.S. federal income tax purposes, such income could be subject to a U.S. branch profits tax, which is imposed at a rate of 30% (or at a lower rate under an applicable income tax treaty) on effectively connected earnings and profits, subject to certain adjustments. However, unless exempt from net income tax under an applicable income tax treaty, such effectively connected income will generally not be subject to U.S. federal income tax withholding, provided that the Non-U.S. Holder furnishes a properly completed IRS Form W-8ECI (or applicable successor form) to the person that otherwise would be required to withhold U.S. federal income tax.</w:t>
      </w:r>
    </w:p>
    <w:p>
      <w:pPr>
        <w:spacing w:after="0" w:line="21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Disposition of Notes</w:t>
      </w:r>
    </w:p>
    <w:p>
      <w:pPr>
        <w:spacing w:after="0" w:line="91" w:lineRule="exact"/>
        <w:rPr>
          <w:sz w:val="20"/>
          <w:szCs w:val="20"/>
          <w:color w:val="auto"/>
        </w:rPr>
      </w:pPr>
    </w:p>
    <w:p>
      <w:pPr>
        <w:ind w:left="1420" w:right="419" w:firstLine="337"/>
        <w:spacing w:after="0" w:line="255" w:lineRule="auto"/>
        <w:rPr>
          <w:sz w:val="20"/>
          <w:szCs w:val="20"/>
          <w:color w:val="auto"/>
        </w:rPr>
      </w:pPr>
      <w:r>
        <w:rPr>
          <w:rFonts w:ascii="Times New Roman" w:cs="Times New Roman" w:eastAsia="Times New Roman" w:hAnsi="Times New Roman"/>
          <w:sz w:val="14"/>
          <w:szCs w:val="14"/>
          <w:color w:val="auto"/>
        </w:rPr>
        <w:t>Subject to the discussion below under “—Information Reporting and Backup Withholding” and “—Foreign Account Tax Compliance,” any gain (other than an amount representing accrued but unpaid interest, which will be treated as described above in “—Interest”) recognized by a Non-U.S. Holder upon a sale or other taxable disposition (including a redemption or retirement) of a note generally will not be subject to U.S. federal income tax or withholding unless:</w:t>
      </w:r>
    </w:p>
    <w:p>
      <w:pPr>
        <w:spacing w:after="0" w:line="71" w:lineRule="exact"/>
        <w:rPr>
          <w:sz w:val="20"/>
          <w:szCs w:val="20"/>
          <w:color w:val="auto"/>
        </w:rPr>
      </w:pPr>
    </w:p>
    <w:p>
      <w:pPr>
        <w:ind w:left="2160" w:right="359" w:hanging="322"/>
        <w:spacing w:after="0" w:line="273" w:lineRule="auto"/>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the conduct of a trade or business (and, if a United States income tax treaty applies, is attributable to a permanent establishment maintained) within the United States by the Non-U.S. Holder; or</w:t>
      </w:r>
    </w:p>
    <w:p>
      <w:pPr>
        <w:spacing w:after="0" w:line="57" w:lineRule="exact"/>
        <w:rPr>
          <w:rFonts w:ascii="Times New Roman" w:cs="Times New Roman" w:eastAsia="Times New Roman" w:hAnsi="Times New Roman"/>
          <w:sz w:val="14"/>
          <w:szCs w:val="14"/>
          <w:color w:val="auto"/>
        </w:rPr>
      </w:pPr>
    </w:p>
    <w:p>
      <w:pPr>
        <w:ind w:left="2160" w:right="459" w:hanging="322"/>
        <w:spacing w:after="0" w:line="273" w:lineRule="auto"/>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Non-U.S. Holder who is an individual, such individual is present in the United States for 183 days or more in the taxable year of the sale or other disposition and certain other conditions are met.</w:t>
      </w:r>
    </w:p>
    <w:p>
      <w:pPr>
        <w:spacing w:after="0" w:line="130" w:lineRule="exact"/>
        <w:rPr>
          <w:sz w:val="20"/>
          <w:szCs w:val="20"/>
          <w:color w:val="auto"/>
        </w:rPr>
      </w:pPr>
    </w:p>
    <w:p>
      <w:pPr>
        <w:ind w:left="1420" w:right="319" w:firstLine="337"/>
        <w:spacing w:after="0" w:line="255" w:lineRule="auto"/>
        <w:rPr>
          <w:sz w:val="20"/>
          <w:szCs w:val="20"/>
          <w:color w:val="auto"/>
        </w:rPr>
      </w:pPr>
      <w:r>
        <w:rPr>
          <w:rFonts w:ascii="Times New Roman" w:cs="Times New Roman" w:eastAsia="Times New Roman" w:hAnsi="Times New Roman"/>
          <w:sz w:val="14"/>
          <w:szCs w:val="14"/>
          <w:color w:val="auto"/>
        </w:rPr>
        <w:t>In the case of a Non-U.S. Holder whose gain is described in the first bullet point above, any such gain will be subject to U.S. federal income tax at regular graduated rates, and (if the Non-U.S. Holder is classified as a corporation for U.S. federal income tax purposes) may also be subject to a U.S. branch profits tax, which is imposed at a rate of 30% (or at a lower rate under an applicable income tax treaty) on effectively connected earnings and profits, subject to certain adjustments.</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S-42</w:t>
      </w:r>
    </w:p>
    <w:p>
      <w:pPr>
        <w:sectPr>
          <w:pgSz w:w="11900" w:h="16838" w:orient="portrait"/>
          <w:cols w:equalWidth="0" w:num="1">
            <w:col w:w="10159"/>
          </w:cols>
          <w:pgMar w:left="300" w:top="381"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jc w:val="both"/>
        <w:ind w:left="1420" w:right="619" w:firstLine="337"/>
        <w:spacing w:after="0" w:line="312" w:lineRule="auto"/>
        <w:rPr>
          <w:sz w:val="20"/>
          <w:szCs w:val="20"/>
          <w:color w:val="auto"/>
        </w:rPr>
      </w:pPr>
      <w:r>
        <w:rPr>
          <w:rFonts w:ascii="Times New Roman" w:cs="Times New Roman" w:eastAsia="Times New Roman" w:hAnsi="Times New Roman"/>
          <w:sz w:val="13"/>
          <w:szCs w:val="13"/>
          <w:color w:val="auto"/>
        </w:rPr>
        <w:t>An individual Non-U.S. Holder described in the second bullet point above will be subject to U.S. federal income tax at a rate of 30% (or at a reduced rate under an applicable U.S. income tax treaty) on the amount by which its U.S.-source capital gains exceed its U.S.-source capital losses.</w:t>
      </w:r>
    </w:p>
    <w:p>
      <w:pPr>
        <w:spacing w:after="0" w:line="18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and Backup Withholding</w:t>
      </w:r>
    </w:p>
    <w:p>
      <w:pPr>
        <w:spacing w:after="0" w:line="91" w:lineRule="exact"/>
        <w:rPr>
          <w:sz w:val="20"/>
          <w:szCs w:val="20"/>
          <w:color w:val="auto"/>
        </w:rPr>
      </w:pPr>
    </w:p>
    <w:p>
      <w:pPr>
        <w:ind w:left="1420" w:right="719" w:firstLine="337"/>
        <w:spacing w:after="0" w:line="259" w:lineRule="auto"/>
        <w:rPr>
          <w:sz w:val="20"/>
          <w:szCs w:val="20"/>
          <w:color w:val="auto"/>
        </w:rPr>
      </w:pPr>
      <w:r>
        <w:rPr>
          <w:rFonts w:ascii="Times New Roman" w:cs="Times New Roman" w:eastAsia="Times New Roman" w:hAnsi="Times New Roman"/>
          <w:sz w:val="14"/>
          <w:szCs w:val="14"/>
          <w:color w:val="auto"/>
        </w:rPr>
        <w:t>Any payments of interest on the notes to a Non-U.S. Holder generally will be reported to the IRS and to the Non-U.S. Holder, regardless of whether withholding was required. Copies of these information returns may also be made available under the provisions of a specific treaty or agreement to the tax authorities of the country in which the payee resides.</w:t>
      </w:r>
    </w:p>
    <w:p>
      <w:pPr>
        <w:spacing w:after="0" w:line="141" w:lineRule="exact"/>
        <w:rPr>
          <w:sz w:val="20"/>
          <w:szCs w:val="20"/>
          <w:color w:val="auto"/>
        </w:rPr>
      </w:pPr>
    </w:p>
    <w:p>
      <w:pPr>
        <w:ind w:left="1420" w:right="419" w:firstLine="337"/>
        <w:spacing w:after="0" w:line="255" w:lineRule="auto"/>
        <w:rPr>
          <w:sz w:val="20"/>
          <w:szCs w:val="20"/>
          <w:color w:val="auto"/>
        </w:rPr>
      </w:pPr>
      <w:r>
        <w:rPr>
          <w:rFonts w:ascii="Times New Roman" w:cs="Times New Roman" w:eastAsia="Times New Roman" w:hAnsi="Times New Roman"/>
          <w:sz w:val="14"/>
          <w:szCs w:val="14"/>
          <w:color w:val="auto"/>
        </w:rPr>
        <w:t>Any payments of interest on the notes to a Non-U.S. Holder generally will not be subject to backup withholding and additional information reporting, provided that (i) the Non-U.S. Holder provides to the applicable withholding agent a properly completed IRS Form W-8BEN, IRS Form W-8BEN-E, IRS Form W-8ECI, IRS Form W-8EXP or IRS Form W-8IMY (or a suitable substitute or successor form) and certain other conditions are met, or (ii) the Non-U.S. Holder otherwise establishes an exemption.</w:t>
      </w:r>
    </w:p>
    <w:p>
      <w:pPr>
        <w:spacing w:after="0" w:line="143" w:lineRule="exact"/>
        <w:rPr>
          <w:sz w:val="20"/>
          <w:szCs w:val="20"/>
          <w:color w:val="auto"/>
        </w:rPr>
      </w:pPr>
    </w:p>
    <w:p>
      <w:pPr>
        <w:ind w:left="1420" w:right="299" w:firstLine="337"/>
        <w:spacing w:after="0" w:line="270" w:lineRule="auto"/>
        <w:rPr>
          <w:sz w:val="20"/>
          <w:szCs w:val="20"/>
          <w:color w:val="auto"/>
        </w:rPr>
      </w:pPr>
      <w:r>
        <w:rPr>
          <w:rFonts w:ascii="Times New Roman" w:cs="Times New Roman" w:eastAsia="Times New Roman" w:hAnsi="Times New Roman"/>
          <w:sz w:val="13"/>
          <w:szCs w:val="13"/>
          <w:color w:val="auto"/>
        </w:rPr>
        <w:t>The payment to a Non-U.S. Holder of the proceeds of a disposition of a note by or through the U.S. office of a broker generally will not be subject to information reporting or backup withholding if the Non-U.S. Holder either certifies, under penalty of perjury, on a properly completed IRS Form W-8BEN, IRS Form W-8BEN-E or IRS Form W-8ECI (or a suitable substitute or successor form) that it is not a United States person and certain other conditions are met (or the Non-U.S. Holder otherwise establishes an exemption). Information reporting and backup withholding generally will not apply to the payment of the proceeds of a disposition of a note by or through the foreign office of a foreign broker (within the meaning of applicable Treasury regulations). However, with respect to a payment of the proceeds of the disposition of a note by or through a foreign office of a U.S. broker or of a foreign broker with certain relationships to the United States, information reporting requirements generally will apply unless the broker has documentary evidence that the Non-U.S. Holder is not a United States person and certain other conditions are met, or the holder otherwise establishes an exemption; and backup withholding will not apply unless the disposition is subject to information reporting and the broker has actual knowledge or reason to know that the Non-U.S. Holder is a United States person or otherwise does not satisfy the requirements for an exemption.</w:t>
      </w:r>
    </w:p>
    <w:p>
      <w:pPr>
        <w:spacing w:after="0" w:line="138" w:lineRule="exact"/>
        <w:rPr>
          <w:sz w:val="20"/>
          <w:szCs w:val="20"/>
          <w:color w:val="auto"/>
        </w:rPr>
      </w:pPr>
    </w:p>
    <w:p>
      <w:pPr>
        <w:ind w:left="1420" w:right="459" w:firstLine="337"/>
        <w:spacing w:after="0" w:line="259" w:lineRule="auto"/>
        <w:rPr>
          <w:sz w:val="20"/>
          <w:szCs w:val="20"/>
          <w:color w:val="auto"/>
        </w:rPr>
      </w:pPr>
      <w:r>
        <w:rPr>
          <w:rFonts w:ascii="Times New Roman" w:cs="Times New Roman" w:eastAsia="Times New Roman" w:hAnsi="Times New Roman"/>
          <w:sz w:val="14"/>
          <w:szCs w:val="14"/>
          <w:color w:val="auto"/>
        </w:rPr>
        <w:t>Any amounts withheld from a Non-U.S. Holder under the backup withholding provisions may be credited against the U.S. federal income tax liability, if any, of the Non-U.S. Holder, and may entitle the Non-U.S. Holder to a refund, provided that the required information is timely furnished to the IRS.</w:t>
      </w:r>
    </w:p>
    <w:p>
      <w:pPr>
        <w:spacing w:after="0" w:line="141" w:lineRule="exact"/>
        <w:rPr>
          <w:sz w:val="20"/>
          <w:szCs w:val="20"/>
          <w:color w:val="auto"/>
        </w:rPr>
      </w:pPr>
    </w:p>
    <w:p>
      <w:pPr>
        <w:ind w:left="1420" w:right="299" w:firstLine="337"/>
        <w:spacing w:after="0" w:line="273" w:lineRule="auto"/>
        <w:rPr>
          <w:sz w:val="20"/>
          <w:szCs w:val="20"/>
          <w:color w:val="auto"/>
        </w:rPr>
      </w:pPr>
      <w:r>
        <w:rPr>
          <w:rFonts w:ascii="Times New Roman" w:cs="Times New Roman" w:eastAsia="Times New Roman" w:hAnsi="Times New Roman"/>
          <w:sz w:val="14"/>
          <w:szCs w:val="14"/>
          <w:color w:val="auto"/>
        </w:rPr>
        <w:t>Non-U.S. Holders that hold the notes in connection with a U.S. trade or business should also refer to the discussion regarding certain currency loss reporting requirements under “U.S. Holders—Treasury Regulations Requiring Disclosure of Reportable Transactions” above.</w:t>
      </w:r>
    </w:p>
    <w:p>
      <w:pPr>
        <w:spacing w:after="0" w:line="20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Foreign Account Tax Compliance</w:t>
      </w:r>
    </w:p>
    <w:p>
      <w:pPr>
        <w:spacing w:after="0" w:line="91" w:lineRule="exact"/>
        <w:rPr>
          <w:sz w:val="20"/>
          <w:szCs w:val="20"/>
          <w:color w:val="auto"/>
        </w:rPr>
      </w:pPr>
    </w:p>
    <w:p>
      <w:pPr>
        <w:ind w:left="1420" w:right="339" w:firstLine="337"/>
        <w:spacing w:after="0" w:line="250" w:lineRule="auto"/>
        <w:rPr>
          <w:sz w:val="20"/>
          <w:szCs w:val="20"/>
          <w:color w:val="auto"/>
        </w:rPr>
      </w:pPr>
      <w:r>
        <w:rPr>
          <w:rFonts w:ascii="Times New Roman" w:cs="Times New Roman" w:eastAsia="Times New Roman" w:hAnsi="Times New Roman"/>
          <w:sz w:val="14"/>
          <w:szCs w:val="14"/>
          <w:color w:val="auto"/>
        </w:rPr>
        <w:t>Under FATCA, a 30% withholding tax will be imposed on interest paid with respect to the notes to “foreign financial institutions” (including non-U.S. investment funds) or “non-financial foreign entities” (each as defined in the Code) (whether such foreign financial institutions or non-financial foreign entities are acting as beneficial owners or intermediaries), unless they meet the information reporting requirements of FATCA. To avoid withholding, a foreign financial institution generally will need to enter into an agreement with the IRS that states that it will provide the IRS certain information, including the names, addresses and taxpayer identification numbers of direct and indirect U.S. account holders (including certain debt and equity holders), comply with due diligence procedures with respect to the identification of U.S. accounts, report to the IRS certain information with respect to U.S. accounts maintained, agree to withhold tax on certain payments made to non-compliant foreign financial institutions, non-compliant non-financial foreign entities, or account holders who fail to provide</w:t>
      </w:r>
    </w:p>
    <w:p>
      <w:pPr>
        <w:spacing w:after="0" w:line="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S-43</w:t>
      </w:r>
    </w:p>
    <w:p>
      <w:pPr>
        <w:sectPr>
          <w:pgSz w:w="11900" w:h="16838" w:orient="portrait"/>
          <w:cols w:equalWidth="0" w:num="1">
            <w:col w:w="10159"/>
          </w:cols>
          <w:pgMar w:left="300" w:top="381"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jc w:val="both"/>
        <w:ind w:left="1420" w:right="399"/>
        <w:spacing w:after="0" w:line="255" w:lineRule="auto"/>
        <w:rPr>
          <w:sz w:val="20"/>
          <w:szCs w:val="20"/>
          <w:color w:val="auto"/>
        </w:rPr>
      </w:pPr>
      <w:r>
        <w:rPr>
          <w:rFonts w:ascii="Times New Roman" w:cs="Times New Roman" w:eastAsia="Times New Roman" w:hAnsi="Times New Roman"/>
          <w:sz w:val="14"/>
          <w:szCs w:val="14"/>
          <w:color w:val="auto"/>
        </w:rPr>
        <w:t>the required information, and determine certain other information as to its account holders. An intergovernmental agreement between the United States and an applicable foreign country, or future Treasury regulations, may modify these requirements. A non-financial foreign entity generally will need to provide either the name, address, and taxpayer identification number of each substantial U.S. owner, or certifications of no substantial U.S. ownership, to avoid withholding, unless certain exceptions apply.</w:t>
      </w:r>
    </w:p>
    <w:p>
      <w:pPr>
        <w:spacing w:after="0" w:line="143" w:lineRule="exact"/>
        <w:rPr>
          <w:sz w:val="20"/>
          <w:szCs w:val="20"/>
          <w:color w:val="auto"/>
        </w:rPr>
      </w:pPr>
    </w:p>
    <w:p>
      <w:pPr>
        <w:ind w:left="1420" w:right="339" w:firstLine="337"/>
        <w:spacing w:after="0" w:line="277" w:lineRule="auto"/>
        <w:rPr>
          <w:sz w:val="20"/>
          <w:szCs w:val="20"/>
          <w:color w:val="auto"/>
        </w:rPr>
      </w:pPr>
      <w:r>
        <w:rPr>
          <w:rFonts w:ascii="Times New Roman" w:cs="Times New Roman" w:eastAsia="Times New Roman" w:hAnsi="Times New Roman"/>
          <w:sz w:val="13"/>
          <w:szCs w:val="13"/>
          <w:color w:val="auto"/>
        </w:rPr>
        <w:t>Prospective investors are encouraged to consult their own tax advisors regarding the application of FATCA to investments in the notes. Prospective investors are also encouraged to consult their banks or brokers about the likelihood that payments to those banks or brokers (for credit to such investors) will become subject to withholding in the payment chain. Investors in the notes could be affected by FATCA withholding (even if payments to such investors would not otherwise have been subject to FATCA withholding) if a financial institution or other intermediary in the payment chain, such as a bank or broker, through which they hold the notes is subject to withholding because it fails to comply with the reporting requirements.</w:t>
      </w:r>
    </w:p>
    <w:p>
      <w:pPr>
        <w:spacing w:after="0" w:line="130" w:lineRule="exact"/>
        <w:rPr>
          <w:sz w:val="20"/>
          <w:szCs w:val="20"/>
          <w:color w:val="auto"/>
        </w:rPr>
      </w:pPr>
    </w:p>
    <w:p>
      <w:pPr>
        <w:jc w:val="both"/>
        <w:ind w:left="1420" w:right="459" w:firstLine="337"/>
        <w:spacing w:after="0" w:line="281" w:lineRule="auto"/>
        <w:rPr>
          <w:sz w:val="20"/>
          <w:szCs w:val="20"/>
          <w:color w:val="auto"/>
        </w:rPr>
      </w:pPr>
      <w:r>
        <w:rPr>
          <w:rFonts w:ascii="Times New Roman" w:cs="Times New Roman" w:eastAsia="Times New Roman" w:hAnsi="Times New Roman"/>
          <w:sz w:val="13"/>
          <w:szCs w:val="13"/>
          <w:color w:val="auto"/>
        </w:rPr>
        <w:t>We will not pay any additional amount in respect of FATCA withholding, so if this withholding applies, a beneficial owner of notes will receive significantly less than the amount that it would have otherwise received with respect to the notes. Depending on a beneficial owner’s circumstances, it may be entitled to a refund or credit in respect of some or all of this withholding. However, even if a beneficial owner of notes is entitled to have any such withholding refunded, the required procedures could be cumbersome and significantly delay its receipt of any amounts withheld.</w:t>
      </w:r>
    </w:p>
    <w:p>
      <w:pPr>
        <w:spacing w:after="0" w:line="7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S-44</w:t>
      </w:r>
    </w:p>
    <w:p>
      <w:pPr>
        <w:sectPr>
          <w:pgSz w:w="11900" w:h="16838" w:orient="portrait"/>
          <w:cols w:equalWidth="0" w:num="1">
            <w:col w:w="10159"/>
          </w:cols>
          <w:pgMar w:left="300" w:top="381"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UNDERWRITING (CONFLICTS OF INTEREST)</w:t>
      </w:r>
    </w:p>
    <w:p>
      <w:pPr>
        <w:spacing w:after="0" w:line="174" w:lineRule="exact"/>
        <w:rPr>
          <w:sz w:val="20"/>
          <w:szCs w:val="20"/>
          <w:color w:val="auto"/>
        </w:rPr>
      </w:pPr>
    </w:p>
    <w:p>
      <w:pPr>
        <w:ind w:left="1420" w:right="359" w:firstLine="337"/>
        <w:spacing w:after="0" w:line="281" w:lineRule="auto"/>
        <w:rPr>
          <w:sz w:val="20"/>
          <w:szCs w:val="20"/>
          <w:color w:val="auto"/>
        </w:rPr>
      </w:pPr>
      <w:r>
        <w:rPr>
          <w:rFonts w:ascii="Times New Roman" w:cs="Times New Roman" w:eastAsia="Times New Roman" w:hAnsi="Times New Roman"/>
          <w:sz w:val="13"/>
          <w:szCs w:val="13"/>
          <w:color w:val="auto"/>
        </w:rPr>
        <w:t>We are offering the notes through the underwriters named below for whom Citigroup Global Markets Limited, J.P. Morgan Securities plc, TD Global Finance unlimited company and Wells Fargo Securities International Limited are acting as representatives (the “representatives”). Under the terms and subject to the conditions contained in an underwriting agreement among us and the representatives, we have agreed to sell to the underwriters named below, and each underwriter has severally and not jointly agreed to purchase, the following respective principal amounts of the notes:</w:t>
      </w:r>
    </w:p>
    <w:p>
      <w:pPr>
        <w:spacing w:after="0" w:line="129" w:lineRule="exact"/>
        <w:rPr>
          <w:sz w:val="20"/>
          <w:szCs w:val="20"/>
          <w:color w:val="auto"/>
        </w:rPr>
      </w:pPr>
    </w:p>
    <w:tbl>
      <w:tblPr>
        <w:tblLayout w:type="fixed"/>
        <w:tblInd w:w="2100" w:type="dxa"/>
        <w:tblCellMar>
          <w:top w:w="0" w:type="dxa"/>
          <w:left w:w="0" w:type="dxa"/>
          <w:bottom w:w="0" w:type="dxa"/>
          <w:right w:w="0" w:type="dxa"/>
        </w:tblCellMar>
      </w:tblPr>
      <w:tr>
        <w:trPr>
          <w:trHeight w:val="126"/>
        </w:trPr>
        <w:tc>
          <w:tcPr>
            <w:tcW w:w="6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7"/>
              </w:rPr>
              <w:t>Underwriters</w:t>
            </w:r>
          </w:p>
        </w:tc>
        <w:tc>
          <w:tcPr>
            <w:tcW w:w="3180" w:type="dxa"/>
            <w:vAlign w:val="bottom"/>
            <w:vMerge w:val="restart"/>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99"/>
              </w:rPr>
              <w:t>Principal Amount</w:t>
            </w:r>
          </w:p>
        </w:tc>
        <w:tc>
          <w:tcPr>
            <w:tcW w:w="240" w:type="dxa"/>
            <w:vAlign w:val="bottom"/>
          </w:tcPr>
          <w:p>
            <w:pPr>
              <w:spacing w:after="0"/>
              <w:rPr>
                <w:sz w:val="11"/>
                <w:szCs w:val="11"/>
                <w:color w:val="auto"/>
              </w:rPr>
            </w:pPr>
          </w:p>
        </w:tc>
        <w:tc>
          <w:tcPr>
            <w:tcW w:w="92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Principal Amount</w:t>
            </w:r>
          </w:p>
        </w:tc>
        <w:tc>
          <w:tcPr>
            <w:tcW w:w="0" w:type="dxa"/>
            <w:vAlign w:val="bottom"/>
          </w:tcPr>
          <w:p>
            <w:pPr>
              <w:spacing w:after="0"/>
              <w:rPr>
                <w:sz w:val="1"/>
                <w:szCs w:val="1"/>
                <w:color w:val="auto"/>
              </w:rPr>
            </w:pPr>
          </w:p>
        </w:tc>
      </w:tr>
      <w:tr>
        <w:trPr>
          <w:trHeight w:val="143"/>
        </w:trPr>
        <w:tc>
          <w:tcPr>
            <w:tcW w:w="640" w:type="dxa"/>
            <w:vAlign w:val="bottom"/>
            <w:tcBorders>
              <w:bottom w:val="single" w:sz="8" w:color="auto"/>
            </w:tcBorders>
            <w:vMerge w:val="continue"/>
          </w:tcPr>
          <w:p>
            <w:pPr>
              <w:spacing w:after="0"/>
              <w:rPr>
                <w:sz w:val="12"/>
                <w:szCs w:val="12"/>
                <w:color w:val="auto"/>
              </w:rPr>
            </w:pPr>
          </w:p>
        </w:tc>
        <w:tc>
          <w:tcPr>
            <w:tcW w:w="318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360"/>
              <w:spacing w:after="0" w:line="123" w:lineRule="exact"/>
              <w:rPr>
                <w:sz w:val="20"/>
                <w:szCs w:val="20"/>
                <w:color w:val="auto"/>
              </w:rPr>
            </w:pPr>
            <w:r>
              <w:rPr>
                <w:rFonts w:ascii="Times New Roman" w:cs="Times New Roman" w:eastAsia="Times New Roman" w:hAnsi="Times New Roman"/>
                <w:sz w:val="11"/>
                <w:szCs w:val="11"/>
                <w:b w:val="1"/>
                <w:bCs w:val="1"/>
                <w:color w:val="auto"/>
              </w:rPr>
              <w:t>of 2030 notes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23" w:lineRule="exact"/>
              <w:rPr>
                <w:sz w:val="20"/>
                <w:szCs w:val="20"/>
                <w:color w:val="auto"/>
              </w:rPr>
            </w:pPr>
            <w:r>
              <w:rPr>
                <w:rFonts w:ascii="Times New Roman" w:cs="Times New Roman" w:eastAsia="Times New Roman" w:hAnsi="Times New Roman"/>
                <w:sz w:val="11"/>
                <w:szCs w:val="11"/>
                <w:b w:val="1"/>
                <w:bCs w:val="1"/>
                <w:color w:val="auto"/>
              </w:rPr>
              <w:t>of 2030 notes</w:t>
            </w:r>
          </w:p>
        </w:tc>
        <w:tc>
          <w:tcPr>
            <w:tcW w:w="0" w:type="dxa"/>
            <w:vAlign w:val="bottom"/>
          </w:tcPr>
          <w:p>
            <w:pPr>
              <w:spacing w:after="0"/>
              <w:rPr>
                <w:sz w:val="1"/>
                <w:szCs w:val="1"/>
                <w:color w:val="auto"/>
              </w:rPr>
            </w:pPr>
          </w:p>
        </w:tc>
      </w:tr>
      <w:tr>
        <w:trPr>
          <w:trHeight w:val="146"/>
        </w:trPr>
        <w:tc>
          <w:tcPr>
            <w:tcW w:w="3820" w:type="dxa"/>
            <w:vAlign w:val="bottom"/>
            <w:tcBorders>
              <w:top w:val="single" w:sz="8" w:color="CCEEFF"/>
            </w:tcBorders>
            <w:gridSpan w:val="2"/>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Citigroup Global Markets Limited</w:t>
            </w:r>
          </w:p>
        </w:tc>
        <w:tc>
          <w:tcPr>
            <w:tcW w:w="10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72,500,000</w:t>
            </w:r>
          </w:p>
        </w:tc>
        <w:tc>
          <w:tcPr>
            <w:tcW w:w="2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72,500,000</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J.P. Morgan Securities plc</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72,500,000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72,500,000</w:t>
            </w:r>
          </w:p>
        </w:tc>
        <w:tc>
          <w:tcPr>
            <w:tcW w:w="0" w:type="dxa"/>
            <w:vAlign w:val="bottom"/>
          </w:tcPr>
          <w:p>
            <w:pPr>
              <w:spacing w:after="0"/>
              <w:rPr>
                <w:sz w:val="1"/>
                <w:szCs w:val="1"/>
                <w:color w:val="auto"/>
              </w:rPr>
            </w:pPr>
          </w:p>
        </w:tc>
      </w:tr>
      <w:tr>
        <w:trPr>
          <w:trHeight w:val="165"/>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TD Global Finance unlimited company</w:t>
            </w: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60,000,000</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60,000,000</w:t>
            </w:r>
          </w:p>
        </w:tc>
        <w:tc>
          <w:tcPr>
            <w:tcW w:w="0" w:type="dxa"/>
            <w:vAlign w:val="bottom"/>
          </w:tcPr>
          <w:p>
            <w:pPr>
              <w:spacing w:after="0"/>
              <w:rPr>
                <w:sz w:val="1"/>
                <w:szCs w:val="1"/>
                <w:color w:val="auto"/>
              </w:rPr>
            </w:pPr>
          </w:p>
        </w:tc>
      </w:tr>
      <w:tr>
        <w:trPr>
          <w:trHeight w:val="165"/>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Wells Fargo Securities International Limited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60,000,000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60,000,000</w:t>
            </w:r>
          </w:p>
        </w:tc>
        <w:tc>
          <w:tcPr>
            <w:tcW w:w="0" w:type="dxa"/>
            <w:vAlign w:val="bottom"/>
          </w:tcPr>
          <w:p>
            <w:pPr>
              <w:spacing w:after="0"/>
              <w:rPr>
                <w:sz w:val="1"/>
                <w:szCs w:val="1"/>
                <w:color w:val="auto"/>
              </w:rPr>
            </w:pPr>
          </w:p>
        </w:tc>
      </w:tr>
      <w:tr>
        <w:trPr>
          <w:trHeight w:val="165"/>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Merrill Lynch International</w:t>
            </w: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26,500,000</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26,500,000</w:t>
            </w:r>
          </w:p>
        </w:tc>
        <w:tc>
          <w:tcPr>
            <w:tcW w:w="0" w:type="dxa"/>
            <w:vAlign w:val="bottom"/>
          </w:tcPr>
          <w:p>
            <w:pPr>
              <w:spacing w:after="0"/>
              <w:rPr>
                <w:sz w:val="1"/>
                <w:szCs w:val="1"/>
                <w:color w:val="auto"/>
              </w:rPr>
            </w:pPr>
          </w:p>
        </w:tc>
      </w:tr>
      <w:tr>
        <w:trPr>
          <w:trHeight w:val="176"/>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MUFG Securities EMEA plc</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26,500,000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26,500,000</w:t>
            </w:r>
          </w:p>
        </w:tc>
        <w:tc>
          <w:tcPr>
            <w:tcW w:w="0" w:type="dxa"/>
            <w:vAlign w:val="bottom"/>
          </w:tcPr>
          <w:p>
            <w:pPr>
              <w:spacing w:after="0"/>
              <w:rPr>
                <w:sz w:val="1"/>
                <w:szCs w:val="1"/>
                <w:color w:val="auto"/>
              </w:rPr>
            </w:pPr>
          </w:p>
        </w:tc>
      </w:tr>
      <w:tr>
        <w:trPr>
          <w:trHeight w:val="165"/>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PNC Capital Markets LLC</w:t>
            </w: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26,500,000</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26,500,000</w:t>
            </w:r>
          </w:p>
        </w:tc>
        <w:tc>
          <w:tcPr>
            <w:tcW w:w="0" w:type="dxa"/>
            <w:vAlign w:val="bottom"/>
          </w:tcPr>
          <w:p>
            <w:pPr>
              <w:spacing w:after="0"/>
              <w:rPr>
                <w:sz w:val="1"/>
                <w:szCs w:val="1"/>
                <w:color w:val="auto"/>
              </w:rPr>
            </w:pPr>
          </w:p>
        </w:tc>
      </w:tr>
      <w:tr>
        <w:trPr>
          <w:trHeight w:val="165"/>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Truist Securities, Inc.</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26,500,000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26,500,000</w:t>
            </w:r>
          </w:p>
        </w:tc>
        <w:tc>
          <w:tcPr>
            <w:tcW w:w="0" w:type="dxa"/>
            <w:vAlign w:val="bottom"/>
          </w:tcPr>
          <w:p>
            <w:pPr>
              <w:spacing w:after="0"/>
              <w:rPr>
                <w:sz w:val="1"/>
                <w:szCs w:val="1"/>
                <w:color w:val="auto"/>
              </w:rPr>
            </w:pPr>
          </w:p>
        </w:tc>
      </w:tr>
      <w:tr>
        <w:trPr>
          <w:trHeight w:val="165"/>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U.S. Bancorp Investments, Inc.</w:t>
            </w: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26,500,000</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26,500,000</w:t>
            </w:r>
          </w:p>
        </w:tc>
        <w:tc>
          <w:tcPr>
            <w:tcW w:w="0" w:type="dxa"/>
            <w:vAlign w:val="bottom"/>
          </w:tcPr>
          <w:p>
            <w:pPr>
              <w:spacing w:after="0"/>
              <w:rPr>
                <w:sz w:val="1"/>
                <w:szCs w:val="1"/>
                <w:color w:val="auto"/>
              </w:rPr>
            </w:pPr>
          </w:p>
        </w:tc>
      </w:tr>
      <w:tr>
        <w:trPr>
          <w:trHeight w:val="165"/>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Banco Santander, S.A.</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10,500,000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10,500,000</w:t>
            </w:r>
          </w:p>
        </w:tc>
        <w:tc>
          <w:tcPr>
            <w:tcW w:w="0" w:type="dxa"/>
            <w:vAlign w:val="bottom"/>
          </w:tcPr>
          <w:p>
            <w:pPr>
              <w:spacing w:after="0"/>
              <w:rPr>
                <w:sz w:val="1"/>
                <w:szCs w:val="1"/>
                <w:color w:val="auto"/>
              </w:rPr>
            </w:pPr>
          </w:p>
        </w:tc>
      </w:tr>
      <w:tr>
        <w:trPr>
          <w:trHeight w:val="165"/>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Banco Bilbao Vizcaya Argentaria, S.A.</w:t>
            </w: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Capital One Securities, Inc.</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8,000,000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Citizens JMP Securities, LLC</w:t>
            </w: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Deutsche Bank AG, London Branch</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8,000,000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Fifth Third Securities, Inc.</w:t>
            </w: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Lloyds Securities Inc.</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8,000,000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NatWest Markets Plc</w:t>
            </w: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Scotiabank (Ireland) Designated Activity Company</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8,000,000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UniCredit Bank GmbH</w:t>
            </w: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Huntington Securities, Inc.</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5,450,000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KeyBanc Capital Markets Inc.</w:t>
            </w: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5,450,000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Regions Securities LLC</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5,450,000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FNB America Securities LLC</w:t>
            </w: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1,825,000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1,825,000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Siebert Williams Shank &amp; Co., LLC</w:t>
            </w:r>
          </w:p>
        </w:tc>
        <w:tc>
          <w:tcPr>
            <w:tcW w:w="1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1,825,000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1,825,000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500,000,000</w:t>
            </w:r>
          </w:p>
        </w:tc>
        <w:tc>
          <w:tcPr>
            <w:tcW w:w="2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1420" w:right="359" w:firstLine="337"/>
        <w:spacing w:after="0" w:line="259" w:lineRule="auto"/>
        <w:rPr>
          <w:sz w:val="20"/>
          <w:szCs w:val="20"/>
          <w:color w:val="auto"/>
        </w:rPr>
      </w:pPr>
      <w:r>
        <w:rPr>
          <w:rFonts w:ascii="Times New Roman" w:cs="Times New Roman" w:eastAsia="Times New Roman" w:hAnsi="Times New Roman"/>
          <w:sz w:val="14"/>
          <w:szCs w:val="14"/>
          <w:color w:val="auto"/>
        </w:rPr>
        <w:t>The underwriting agreement provides that the underwriters are obligated to purchase all of the notes if any are purchased. The underwriting agreement also provides that if an underwriter defaults, then the purchase commitments of non-defaulting underwriters may be increased or the offering of the notes may be terminated.</w:t>
      </w:r>
    </w:p>
    <w:p>
      <w:pPr>
        <w:spacing w:after="0" w:line="141" w:lineRule="exact"/>
        <w:rPr>
          <w:sz w:val="20"/>
          <w:szCs w:val="20"/>
          <w:color w:val="auto"/>
        </w:rPr>
      </w:pPr>
    </w:p>
    <w:p>
      <w:pPr>
        <w:ind w:left="1420" w:right="339" w:firstLine="337"/>
        <w:spacing w:after="0" w:line="251" w:lineRule="auto"/>
        <w:rPr>
          <w:sz w:val="20"/>
          <w:szCs w:val="20"/>
          <w:color w:val="auto"/>
        </w:rPr>
      </w:pPr>
      <w:r>
        <w:rPr>
          <w:rFonts w:ascii="Times New Roman" w:cs="Times New Roman" w:eastAsia="Times New Roman" w:hAnsi="Times New Roman"/>
          <w:sz w:val="14"/>
          <w:szCs w:val="14"/>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of up to 0.200% of the principal amount of the 2030 notes and 0.350% of the principal amount of the 2034 notes. Any such securities dealers may resell any notes purchased from the underwriters to certain other brokers or dealers at a discount from the initial public offering price of up to 0.150% of the principal amount of the 2030 notes and 0.200% of the principal amount of the 2034 notes. After the initial offering of the notes of a particular series to the public, the representatives may change the related public offering price and concession.</w:t>
      </w:r>
    </w:p>
    <w:p>
      <w:pPr>
        <w:spacing w:after="0" w:line="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S-45</w:t>
      </w:r>
    </w:p>
    <w:p>
      <w:pPr>
        <w:sectPr>
          <w:pgSz w:w="11900" w:h="16838" w:orient="portrait"/>
          <w:cols w:equalWidth="0" w:num="1">
            <w:col w:w="10159"/>
          </w:cols>
          <w:pgMar w:left="300" w:top="381"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359" w:firstLine="337"/>
        <w:spacing w:after="0" w:line="273" w:lineRule="auto"/>
        <w:rPr>
          <w:sz w:val="20"/>
          <w:szCs w:val="20"/>
          <w:color w:val="auto"/>
        </w:rPr>
      </w:pPr>
      <w:r>
        <w:rPr>
          <w:rFonts w:ascii="Times New Roman" w:cs="Times New Roman" w:eastAsia="Times New Roman" w:hAnsi="Times New Roman"/>
          <w:sz w:val="14"/>
          <w:szCs w:val="14"/>
          <w:color w:val="auto"/>
        </w:rPr>
        <w:t>The following table shows the underwriting discounts to be paid to the underwriters in connection with this offering (expressed as a percentage of the principal amount of the notes).</w:t>
      </w:r>
    </w:p>
    <w:p>
      <w:pPr>
        <w:spacing w:after="0" w:line="144" w:lineRule="exact"/>
        <w:rPr>
          <w:sz w:val="20"/>
          <w:szCs w:val="20"/>
          <w:color w:val="auto"/>
        </w:rPr>
      </w:pPr>
    </w:p>
    <w:tbl>
      <w:tblPr>
        <w:tblLayout w:type="fixed"/>
        <w:tblInd w:w="2780" w:type="dxa"/>
        <w:tblCellMar>
          <w:top w:w="0" w:type="dxa"/>
          <w:left w:w="0" w:type="dxa"/>
          <w:bottom w:w="0" w:type="dxa"/>
          <w:right w:w="0" w:type="dxa"/>
        </w:tblCellMar>
      </w:tblPr>
      <w:tr>
        <w:trPr>
          <w:trHeight w:val="133"/>
        </w:trPr>
        <w:tc>
          <w:tcPr>
            <w:tcW w:w="2840" w:type="dxa"/>
            <w:vAlign w:val="bottom"/>
            <w:tcBorders>
              <w:bottom w:val="single" w:sz="8" w:color="CCEEFF"/>
            </w:tcBorders>
          </w:tcPr>
          <w:p>
            <w:pPr>
              <w:spacing w:after="0"/>
              <w:rPr>
                <w:sz w:val="11"/>
                <w:szCs w:val="11"/>
                <w:color w:val="auto"/>
              </w:rPr>
            </w:pPr>
          </w:p>
        </w:tc>
        <w:tc>
          <w:tcPr>
            <w:tcW w:w="224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8"/>
              </w:rPr>
              <w:t>Paid by us</w:t>
            </w:r>
          </w:p>
        </w:tc>
        <w:tc>
          <w:tcPr>
            <w:tcW w:w="160" w:type="dxa"/>
            <w:vAlign w:val="bottom"/>
            <w:tcBorders>
              <w:bottom w:val="single" w:sz="8" w:color="CCEEFF"/>
            </w:tcBorders>
          </w:tcPr>
          <w:p>
            <w:pPr>
              <w:spacing w:after="0"/>
              <w:rPr>
                <w:sz w:val="11"/>
                <w:szCs w:val="11"/>
                <w:color w:val="auto"/>
              </w:rPr>
            </w:pPr>
          </w:p>
        </w:tc>
      </w:tr>
      <w:tr>
        <w:trPr>
          <w:trHeight w:val="156"/>
        </w:trPr>
        <w:tc>
          <w:tcPr>
            <w:tcW w:w="28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2030 notes</w:t>
            </w:r>
          </w:p>
        </w:tc>
        <w:tc>
          <w:tcPr>
            <w:tcW w:w="22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6" w:lineRule="exact"/>
              <w:rPr>
                <w:sz w:val="20"/>
                <w:szCs w:val="20"/>
                <w:color w:val="auto"/>
              </w:rPr>
            </w:pPr>
            <w:r>
              <w:rPr>
                <w:rFonts w:ascii="Times New Roman" w:cs="Times New Roman" w:eastAsia="Times New Roman" w:hAnsi="Times New Roman"/>
                <w:sz w:val="14"/>
                <w:szCs w:val="14"/>
                <w:color w:val="auto"/>
              </w:rPr>
              <w:t>0.350%</w:t>
            </w:r>
          </w:p>
        </w:tc>
      </w:tr>
      <w:tr>
        <w:trPr>
          <w:trHeight w:val="179"/>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2034 notes</w:t>
            </w:r>
          </w:p>
        </w:tc>
        <w:tc>
          <w:tcPr>
            <w:tcW w:w="29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0.550%</w:t>
            </w:r>
          </w:p>
        </w:tc>
      </w:tr>
    </w:tbl>
    <w:p>
      <w:pPr>
        <w:spacing w:after="0" w:line="139" w:lineRule="exact"/>
        <w:rPr>
          <w:sz w:val="20"/>
          <w:szCs w:val="20"/>
          <w:color w:val="auto"/>
        </w:rPr>
      </w:pPr>
    </w:p>
    <w:p>
      <w:pPr>
        <w:ind w:left="1420" w:right="459" w:firstLine="337"/>
        <w:spacing w:after="0" w:line="273" w:lineRule="auto"/>
        <w:rPr>
          <w:sz w:val="20"/>
          <w:szCs w:val="20"/>
          <w:color w:val="auto"/>
        </w:rPr>
      </w:pPr>
      <w:r>
        <w:rPr>
          <w:rFonts w:ascii="Times New Roman" w:cs="Times New Roman" w:eastAsia="Times New Roman" w:hAnsi="Times New Roman"/>
          <w:sz w:val="14"/>
          <w:szCs w:val="14"/>
          <w:color w:val="auto"/>
        </w:rPr>
        <w:t>We estimate that our out of pocket expenses (excluding the underwriting discounts) for this offering will be approximately $2.8 million and will be payable by us.</w:t>
      </w:r>
    </w:p>
    <w:p>
      <w:pPr>
        <w:spacing w:after="0" w:line="130" w:lineRule="exact"/>
        <w:rPr>
          <w:sz w:val="20"/>
          <w:szCs w:val="20"/>
          <w:color w:val="auto"/>
        </w:rPr>
      </w:pPr>
    </w:p>
    <w:p>
      <w:pPr>
        <w:ind w:left="1420" w:right="359" w:firstLine="337"/>
        <w:spacing w:after="0" w:line="289" w:lineRule="auto"/>
        <w:rPr>
          <w:sz w:val="20"/>
          <w:szCs w:val="20"/>
          <w:color w:val="auto"/>
        </w:rPr>
      </w:pPr>
      <w:r>
        <w:rPr>
          <w:rFonts w:ascii="Times New Roman" w:cs="Times New Roman" w:eastAsia="Times New Roman" w:hAnsi="Times New Roman"/>
          <w:sz w:val="13"/>
          <w:szCs w:val="13"/>
          <w:color w:val="auto"/>
        </w:rPr>
        <w:t>Each series of the notes is a new issue of securities with no established trading market. We intend to apply to list the notes on NASDAQ. The listing application is subject to approval by NASDAQ. We cannot assure you that the notes will become or remain listed. If such listing is obtained, we have no obligation to maintain such listing and we may delist the notes, or list the notes on one or more other national securities exchanges, at any time.</w:t>
      </w:r>
    </w:p>
    <w:p>
      <w:pPr>
        <w:spacing w:after="0" w:line="122" w:lineRule="exact"/>
        <w:rPr>
          <w:sz w:val="20"/>
          <w:szCs w:val="20"/>
          <w:color w:val="auto"/>
        </w:rPr>
      </w:pPr>
    </w:p>
    <w:p>
      <w:pPr>
        <w:ind w:left="1420" w:right="339" w:firstLine="337"/>
        <w:spacing w:after="0" w:line="289" w:lineRule="auto"/>
        <w:rPr>
          <w:sz w:val="20"/>
          <w:szCs w:val="20"/>
          <w:color w:val="auto"/>
        </w:rPr>
      </w:pPr>
      <w:r>
        <w:rPr>
          <w:rFonts w:ascii="Times New Roman" w:cs="Times New Roman" w:eastAsia="Times New Roman" w:hAnsi="Times New Roman"/>
          <w:sz w:val="13"/>
          <w:szCs w:val="13"/>
          <w:color w:val="auto"/>
        </w:rPr>
        <w:t>One or more of the underwriters intend to make a secondary market for the notes. However, they are not obligated to do so and may discontinue making a secondary market for the notes at any time without notice. No assurance can be given as to whether a trading market for the notes will develop or, if one does develop, as to how liquid any such trading market for the notes will be or whether any such trading market will be sustained.</w:t>
      </w:r>
    </w:p>
    <w:p>
      <w:pPr>
        <w:spacing w:after="0" w:line="122" w:lineRule="exact"/>
        <w:rPr>
          <w:sz w:val="20"/>
          <w:szCs w:val="20"/>
          <w:color w:val="auto"/>
        </w:rPr>
      </w:pPr>
    </w:p>
    <w:p>
      <w:pPr>
        <w:ind w:left="1420" w:right="339" w:firstLine="337"/>
        <w:spacing w:after="0" w:line="273" w:lineRule="auto"/>
        <w:rPr>
          <w:sz w:val="20"/>
          <w:szCs w:val="20"/>
          <w:color w:val="auto"/>
        </w:rPr>
      </w:pPr>
      <w:r>
        <w:rPr>
          <w:rFonts w:ascii="Times New Roman" w:cs="Times New Roman" w:eastAsia="Times New Roman" w:hAnsi="Times New Roman"/>
          <w:sz w:val="14"/>
          <w:szCs w:val="14"/>
          <w:color w:val="auto"/>
        </w:rPr>
        <w:t>We have agreed to indemnify the several underwriters against liabilities under the Securities Act or contribute to payments which the underwriters may be required to make in that respect.</w:t>
      </w:r>
    </w:p>
    <w:p>
      <w:pPr>
        <w:spacing w:after="0" w:line="130" w:lineRule="exact"/>
        <w:rPr>
          <w:sz w:val="20"/>
          <w:szCs w:val="20"/>
          <w:color w:val="auto"/>
        </w:rPr>
      </w:pPr>
    </w:p>
    <w:p>
      <w:pPr>
        <w:ind w:left="1420" w:right="439" w:firstLine="337"/>
        <w:spacing w:after="0" w:line="251" w:lineRule="auto"/>
        <w:rPr>
          <w:sz w:val="20"/>
          <w:szCs w:val="20"/>
          <w:color w:val="auto"/>
        </w:rPr>
      </w:pPr>
      <w:r>
        <w:rPr>
          <w:rFonts w:ascii="Times New Roman" w:cs="Times New Roman" w:eastAsia="Times New Roman" w:hAnsi="Times New Roman"/>
          <w:sz w:val="14"/>
          <w:szCs w:val="14"/>
          <w:color w:val="auto"/>
        </w:rPr>
        <w:t>In connection with the issue of the notes, Citigroup Global Markets Limited, in its role as stabilizing manager (the “stabilizing manger”) for its own account may, to the extent permitted by applicable laws and directives, over-allot the notes or effect transactions with a view to supporting the market price of the notes at a level higher than that which might otherwise prevail. However, there is no assurance that the stabilizing manager (or persons acting on behalf of the stabilizing manager) will undertake any stabilization action. Any stabilization action may begin on or after the date on which adequate public disclosure of the final terms of the offer of the notes is made, and, if begun, may cease at any time, but it must end no later than the earlier of 30 days after the issue of the notes and 60 days after the date of the allotment of the notes. Any stabilization action or over-allotment commenced will be carried out in accordance with applicable laws and regulations.</w:t>
      </w:r>
    </w:p>
    <w:p>
      <w:pPr>
        <w:spacing w:after="0" w:line="145" w:lineRule="exact"/>
        <w:rPr>
          <w:sz w:val="20"/>
          <w:szCs w:val="20"/>
          <w:color w:val="auto"/>
        </w:rPr>
      </w:pPr>
    </w:p>
    <w:p>
      <w:pPr>
        <w:ind w:left="1420" w:right="699" w:firstLine="337"/>
        <w:spacing w:after="0" w:line="273" w:lineRule="auto"/>
        <w:rPr>
          <w:sz w:val="20"/>
          <w:szCs w:val="20"/>
          <w:color w:val="auto"/>
        </w:rPr>
      </w:pPr>
      <w:r>
        <w:rPr>
          <w:rFonts w:ascii="Times New Roman" w:cs="Times New Roman" w:eastAsia="Times New Roman" w:hAnsi="Times New Roman"/>
          <w:sz w:val="14"/>
          <w:szCs w:val="14"/>
          <w:color w:val="auto"/>
        </w:rPr>
        <w:t>In connection with the offering, the underwriters may engage in stabilizing transactions, over-allotment transactions and syndicate covering transactions.</w:t>
      </w:r>
    </w:p>
    <w:p>
      <w:pPr>
        <w:spacing w:after="0" w:line="58" w:lineRule="exact"/>
        <w:rPr>
          <w:sz w:val="20"/>
          <w:szCs w:val="20"/>
          <w:color w:val="auto"/>
        </w:rPr>
      </w:pPr>
    </w:p>
    <w:p>
      <w:pPr>
        <w:ind w:left="2160" w:hanging="322"/>
        <w:spacing w:after="0"/>
        <w:tabs>
          <w:tab w:leader="none" w:pos="216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Stabilizing transactions permit bids to purchase the underlying security so long as the stabilizing bids do not exceed a specified maximum.</w:t>
      </w:r>
    </w:p>
    <w:p>
      <w:pPr>
        <w:spacing w:after="0" w:line="109" w:lineRule="exact"/>
        <w:rPr>
          <w:rFonts w:ascii="Times New Roman" w:cs="Times New Roman" w:eastAsia="Times New Roman" w:hAnsi="Times New Roman"/>
          <w:sz w:val="13"/>
          <w:szCs w:val="13"/>
          <w:color w:val="auto"/>
        </w:rPr>
      </w:pPr>
    </w:p>
    <w:p>
      <w:pPr>
        <w:ind w:left="2160" w:right="399" w:hanging="322"/>
        <w:spacing w:after="0" w:line="273" w:lineRule="auto"/>
        <w:tabs>
          <w:tab w:leader="none" w:pos="21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Over-allotment involves sales by the underwriters of notes in excess of the principal amount of the notes the underwriters are obligated to purchase, which creates a syndicate short position.</w:t>
      </w:r>
    </w:p>
    <w:p>
      <w:pPr>
        <w:spacing w:after="0" w:line="57" w:lineRule="exact"/>
        <w:rPr>
          <w:rFonts w:ascii="Times New Roman" w:cs="Times New Roman" w:eastAsia="Times New Roman" w:hAnsi="Times New Roman"/>
          <w:sz w:val="14"/>
          <w:szCs w:val="14"/>
          <w:color w:val="auto"/>
        </w:rPr>
      </w:pPr>
    </w:p>
    <w:p>
      <w:pPr>
        <w:ind w:left="2160" w:right="339" w:hanging="322"/>
        <w:spacing w:after="0" w:line="289" w:lineRule="auto"/>
        <w:tabs>
          <w:tab w:leader="none" w:pos="216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Syndicate covering transactions involve purchases of the notes in the open market after the distribution has been completed in order to cover syndicate short positions. A short position is more likely to be created if the underwriters are concerned that there may be downward pressure on the prices of the notes in the open market after pricing that could adversely affect investors who purchase in the offering.</w:t>
      </w:r>
    </w:p>
    <w:p>
      <w:pPr>
        <w:spacing w:after="0" w:line="122" w:lineRule="exact"/>
        <w:rPr>
          <w:sz w:val="20"/>
          <w:szCs w:val="20"/>
          <w:color w:val="auto"/>
        </w:rPr>
      </w:pPr>
    </w:p>
    <w:p>
      <w:pPr>
        <w:jc w:val="both"/>
        <w:ind w:left="1420" w:right="479" w:firstLine="337"/>
        <w:spacing w:after="0" w:line="259" w:lineRule="auto"/>
        <w:rPr>
          <w:sz w:val="20"/>
          <w:szCs w:val="20"/>
          <w:color w:val="auto"/>
        </w:rPr>
      </w:pPr>
      <w:r>
        <w:rPr>
          <w:rFonts w:ascii="Times New Roman" w:cs="Times New Roman" w:eastAsia="Times New Roman" w:hAnsi="Times New Roman"/>
          <w:sz w:val="14"/>
          <w:szCs w:val="14"/>
          <w:color w:val="auto"/>
        </w:rPr>
        <w:t>These stabilizing transactions, over-allotment transactions and syndicate covering transactions may have the effect of raising or maintaining the market prices of the notes or preventing or retarding a decline in the market prices of the notes. As a result, the prices of the notes may be higher than the prices that might otherwise exist in the open market. These transactions, if commenced, may be discontinued at any time.</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S-46</w:t>
      </w:r>
    </w:p>
    <w:p>
      <w:pPr>
        <w:sectPr>
          <w:pgSz w:w="11900" w:h="16838" w:orient="portrait"/>
          <w:cols w:equalWidth="0" w:num="1">
            <w:col w:w="10159"/>
          </w:cols>
          <w:pgMar w:left="300" w:top="381"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Extended Settlement</w:t>
      </w:r>
    </w:p>
    <w:p>
      <w:pPr>
        <w:spacing w:after="0" w:line="91" w:lineRule="exact"/>
        <w:rPr>
          <w:sz w:val="20"/>
          <w:szCs w:val="20"/>
          <w:color w:val="auto"/>
        </w:rPr>
      </w:pPr>
    </w:p>
    <w:p>
      <w:pPr>
        <w:ind w:left="1420" w:right="299" w:firstLine="337"/>
        <w:spacing w:after="0" w:line="251" w:lineRule="auto"/>
        <w:rPr>
          <w:sz w:val="20"/>
          <w:szCs w:val="20"/>
          <w:color w:val="auto"/>
        </w:rPr>
      </w:pPr>
      <w:r>
        <w:rPr>
          <w:rFonts w:ascii="Times New Roman" w:cs="Times New Roman" w:eastAsia="Times New Roman" w:hAnsi="Times New Roman"/>
          <w:sz w:val="14"/>
          <w:szCs w:val="14"/>
          <w:color w:val="auto"/>
        </w:rPr>
        <w:t>We expect that delivery of the notes will be made against payment for the notes on or about the settlement date set forth on the front cover of this prospectus supplement, which will be the fifth business day following the date of this prospectus supplement (this settlement cycle being referred to as “T+5”). Under Rule 15c6-1 of the Securities Exchange Act of 1934, as amended, trades in the secondary market generally are required to settle in one business day, unless the parties to that trade expressly agree otherwise. Accordingly, purchasers who wish to trade notes on any date prior to the business day before delivery will be required to specify an alternate settlement cycle at the time of any such trade to prevent a failed settlement and should consult their own advisors.</w:t>
      </w:r>
    </w:p>
    <w:p>
      <w:pPr>
        <w:spacing w:after="0" w:line="2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Selling Restrictions</w:t>
      </w:r>
    </w:p>
    <w:p>
      <w:pPr>
        <w:spacing w:after="0" w:line="91" w:lineRule="exact"/>
        <w:rPr>
          <w:sz w:val="20"/>
          <w:szCs w:val="20"/>
          <w:color w:val="auto"/>
        </w:rPr>
      </w:pPr>
    </w:p>
    <w:p>
      <w:pPr>
        <w:jc w:val="both"/>
        <w:ind w:left="1420" w:right="419" w:firstLine="337"/>
        <w:spacing w:after="0" w:line="259" w:lineRule="auto"/>
        <w:rPr>
          <w:sz w:val="20"/>
          <w:szCs w:val="20"/>
          <w:color w:val="auto"/>
        </w:rPr>
      </w:pPr>
      <w:r>
        <w:rPr>
          <w:rFonts w:ascii="Times New Roman" w:cs="Times New Roman" w:eastAsia="Times New Roman" w:hAnsi="Times New Roman"/>
          <w:sz w:val="14"/>
          <w:szCs w:val="14"/>
          <w:color w:val="auto"/>
        </w:rPr>
        <w:t>The notes are being offered for sale in the United States and in jurisdictions outside the United States, subject to applicable law. Sales of notes in the United States by any underwriter that is not a broker-dealer registered with the SEC will be made only through one or more SEC-registered broker-dealers in compliance with applicable securities laws and the rules of the Financial Industry Regulatory Authority, Inc.</w:t>
      </w:r>
    </w:p>
    <w:p>
      <w:pPr>
        <w:spacing w:after="0" w:line="2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European Economic Area</w:t>
      </w:r>
    </w:p>
    <w:p>
      <w:pPr>
        <w:spacing w:after="0" w:line="91" w:lineRule="exact"/>
        <w:rPr>
          <w:sz w:val="20"/>
          <w:szCs w:val="20"/>
          <w:color w:val="auto"/>
        </w:rPr>
      </w:pPr>
    </w:p>
    <w:p>
      <w:pPr>
        <w:ind w:left="1420" w:right="339" w:firstLine="337"/>
        <w:spacing w:after="0" w:line="248"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have been prepared on the basis that any offer of notes in any Member State of the EEA (in each case, a “Relevant State”) will be made pursuant to an exemption under the Prospectus Regulation from the requirement to publish a prospectus for offers of securities. The expression “Prospectus Regulation” means Regulation (EU) 2017/1129 (as amended or superseded). For the avoidance of doubt, whilst this document is referred to as a ‘prospectus supplement’ and there are references herein to a ‘prospectus’, neither this prospectus supplement nor the accompanying prospectus is a prospectus for the purposes of the Prospectus Regulation. The notes are not intended to be offered, sold, distributed or otherwise made available to and should not be offered, sold, distributed or otherwise made available to any retail investor in the EEA. For these purposes, (a) the expression “retail investor” means a person who is one (or more) of: (i) a retail client as defined in point (11) of Article 4(1) of MiFID II; (ii) a customer within the meaning of Directive (EU) 2016/97 (as amended, the “Insurance Distribution Directive”), where that customer would not qualify as a professional client as defined in point (10) of Article 4(1) of MiFID II; or (iii) not a qualified investor as defined in Article 2(e) of Regulation (EU) 2017/1129 (as amended, the “Prospectus Regulation”); and (b) the expression “offer” includes the communication in any form and by any means of sufficient information on the terms of the offer and the securities to be offered so as to enable an investor to decide to purchase or subscribe for such securities. Consequently, no key information document required by Regulation (EU) No 1286/2014 (as amended, the “PRIIPs Regulation”) for offering, selling or distributing the notes or otherwise making them available to retail investors in the EEA has been prepared, and therefore offering, selling or distributing the notes or otherwise making them available to any retail investor in the EEA may be unlawful under the PRIIPs Regulation.</w:t>
      </w:r>
    </w:p>
    <w:p>
      <w:pPr>
        <w:spacing w:after="0" w:line="152" w:lineRule="exact"/>
        <w:rPr>
          <w:sz w:val="20"/>
          <w:szCs w:val="20"/>
          <w:color w:val="auto"/>
        </w:rPr>
      </w:pPr>
    </w:p>
    <w:p>
      <w:pPr>
        <w:ind w:left="1420" w:right="299" w:firstLine="337"/>
        <w:spacing w:after="0" w:line="250" w:lineRule="auto"/>
        <w:rPr>
          <w:sz w:val="20"/>
          <w:szCs w:val="20"/>
          <w:color w:val="auto"/>
        </w:rPr>
      </w:pPr>
      <w:r>
        <w:rPr>
          <w:rFonts w:ascii="Times New Roman" w:cs="Times New Roman" w:eastAsia="Times New Roman" w:hAnsi="Times New Roman"/>
          <w:sz w:val="14"/>
          <w:szCs w:val="14"/>
          <w:color w:val="auto"/>
        </w:rPr>
        <w:t>In the EEA, this prospectus supplement and the accompanying prospectus are being distributed only to, and are directed only at, “non-retail investors” (being persons who are not “retail investors” as defined in this section titled “Notice to Prospective Investors in the European Economic Area”) and any investment or investment activity to which this prospectus supplement relates is available only to, and will be engaged in only with, non-retail investors. In the EEA, any investment or investment activity to which this prospectus supplement and the accompanying prospectus relate is available only to, and will be engaged in only with, non-retail investors. This prospectus supplement, the accompanying prospectus and their contents are confidential and should not be distributed, published or reproduced (in whole or in part) or disclosed by any recipients to any other person in the EEA. Any person in the EEA who is a “retail investor” should not act or rely on this prospectus supplement, the accompanying prospectus or either of their contents. Each person in the EEA who purchases any of the notes will be deemed to have represented and warranted that they are a non-retail investor.</w:t>
      </w:r>
    </w:p>
    <w:p>
      <w:pPr>
        <w:spacing w:after="0" w:line="9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S-47</w:t>
      </w:r>
    </w:p>
    <w:p>
      <w:pPr>
        <w:sectPr>
          <w:pgSz w:w="11900" w:h="16838" w:orient="portrait"/>
          <w:cols w:equalWidth="0" w:num="1">
            <w:col w:w="10159"/>
          </w:cols>
          <w:pgMar w:left="300" w:top="381"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519" w:firstLine="337"/>
        <w:spacing w:after="0" w:line="273" w:lineRule="auto"/>
        <w:rPr>
          <w:sz w:val="20"/>
          <w:szCs w:val="20"/>
          <w:color w:val="auto"/>
        </w:rPr>
      </w:pPr>
      <w:r>
        <w:rPr>
          <w:rFonts w:ascii="Times New Roman" w:cs="Times New Roman" w:eastAsia="Times New Roman" w:hAnsi="Times New Roman"/>
          <w:sz w:val="14"/>
          <w:szCs w:val="14"/>
          <w:color w:val="auto"/>
        </w:rPr>
        <w:t>In connection with the offering, the underwriters are not acting for anyone other than us and will not be responsible to anyone other than us for providing the protections afforded to their clients nor for providing advice in relation to the offering.</w:t>
      </w:r>
    </w:p>
    <w:p>
      <w:pPr>
        <w:spacing w:after="0" w:line="20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United Kingdom</w:t>
      </w:r>
    </w:p>
    <w:p>
      <w:pPr>
        <w:spacing w:after="0" w:line="91" w:lineRule="exact"/>
        <w:rPr>
          <w:sz w:val="20"/>
          <w:szCs w:val="20"/>
          <w:color w:val="auto"/>
        </w:rPr>
      </w:pPr>
    </w:p>
    <w:p>
      <w:pPr>
        <w:jc w:val="both"/>
        <w:ind w:left="1420" w:right="319" w:firstLine="337"/>
        <w:spacing w:after="0" w:line="253"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has been prepared on the basis that the offering of the notes in the UK will be made pursuant to one of the exceptions from the prohibition on public offers of relevant securities in the POATRs in circumstances not requiring a prospectus pursuant to the UK Financial Conduct Authority Prospectus Rules: Admission to Trading on a Regulated Market Sourcebook (the “PRM Sourcebook”). For the avoidance of doubt, neither this prospectus supplement nor the accompanying prospectus is a prospectus for the purposes of the POATRs or the PRM Sourcebook.</w:t>
      </w:r>
    </w:p>
    <w:p>
      <w:pPr>
        <w:spacing w:after="0" w:line="144" w:lineRule="exact"/>
        <w:rPr>
          <w:sz w:val="20"/>
          <w:szCs w:val="20"/>
          <w:color w:val="auto"/>
        </w:rPr>
      </w:pPr>
    </w:p>
    <w:p>
      <w:pPr>
        <w:ind w:left="1420" w:right="439" w:firstLine="337"/>
        <w:spacing w:after="0" w:line="273" w:lineRule="auto"/>
        <w:rPr>
          <w:sz w:val="20"/>
          <w:szCs w:val="20"/>
          <w:color w:val="auto"/>
        </w:rPr>
      </w:pPr>
      <w:r>
        <w:rPr>
          <w:rFonts w:ascii="Times New Roman" w:cs="Times New Roman" w:eastAsia="Times New Roman" w:hAnsi="Times New Roman"/>
          <w:sz w:val="14"/>
          <w:szCs w:val="14"/>
          <w:color w:val="auto"/>
        </w:rPr>
        <w:t>Each underwriter has agreed that it has not made and will not make an offer of the notes which are the subject of this prospectus supplement and the accompanying prospectus to the public in the United Kingdom except that it may make an offer:</w:t>
      </w:r>
    </w:p>
    <w:p>
      <w:pPr>
        <w:spacing w:after="0" w:line="130" w:lineRule="exact"/>
        <w:rPr>
          <w:sz w:val="20"/>
          <w:szCs w:val="20"/>
          <w:color w:val="auto"/>
        </w:rPr>
      </w:pPr>
    </w:p>
    <w:p>
      <w:pPr>
        <w:ind w:left="1940" w:hanging="178"/>
        <w:spacing w:after="0"/>
        <w:tabs>
          <w:tab w:leader="none" w:pos="19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to any legal entity which is a qualified investor as defined in paragraph 15 of Schedule 1 to the POATRs;</w:t>
      </w:r>
    </w:p>
    <w:p>
      <w:pPr>
        <w:spacing w:after="0" w:line="169" w:lineRule="exact"/>
        <w:rPr>
          <w:rFonts w:ascii="Times New Roman" w:cs="Times New Roman" w:eastAsia="Times New Roman" w:hAnsi="Times New Roman"/>
          <w:sz w:val="14"/>
          <w:szCs w:val="14"/>
          <w:color w:val="auto"/>
        </w:rPr>
      </w:pPr>
    </w:p>
    <w:p>
      <w:pPr>
        <w:ind w:left="1420" w:right="479" w:firstLine="342"/>
        <w:spacing w:after="0" w:line="273" w:lineRule="auto"/>
        <w:tabs>
          <w:tab w:leader="none" w:pos="1953"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to fewer than 150 persons (other than qualified investors as defined in paragraph 15 of Schedule 1 to the POATRs) in the United Kingdom subject to obtaining the prior consent of the relevant underwriter or underwriters nominated by the Issuers for any such offer; or</w:t>
      </w:r>
    </w:p>
    <w:p>
      <w:pPr>
        <w:spacing w:after="0" w:line="130" w:lineRule="exact"/>
        <w:rPr>
          <w:rFonts w:ascii="Times New Roman" w:cs="Times New Roman" w:eastAsia="Times New Roman" w:hAnsi="Times New Roman"/>
          <w:sz w:val="14"/>
          <w:szCs w:val="14"/>
          <w:color w:val="auto"/>
        </w:rPr>
      </w:pPr>
    </w:p>
    <w:p>
      <w:pPr>
        <w:ind w:left="1940" w:hanging="178"/>
        <w:spacing w:after="0"/>
        <w:tabs>
          <w:tab w:leader="none" w:pos="19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in any other circumstances falling within Part 1 of Schedule 1 to the POATRs.</w:t>
      </w:r>
    </w:p>
    <w:p>
      <w:pPr>
        <w:spacing w:after="0" w:line="170" w:lineRule="exact"/>
        <w:rPr>
          <w:sz w:val="20"/>
          <w:szCs w:val="20"/>
          <w:color w:val="auto"/>
        </w:rPr>
      </w:pPr>
    </w:p>
    <w:p>
      <w:pPr>
        <w:jc w:val="both"/>
        <w:ind w:left="1420" w:right="379" w:firstLine="337"/>
        <w:spacing w:after="0" w:line="259" w:lineRule="auto"/>
        <w:rPr>
          <w:sz w:val="20"/>
          <w:szCs w:val="20"/>
          <w:color w:val="auto"/>
        </w:rPr>
      </w:pPr>
      <w:r>
        <w:rPr>
          <w:rFonts w:ascii="Times New Roman" w:cs="Times New Roman" w:eastAsia="Times New Roman" w:hAnsi="Times New Roman"/>
          <w:sz w:val="14"/>
          <w:szCs w:val="14"/>
          <w:color w:val="auto"/>
        </w:rPr>
        <w:t>For the purposes of this provision, the expression “offer of the notes” to the public in relation to any notes means the communication in any form and by any means of sufficient information on the terms of the offer and the notes to be offered so as to enable an investor to decide to buy or subscribe for the notes, and the expression “POATRs” means The Public Offers and Admissions to Trading Regulations 2024.</w:t>
      </w:r>
    </w:p>
    <w:p>
      <w:pPr>
        <w:spacing w:after="0" w:line="141" w:lineRule="exact"/>
        <w:rPr>
          <w:sz w:val="20"/>
          <w:szCs w:val="20"/>
          <w:color w:val="auto"/>
        </w:rPr>
      </w:pPr>
    </w:p>
    <w:p>
      <w:pPr>
        <w:ind w:left="1420" w:right="359" w:firstLine="337"/>
        <w:spacing w:after="0" w:line="249" w:lineRule="auto"/>
        <w:rPr>
          <w:sz w:val="20"/>
          <w:szCs w:val="20"/>
          <w:color w:val="auto"/>
        </w:rPr>
      </w:pPr>
      <w:r>
        <w:rPr>
          <w:rFonts w:ascii="Times New Roman" w:cs="Times New Roman" w:eastAsia="Times New Roman" w:hAnsi="Times New Roman"/>
          <w:sz w:val="14"/>
          <w:szCs w:val="14"/>
          <w:color w:val="auto"/>
        </w:rPr>
        <w:t>The notes are not intended to be offered, sold, distributed or otherwise made available to and should not be offered, sold, distributed or otherwise made available to any retail investor in the United Kingdom (“UK”). For these purposes, (a) the expression “retail investor” means a person who is one (or both) of the following: (i) not a “professional client”, as defined in point (8) of Article 2(1) of Regulation (EU) No 600/2014 as it forms part of assimilated law in the UK by virtue of the European Union (Withdrawal) Act 2018 (as amended, and together with any statutory instruments made in exercise of the powers conferred by such Act, the “EUWA”); or (ii) not a “qualified investor” as defined in paragraph 15 of Schedule 1 to The Public Offers and Admissions to Trading Regulations 2024 (the “POATRs”); and (b) the expression “offer” includes the communication in any form and by any means of sufficient information on the terms of the offer and the securities to be offered so as to enable an investor to decide to buy or subscribe for such securities. Consequently, no disclosure document required by the FCA Product Disclosure Sourcebook (the “DISC Sourcebook”) for offering, selling or distributing the notes or otherwise making them available to retail investors in the UK has been prepared and therefore offering, selling or distributing the notes or otherwise making them available to any retail investor in the UK may be unlawful under the DISC Sourcebook and The Consumer Composite Investments (Designated Activities) Regulations 2024.</w:t>
      </w:r>
    </w:p>
    <w:p>
      <w:pPr>
        <w:spacing w:after="0" w:line="148" w:lineRule="exact"/>
        <w:rPr>
          <w:sz w:val="20"/>
          <w:szCs w:val="20"/>
          <w:color w:val="auto"/>
        </w:rPr>
      </w:pPr>
    </w:p>
    <w:p>
      <w:pPr>
        <w:ind w:left="1420" w:right="359" w:firstLine="337"/>
        <w:spacing w:after="0" w:line="253" w:lineRule="auto"/>
        <w:rPr>
          <w:sz w:val="20"/>
          <w:szCs w:val="20"/>
          <w:color w:val="auto"/>
        </w:rPr>
      </w:pPr>
      <w:r>
        <w:rPr>
          <w:rFonts w:ascii="Times New Roman" w:cs="Times New Roman" w:eastAsia="Times New Roman" w:hAnsi="Times New Roman"/>
          <w:sz w:val="14"/>
          <w:szCs w:val="14"/>
          <w:color w:val="auto"/>
        </w:rPr>
        <w:t>In the UK, this prospectus supplement and the accompanying prospectus are only being distributed to, and are only directed at, and any offer subsequently made may only be directed at non-retail investors (being persons who are not retail investors as defined in the paragraph above) who are also: (i) persons having professional experience in matters relating to investments who fall within the definition of “investment professionals” in Article 19(5) of the Financial Services and Markets Act 2000 (Financial Promotion) Order 2005 (the “Order”); (ii) high net worth companies, unincorporated associations and partnerships and trustees of high value trusts</w:t>
      </w:r>
    </w:p>
    <w:p>
      <w:pPr>
        <w:spacing w:after="0" w:line="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S-48</w:t>
      </w:r>
    </w:p>
    <w:p>
      <w:pPr>
        <w:sectPr>
          <w:pgSz w:w="11900" w:h="16838" w:orient="portrait"/>
          <w:cols w:equalWidth="0" w:num="1">
            <w:col w:w="10159"/>
          </w:cols>
          <w:pgMar w:left="300" w:top="381"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299"/>
        <w:spacing w:after="0" w:line="250" w:lineRule="auto"/>
        <w:rPr>
          <w:sz w:val="20"/>
          <w:szCs w:val="20"/>
          <w:color w:val="auto"/>
        </w:rPr>
      </w:pPr>
      <w:r>
        <w:rPr>
          <w:rFonts w:ascii="Times New Roman" w:cs="Times New Roman" w:eastAsia="Times New Roman" w:hAnsi="Times New Roman"/>
          <w:sz w:val="14"/>
          <w:szCs w:val="14"/>
          <w:color w:val="auto"/>
        </w:rPr>
        <w:t>described in Article 49(a) to (d) of the Order; or (iii) persons to whom an invitation or inducement to engage in investment activity (within the meaning of Section 21 of the Financial Services and Markets Act 2000 (“FSMA”)) in connection with the issue or sale of any securities may otherwise lawfully be communicated (each such person being referred to as a “Relevant Person”). In the UK, any investment or investment activity to which this prospectus supplement and the accompanying prospectus relate is available only to, and will be engaged in only with, Relevant Persons. This prospectus supplement and the accompanying prospectus and their contents are confidential and should not be distributed, published or reproduced (in whole or in part) or disclosed by recipients to any other persons in the UK. This prospectus supplement, the accompanying prospectus and their contents are confidential and should not be distributed, published or reproduced (in whole or in part) or disclosed by any recipients to any other person in the UK. Any person in the UK that is not a Relevant Person should not act or rely on this prospectus supplement and/or the accompanying prospectus or any of their contents.</w:t>
      </w:r>
    </w:p>
    <w:p>
      <w:pPr>
        <w:spacing w:after="0" w:line="22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Notice to Australia Investors</w:t>
      </w:r>
    </w:p>
    <w:p>
      <w:pPr>
        <w:spacing w:after="0" w:line="91" w:lineRule="exact"/>
        <w:rPr>
          <w:sz w:val="20"/>
          <w:szCs w:val="20"/>
          <w:color w:val="auto"/>
        </w:rPr>
      </w:pPr>
    </w:p>
    <w:p>
      <w:pPr>
        <w:ind w:left="1420" w:right="479" w:firstLine="337"/>
        <w:spacing w:after="0" w:line="281" w:lineRule="auto"/>
        <w:rPr>
          <w:sz w:val="20"/>
          <w:szCs w:val="20"/>
          <w:color w:val="auto"/>
        </w:rPr>
      </w:pPr>
      <w:r>
        <w:rPr>
          <w:rFonts w:ascii="Times New Roman" w:cs="Times New Roman" w:eastAsia="Times New Roman" w:hAnsi="Times New Roman"/>
          <w:sz w:val="13"/>
          <w:szCs w:val="13"/>
          <w:color w:val="auto"/>
        </w:rPr>
        <w:t>No placement document, prospectus, product disclosure statement or other disclosure document has been lodged with the Australian Securities and Investments Commission, in relation to the offering. This prospectus supplement and accompanying prospectus do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27" w:lineRule="exact"/>
        <w:rPr>
          <w:sz w:val="20"/>
          <w:szCs w:val="20"/>
          <w:color w:val="auto"/>
        </w:rPr>
      </w:pPr>
    </w:p>
    <w:p>
      <w:pPr>
        <w:ind w:left="1420" w:right="319" w:firstLine="337"/>
        <w:spacing w:after="0" w:line="255" w:lineRule="auto"/>
        <w:rPr>
          <w:sz w:val="20"/>
          <w:szCs w:val="20"/>
          <w:color w:val="auto"/>
        </w:rPr>
      </w:pPr>
      <w:r>
        <w:rPr>
          <w:rFonts w:ascii="Times New Roman" w:cs="Times New Roman" w:eastAsia="Times New Roman" w:hAnsi="Times New Roman"/>
          <w:sz w:val="14"/>
          <w:szCs w:val="14"/>
          <w:color w:val="auto"/>
        </w:rPr>
        <w:t>Any offer in Australia of the notes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notes without disclosure to investors under Chapter 6D of the Corporations Act.</w:t>
      </w:r>
    </w:p>
    <w:p>
      <w:pPr>
        <w:spacing w:after="0" w:line="143" w:lineRule="exact"/>
        <w:rPr>
          <w:sz w:val="20"/>
          <w:szCs w:val="20"/>
          <w:color w:val="auto"/>
        </w:rPr>
      </w:pPr>
    </w:p>
    <w:p>
      <w:pPr>
        <w:ind w:left="1420" w:right="559" w:firstLine="337"/>
        <w:spacing w:after="0" w:line="255" w:lineRule="auto"/>
        <w:rPr>
          <w:sz w:val="20"/>
          <w:szCs w:val="20"/>
          <w:color w:val="auto"/>
        </w:rPr>
      </w:pPr>
      <w:r>
        <w:rPr>
          <w:rFonts w:ascii="Times New Roman" w:cs="Times New Roman" w:eastAsia="Times New Roman" w:hAnsi="Times New Roman"/>
          <w:sz w:val="14"/>
          <w:szCs w:val="14"/>
          <w:color w:val="auto"/>
        </w:rPr>
        <w:t>The notes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the notes must observe such Australian on-sale restrictions.</w:t>
      </w:r>
    </w:p>
    <w:p>
      <w:pPr>
        <w:spacing w:after="0" w:line="143" w:lineRule="exact"/>
        <w:rPr>
          <w:sz w:val="20"/>
          <w:szCs w:val="20"/>
          <w:color w:val="auto"/>
        </w:rPr>
      </w:pPr>
    </w:p>
    <w:p>
      <w:pPr>
        <w:ind w:left="1420" w:right="359" w:firstLine="337"/>
        <w:spacing w:after="0" w:line="255" w:lineRule="auto"/>
        <w:rPr>
          <w:sz w:val="20"/>
          <w:szCs w:val="20"/>
          <w:color w:val="auto"/>
        </w:rPr>
      </w:pPr>
      <w:r>
        <w:rPr>
          <w:rFonts w:ascii="Times New Roman" w:cs="Times New Roman" w:eastAsia="Times New Roman" w:hAnsi="Times New Roman"/>
          <w:sz w:val="14"/>
          <w:szCs w:val="14"/>
          <w:color w:val="auto"/>
        </w:rPr>
        <w:t>This prospectus supplement and accompanying prospectus contain general information only and do not take account of the investment objectives, financial situation or particular needs of any particular person. They do not contain any securities recommendations or financial product advice. Before making an investment decision, investors need to consider whether the information in this prospectus supplement and accompanying prospectus are appropriate to their needs, objectives and circumstances, and, if necessary, seek expert advice on those matters.</w:t>
      </w:r>
    </w:p>
    <w:p>
      <w:pPr>
        <w:spacing w:after="0" w:line="22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Notice to Bermuda Investors</w:t>
      </w:r>
    </w:p>
    <w:p>
      <w:pPr>
        <w:spacing w:after="0" w:line="91" w:lineRule="exact"/>
        <w:rPr>
          <w:sz w:val="20"/>
          <w:szCs w:val="20"/>
          <w:color w:val="auto"/>
        </w:rPr>
      </w:pPr>
    </w:p>
    <w:p>
      <w:pPr>
        <w:ind w:left="1420" w:right="399" w:firstLine="337"/>
        <w:spacing w:after="0" w:line="259" w:lineRule="auto"/>
        <w:rPr>
          <w:sz w:val="20"/>
          <w:szCs w:val="20"/>
          <w:color w:val="auto"/>
        </w:rPr>
      </w:pPr>
      <w:r>
        <w:rPr>
          <w:rFonts w:ascii="Times New Roman" w:cs="Times New Roman" w:eastAsia="Times New Roman" w:hAnsi="Times New Roman"/>
          <w:sz w:val="14"/>
          <w:szCs w:val="14"/>
          <w:color w:val="auto"/>
        </w:rPr>
        <w:t>The notes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Notice to Canada Investors</w:t>
      </w:r>
    </w:p>
    <w:p>
      <w:pPr>
        <w:spacing w:after="0" w:line="91" w:lineRule="exact"/>
        <w:rPr>
          <w:sz w:val="20"/>
          <w:szCs w:val="20"/>
          <w:color w:val="auto"/>
        </w:rPr>
      </w:pPr>
    </w:p>
    <w:p>
      <w:pPr>
        <w:ind w:left="1420" w:right="319" w:firstLine="337"/>
        <w:spacing w:after="0" w:line="273" w:lineRule="auto"/>
        <w:rPr>
          <w:sz w:val="20"/>
          <w:szCs w:val="20"/>
          <w:color w:val="auto"/>
        </w:rPr>
      </w:pPr>
      <w:r>
        <w:rPr>
          <w:rFonts w:ascii="Times New Roman" w:cs="Times New Roman" w:eastAsia="Times New Roman" w:hAnsi="Times New Roman"/>
          <w:sz w:val="14"/>
          <w:szCs w:val="14"/>
          <w:color w:val="auto"/>
        </w:rPr>
        <w:t>The notes may be sold only to purchasers purchasing, or deemed to be purchasing, as principal that are accredited investors, as defined in National Instrument 45-106 Prospectus Exemptions or subsection 73.3(1) of</w:t>
      </w:r>
    </w:p>
    <w:p>
      <w:pPr>
        <w:spacing w:after="0" w:line="7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S-49</w:t>
      </w:r>
    </w:p>
    <w:p>
      <w:pPr>
        <w:sectPr>
          <w:pgSz w:w="11900" w:h="16838" w:orient="portrait"/>
          <w:cols w:equalWidth="0" w:num="1">
            <w:col w:w="10159"/>
          </w:cols>
          <w:pgMar w:left="300" w:top="381"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both"/>
        <w:ind w:left="1420" w:right="479"/>
        <w:spacing w:after="0" w:line="262" w:lineRule="auto"/>
        <w:rPr>
          <w:sz w:val="20"/>
          <w:szCs w:val="20"/>
          <w:color w:val="auto"/>
        </w:rPr>
      </w:pPr>
      <w:r>
        <w:rPr>
          <w:rFonts w:ascii="Times New Roman" w:cs="Times New Roman" w:eastAsia="Times New Roman" w:hAnsi="Times New Roman"/>
          <w:sz w:val="14"/>
          <w:szCs w:val="14"/>
          <w:color w:val="auto"/>
        </w:rPr>
        <w:t xml:space="preserve">the </w:t>
      </w:r>
      <w:r>
        <w:rPr>
          <w:rFonts w:ascii="Times New Roman" w:cs="Times New Roman" w:eastAsia="Times New Roman" w:hAnsi="Times New Roman"/>
          <w:sz w:val="14"/>
          <w:szCs w:val="14"/>
          <w:i w:val="1"/>
          <w:iCs w:val="1"/>
          <w:color w:val="auto"/>
        </w:rPr>
        <w:t>Securities Act</w:t>
      </w:r>
      <w:r>
        <w:rPr>
          <w:rFonts w:ascii="Times New Roman" w:cs="Times New Roman" w:eastAsia="Times New Roman" w:hAnsi="Times New Roman"/>
          <w:sz w:val="14"/>
          <w:szCs w:val="14"/>
          <w:color w:val="auto"/>
        </w:rPr>
        <w:t xml:space="preserve"> (Ontario), and are permitted clients, as defined in National Instrument 31-103 </w:t>
      </w:r>
      <w:r>
        <w:rPr>
          <w:rFonts w:ascii="Times New Roman" w:cs="Times New Roman" w:eastAsia="Times New Roman" w:hAnsi="Times New Roman"/>
          <w:sz w:val="14"/>
          <w:szCs w:val="14"/>
          <w:i w:val="1"/>
          <w:iCs w:val="1"/>
          <w:color w:val="auto"/>
        </w:rPr>
        <w:t>Registration Requirements, Exemptions and Ongoing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Registrant Obligations</w:t>
      </w:r>
      <w:r>
        <w:rPr>
          <w:rFonts w:ascii="Times New Roman" w:cs="Times New Roman" w:eastAsia="Times New Roman" w:hAnsi="Times New Roman"/>
          <w:sz w:val="14"/>
          <w:szCs w:val="14"/>
          <w:color w:val="auto"/>
        </w:rPr>
        <w:t>. Any resale of the notes must be made in accordance with an exemption from, or in a transaction not subject to, the prospectus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requirements of applicable securities laws.</w:t>
      </w:r>
    </w:p>
    <w:p>
      <w:pPr>
        <w:spacing w:after="0" w:line="139" w:lineRule="exact"/>
        <w:rPr>
          <w:sz w:val="20"/>
          <w:szCs w:val="20"/>
          <w:color w:val="auto"/>
        </w:rPr>
      </w:pPr>
    </w:p>
    <w:p>
      <w:pPr>
        <w:ind w:left="1420" w:right="459" w:firstLine="337"/>
        <w:spacing w:after="0" w:line="281" w:lineRule="auto"/>
        <w:rPr>
          <w:sz w:val="20"/>
          <w:szCs w:val="20"/>
          <w:color w:val="auto"/>
        </w:rPr>
      </w:pPr>
      <w:r>
        <w:rPr>
          <w:rFonts w:ascii="Times New Roman" w:cs="Times New Roman" w:eastAsia="Times New Roman" w:hAnsi="Times New Roman"/>
          <w:sz w:val="13"/>
          <w:szCs w:val="13"/>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3" w:lineRule="exact"/>
        <w:rPr>
          <w:sz w:val="20"/>
          <w:szCs w:val="20"/>
          <w:color w:val="auto"/>
        </w:rPr>
      </w:pPr>
    </w:p>
    <w:p>
      <w:pPr>
        <w:ind w:left="1420" w:right="359" w:firstLine="337"/>
        <w:spacing w:after="0" w:line="279" w:lineRule="auto"/>
        <w:rPr>
          <w:sz w:val="20"/>
          <w:szCs w:val="20"/>
          <w:color w:val="auto"/>
        </w:rPr>
      </w:pPr>
      <w:r>
        <w:rPr>
          <w:rFonts w:ascii="Times New Roman" w:cs="Times New Roman" w:eastAsia="Times New Roman" w:hAnsi="Times New Roman"/>
          <w:sz w:val="14"/>
          <w:szCs w:val="14"/>
          <w:color w:val="auto"/>
        </w:rPr>
        <w:t xml:space="preserve">Pursuant to section 3A.3 of National Instrument 33-105 </w:t>
      </w:r>
      <w:r>
        <w:rPr>
          <w:rFonts w:ascii="Times New Roman" w:cs="Times New Roman" w:eastAsia="Times New Roman" w:hAnsi="Times New Roman"/>
          <w:sz w:val="14"/>
          <w:szCs w:val="14"/>
          <w:i w:val="1"/>
          <w:iCs w:val="1"/>
          <w:color w:val="auto"/>
        </w:rPr>
        <w:t>Underwriting Conflicts</w:t>
      </w:r>
      <w:r>
        <w:rPr>
          <w:rFonts w:ascii="Times New Roman" w:cs="Times New Roman" w:eastAsia="Times New Roman" w:hAnsi="Times New Roman"/>
          <w:sz w:val="14"/>
          <w:szCs w:val="14"/>
          <w:color w:val="auto"/>
        </w:rPr>
        <w:t xml:space="preserve"> (NI 33-105), the underwriters are not required to comply with the disclosure requirements of NI 33-105 regarding underwriter conflicts of interest in connection with this offering.</w:t>
      </w:r>
    </w:p>
    <w:p>
      <w:pPr>
        <w:spacing w:after="0" w:line="20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Notice to Dubai Investors</w:t>
      </w:r>
    </w:p>
    <w:p>
      <w:pPr>
        <w:spacing w:after="0" w:line="91" w:lineRule="exact"/>
        <w:rPr>
          <w:sz w:val="20"/>
          <w:szCs w:val="20"/>
          <w:color w:val="auto"/>
        </w:rPr>
      </w:pPr>
    </w:p>
    <w:p>
      <w:pPr>
        <w:ind w:left="1420" w:right="319" w:firstLine="337"/>
        <w:spacing w:after="0" w:line="259" w:lineRule="auto"/>
        <w:rPr>
          <w:sz w:val="20"/>
          <w:szCs w:val="20"/>
          <w:color w:val="auto"/>
        </w:rPr>
      </w:pPr>
      <w:r>
        <w:rPr>
          <w:rFonts w:ascii="Times New Roman" w:cs="Times New Roman" w:eastAsia="Times New Roman" w:hAnsi="Times New Roman"/>
          <w:sz w:val="14"/>
          <w:szCs w:val="14"/>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w:t>
      </w:r>
    </w:p>
    <w:p>
      <w:pPr>
        <w:spacing w:after="0" w:line="141" w:lineRule="exact"/>
        <w:rPr>
          <w:sz w:val="20"/>
          <w:szCs w:val="20"/>
          <w:color w:val="auto"/>
        </w:rPr>
      </w:pPr>
    </w:p>
    <w:p>
      <w:pPr>
        <w:ind w:left="1420" w:right="339" w:firstLine="337"/>
        <w:spacing w:after="0" w:line="255" w:lineRule="auto"/>
        <w:rPr>
          <w:sz w:val="20"/>
          <w:szCs w:val="20"/>
          <w:color w:val="auto"/>
        </w:rPr>
      </w:pPr>
      <w:r>
        <w:rPr>
          <w:rFonts w:ascii="Times New Roman" w:cs="Times New Roman" w:eastAsia="Times New Roman" w:hAnsi="Times New Roman"/>
          <w:sz w:val="14"/>
          <w:szCs w:val="14"/>
          <w:color w:val="auto"/>
        </w:rPr>
        <w:t>The DFSA has not approved this prospectus supplement nor taken steps to verify the information set forth herein and has no responsibility for this document. The notes to which this document relates may be illiquid and/or subject to restrictions on their resale. Prospective purchasers of the notes offered should conduct their own due diligence on the notes. If you do not understand the contents of this document you should consult an authorized financial advisor.</w:t>
      </w:r>
    </w:p>
    <w:p>
      <w:pPr>
        <w:spacing w:after="0" w:line="143" w:lineRule="exact"/>
        <w:rPr>
          <w:sz w:val="20"/>
          <w:szCs w:val="20"/>
          <w:color w:val="auto"/>
        </w:rPr>
      </w:pPr>
    </w:p>
    <w:p>
      <w:pPr>
        <w:ind w:left="1420" w:right="359" w:firstLine="337"/>
        <w:spacing w:after="0" w:line="259" w:lineRule="auto"/>
        <w:rPr>
          <w:sz w:val="20"/>
          <w:szCs w:val="20"/>
          <w:color w:val="auto"/>
        </w:rPr>
      </w:pPr>
      <w:r>
        <w:rPr>
          <w:rFonts w:ascii="Times New Roman" w:cs="Times New Roman" w:eastAsia="Times New Roman" w:hAnsi="Times New Roman"/>
          <w:sz w:val="14"/>
          <w:szCs w:val="14"/>
          <w:color w:val="auto"/>
        </w:rPr>
        <w:t>In relation to its use in the Dubai International Finance Center (“DIFC”), this document is strictly private and confidential and is being distributed to a limited number of investors and must not be provided to any person other than the original recipient, and may not be reproduced or used for any other purpose. The interests in the notes may not be offered or sold directly or indirectly to the public in the DIFC.</w:t>
      </w:r>
    </w:p>
    <w:p>
      <w:pPr>
        <w:spacing w:after="0" w:line="2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Notice to Hong Kong Investors</w:t>
      </w:r>
    </w:p>
    <w:p>
      <w:pPr>
        <w:spacing w:after="0" w:line="91" w:lineRule="exact"/>
        <w:rPr>
          <w:sz w:val="20"/>
          <w:szCs w:val="20"/>
          <w:color w:val="auto"/>
        </w:rPr>
      </w:pPr>
    </w:p>
    <w:p>
      <w:pPr>
        <w:ind w:left="1420" w:right="319" w:firstLine="337"/>
        <w:spacing w:after="0" w:line="250" w:lineRule="auto"/>
        <w:rPr>
          <w:sz w:val="20"/>
          <w:szCs w:val="20"/>
          <w:color w:val="auto"/>
        </w:rPr>
      </w:pPr>
      <w:r>
        <w:rPr>
          <w:rFonts w:ascii="Times New Roman" w:cs="Times New Roman" w:eastAsia="Times New Roman" w:hAnsi="Times New Roman"/>
          <w:sz w:val="14"/>
          <w:szCs w:val="14"/>
          <w:color w:val="auto"/>
        </w:rPr>
        <w:t>The notes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notes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Securities and Futures Ordinance and any rules made under that Ordinance.</w:t>
      </w:r>
    </w:p>
    <w:p>
      <w:pPr>
        <w:spacing w:after="0" w:line="22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Notice to Japan Investors</w:t>
      </w:r>
    </w:p>
    <w:p>
      <w:pPr>
        <w:spacing w:after="0" w:line="91" w:lineRule="exact"/>
        <w:rPr>
          <w:sz w:val="20"/>
          <w:szCs w:val="20"/>
          <w:color w:val="auto"/>
        </w:rPr>
      </w:pPr>
    </w:p>
    <w:p>
      <w:pPr>
        <w:ind w:left="1420" w:right="539" w:firstLine="337"/>
        <w:spacing w:after="0" w:line="273" w:lineRule="auto"/>
        <w:rPr>
          <w:sz w:val="20"/>
          <w:szCs w:val="20"/>
          <w:color w:val="auto"/>
        </w:rPr>
      </w:pPr>
      <w:r>
        <w:rPr>
          <w:rFonts w:ascii="Times New Roman" w:cs="Times New Roman" w:eastAsia="Times New Roman" w:hAnsi="Times New Roman"/>
          <w:sz w:val="14"/>
          <w:szCs w:val="14"/>
          <w:color w:val="auto"/>
        </w:rPr>
        <w:t>The notes have not been and will not be registered under the Financial Instruments and Exchange Law of Japan (the Financial Instruments and Exchange Law) and each underwriter has agreed that it will not offer or sell</w:t>
      </w:r>
    </w:p>
    <w:p>
      <w:pPr>
        <w:spacing w:after="0" w:line="7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S-50</w:t>
      </w:r>
    </w:p>
    <w:p>
      <w:pPr>
        <w:sectPr>
          <w:pgSz w:w="11900" w:h="16838" w:orient="portrait"/>
          <w:cols w:equalWidth="0" w:num="1">
            <w:col w:w="10159"/>
          </w:cols>
          <w:pgMar w:left="300" w:top="381"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419"/>
        <w:spacing w:after="0" w:line="255" w:lineRule="auto"/>
        <w:rPr>
          <w:sz w:val="20"/>
          <w:szCs w:val="20"/>
          <w:color w:val="auto"/>
        </w:rPr>
      </w:pPr>
      <w:r>
        <w:rPr>
          <w:rFonts w:ascii="Times New Roman" w:cs="Times New Roman" w:eastAsia="Times New Roman" w:hAnsi="Times New Roman"/>
          <w:sz w:val="14"/>
          <w:szCs w:val="14"/>
          <w:color w:val="auto"/>
        </w:rPr>
        <w:t>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22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Notice to Singapore Investors</w:t>
      </w:r>
    </w:p>
    <w:p>
      <w:pPr>
        <w:spacing w:after="0" w:line="91" w:lineRule="exact"/>
        <w:rPr>
          <w:sz w:val="20"/>
          <w:szCs w:val="20"/>
          <w:color w:val="auto"/>
        </w:rPr>
      </w:pPr>
    </w:p>
    <w:p>
      <w:pPr>
        <w:ind w:left="1420" w:right="299" w:firstLine="337"/>
        <w:spacing w:after="0" w:line="250" w:lineRule="auto"/>
        <w:rPr>
          <w:sz w:val="20"/>
          <w:szCs w:val="20"/>
          <w:color w:val="auto"/>
        </w:rPr>
      </w:pPr>
      <w:r>
        <w:rPr>
          <w:rFonts w:ascii="Times New Roman" w:cs="Times New Roman" w:eastAsia="Times New Roman" w:hAnsi="Times New Roman"/>
          <w:sz w:val="14"/>
          <w:szCs w:val="14"/>
          <w:color w:val="auto"/>
        </w:rPr>
        <w:t>Each underwriter has acknowledged that this prospectus supplement has not been registered as a prospectus with the Monetary Authority of Singapore. Accordingly, the underwriters have not offered or sold the notes or caused the notes to be made the subject of an invitation for subscription or purchase and will not offer or sell the notes or cause the notes to be made the subject of an invitation for subscription or purchase, and have not circulated or distributed, nor will they circulate or distribute, this prospectus supplement or any other document or material in connection with the offer or sale, or invitation for subscription or purchase, of the notes,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w:t>
      </w:r>
    </w:p>
    <w:p>
      <w:pPr>
        <w:spacing w:after="0" w:line="22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Notice to Switzerland Investors</w:t>
      </w:r>
    </w:p>
    <w:p>
      <w:pPr>
        <w:spacing w:after="0" w:line="91" w:lineRule="exact"/>
        <w:rPr>
          <w:sz w:val="20"/>
          <w:szCs w:val="20"/>
          <w:color w:val="auto"/>
        </w:rPr>
      </w:pPr>
    </w:p>
    <w:p>
      <w:pPr>
        <w:ind w:left="1420" w:right="379" w:firstLine="337"/>
        <w:spacing w:after="0" w:line="253" w:lineRule="auto"/>
        <w:rPr>
          <w:sz w:val="20"/>
          <w:szCs w:val="20"/>
          <w:color w:val="auto"/>
        </w:rPr>
      </w:pPr>
      <w:r>
        <w:rPr>
          <w:rFonts w:ascii="Times New Roman" w:cs="Times New Roman" w:eastAsia="Times New Roman" w:hAnsi="Times New Roman"/>
          <w:sz w:val="14"/>
          <w:szCs w:val="14"/>
          <w:color w:val="auto"/>
        </w:rPr>
        <w:t>This document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document nor any other offering or marketing material relating to the notes constitutes a prospectus pursuant to the FinSA, and neither this document nor any other offering or marketing material relating to the notes may be publicly distributed or otherwise made publicly available in Switzerland.</w:t>
      </w:r>
    </w:p>
    <w:p>
      <w:pPr>
        <w:spacing w:after="0" w:line="144" w:lineRule="exact"/>
        <w:rPr>
          <w:sz w:val="20"/>
          <w:szCs w:val="20"/>
          <w:color w:val="auto"/>
        </w:rPr>
      </w:pPr>
    </w:p>
    <w:p>
      <w:pPr>
        <w:jc w:val="both"/>
        <w:ind w:left="1420" w:right="539" w:firstLine="337"/>
        <w:spacing w:after="0" w:line="259" w:lineRule="auto"/>
        <w:rPr>
          <w:sz w:val="20"/>
          <w:szCs w:val="20"/>
          <w:color w:val="auto"/>
        </w:rPr>
      </w:pPr>
      <w:r>
        <w:rPr>
          <w:rFonts w:ascii="Times New Roman" w:cs="Times New Roman" w:eastAsia="Times New Roman" w:hAnsi="Times New Roman"/>
          <w:sz w:val="14"/>
          <w:szCs w:val="14"/>
          <w:color w:val="auto"/>
        </w:rPr>
        <w:t>Neither this document nor any other offering or marketing material relating to the offering, Fiserv or the notes has been or will be filed with or approved by any Swiss regulatory authority. The notes are not subject to the supervision of any Swiss regulatory authority, e.g., the Swiss Financial Markets Supervisory Authority FINMA, and investors in the notes will not benefit from protection or supervision by such authority.</w:t>
      </w:r>
    </w:p>
    <w:p>
      <w:pPr>
        <w:spacing w:after="0" w:line="2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Notice to Taiwan Investors</w:t>
      </w:r>
    </w:p>
    <w:p>
      <w:pPr>
        <w:spacing w:after="0" w:line="91" w:lineRule="exact"/>
        <w:rPr>
          <w:sz w:val="20"/>
          <w:szCs w:val="20"/>
          <w:color w:val="auto"/>
        </w:rPr>
      </w:pPr>
    </w:p>
    <w:p>
      <w:pPr>
        <w:ind w:left="1420" w:right="299" w:firstLine="337"/>
        <w:spacing w:after="0" w:line="281" w:lineRule="auto"/>
        <w:rPr>
          <w:sz w:val="20"/>
          <w:szCs w:val="20"/>
          <w:color w:val="auto"/>
        </w:rPr>
      </w:pPr>
      <w:r>
        <w:rPr>
          <w:rFonts w:ascii="Times New Roman" w:cs="Times New Roman" w:eastAsia="Times New Roman" w:hAnsi="Times New Roman"/>
          <w:sz w:val="13"/>
          <w:szCs w:val="13"/>
          <w:color w:val="auto"/>
        </w:rPr>
        <w:t>The notes have not been and will not be registered with the Financial Supervisory Commission of Taiwan pursuant to relevant securities laws and regulations and may not be sold, issued or offered within Taiwan through a public offering or in circumstances which constitute an offer within the meaning of the Securities and Exchange Act of Taiwan that require a registration or approval of the Financial Supervisory Commission of Taiwan. No person or entity in Taiwan has been authorized to offer, sell, give advice regarding or otherwise intermediate the offering and sale of the notes in Taiwan.</w:t>
      </w:r>
    </w:p>
    <w:p>
      <w:pPr>
        <w:spacing w:after="0" w:line="20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Conflicts of Interest</w:t>
      </w:r>
    </w:p>
    <w:p>
      <w:pPr>
        <w:spacing w:after="0" w:line="91" w:lineRule="exact"/>
        <w:rPr>
          <w:sz w:val="20"/>
          <w:szCs w:val="20"/>
          <w:color w:val="auto"/>
        </w:rPr>
      </w:pPr>
    </w:p>
    <w:p>
      <w:pPr>
        <w:ind w:left="1420" w:right="319" w:firstLine="337"/>
        <w:spacing w:after="0" w:line="251" w:lineRule="auto"/>
        <w:rPr>
          <w:sz w:val="20"/>
          <w:szCs w:val="20"/>
          <w:color w:val="auto"/>
        </w:rPr>
      </w:pPr>
      <w:r>
        <w:rPr>
          <w:rFonts w:ascii="Times New Roman" w:cs="Times New Roman" w:eastAsia="Times New Roman" w:hAnsi="Times New Roman"/>
          <w:sz w:val="14"/>
          <w:szCs w:val="14"/>
          <w:color w:val="auto"/>
        </w:rPr>
        <w:t>To the extent that net proceeds from this offering are applied to repurchase our 5.150% Senior Notes or our 4.400% Senior Notes held by any of the underwriters and/or their respective affiliates, such underwriters and/or their respective affiliates will receive proceeds of this offering through such repayment. If 5% or more of the net proceeds of this offering (not including the underwriting discounts) is used to repurchase such 5.150% Senior Notes or 4.400% Senior Notes held by the underwriters and/or their respective affiliates, this offering will be conducted in accordance with Rule 5121 of the FINRA Conduct Rules. In such event, the underwriters will not confirm sales of the notes to accounts over which they exercise discretionary authority without the prior written approval of the customer.</w:t>
      </w:r>
    </w:p>
    <w:p>
      <w:pPr>
        <w:spacing w:after="0" w:line="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S-51</w:t>
      </w:r>
    </w:p>
    <w:p>
      <w:pPr>
        <w:sectPr>
          <w:pgSz w:w="11900" w:h="16838" w:orient="portrait"/>
          <w:cols w:equalWidth="0" w:num="1">
            <w:col w:w="10159"/>
          </w:cols>
          <w:pgMar w:left="300" w:top="381"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Other Relationships</w:t>
      </w:r>
    </w:p>
    <w:p>
      <w:pPr>
        <w:spacing w:after="0" w:line="91" w:lineRule="exact"/>
        <w:rPr>
          <w:sz w:val="20"/>
          <w:szCs w:val="20"/>
          <w:color w:val="auto"/>
        </w:rPr>
      </w:pPr>
    </w:p>
    <w:p>
      <w:pPr>
        <w:ind w:left="1420" w:right="319" w:firstLine="337"/>
        <w:spacing w:after="0" w:line="250" w:lineRule="auto"/>
        <w:rPr>
          <w:sz w:val="20"/>
          <w:szCs w:val="20"/>
          <w:color w:val="auto"/>
        </w:rPr>
      </w:pPr>
      <w:r>
        <w:rPr>
          <w:rFonts w:ascii="Times New Roman" w:cs="Times New Roman" w:eastAsia="Times New Roman" w:hAnsi="Times New Roman"/>
          <w:sz w:val="14"/>
          <w:szCs w:val="14"/>
          <w:color w:val="auto"/>
        </w:rPr>
        <w:t>The underwriters and their respective affiliates are full-service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 In addition, affiliates of certain of the underwriters are lenders under our revolving credit facility. Affiliates of the underwriters (Citigroup Global Markets Inc., J.P. Morgan Securities LLC, TD Securities (USA) LLC and Wells Fargo Securities, LLC) are serving as the dealer managers in connection with the tender offer for our 5.150% Senior Notes and our 4.400% Senior Notes, for which they will receive customary fees and expense reimbursements and indemnification against certain liabilities. In addition, certain of the underwriters and/or their affiliates are clients of ours.</w:t>
      </w:r>
    </w:p>
    <w:p>
      <w:pPr>
        <w:spacing w:after="0" w:line="145" w:lineRule="exact"/>
        <w:rPr>
          <w:sz w:val="20"/>
          <w:szCs w:val="20"/>
          <w:color w:val="auto"/>
        </w:rPr>
      </w:pPr>
    </w:p>
    <w:p>
      <w:pPr>
        <w:ind w:left="1420" w:right="479" w:firstLine="337"/>
        <w:spacing w:after="0" w:line="273" w:lineRule="auto"/>
        <w:rPr>
          <w:sz w:val="20"/>
          <w:szCs w:val="20"/>
          <w:color w:val="auto"/>
        </w:rPr>
      </w:pPr>
      <w:r>
        <w:rPr>
          <w:rFonts w:ascii="Times New Roman" w:cs="Times New Roman" w:eastAsia="Times New Roman" w:hAnsi="Times New Roman"/>
          <w:sz w:val="14"/>
          <w:szCs w:val="14"/>
          <w:color w:val="auto"/>
        </w:rPr>
        <w:t>U.S. Bank Trust Company, National Association, which is an affiliate of U.S. Bancorp Investments, Inc., will be the trustee of the notes offered hereby and is the trustee for our outstanding notes, for which it will be and has been paid customary fees.</w:t>
      </w:r>
    </w:p>
    <w:p>
      <w:pPr>
        <w:spacing w:after="0" w:line="130" w:lineRule="exact"/>
        <w:rPr>
          <w:sz w:val="20"/>
          <w:szCs w:val="20"/>
          <w:color w:val="auto"/>
        </w:rPr>
      </w:pPr>
    </w:p>
    <w:p>
      <w:pPr>
        <w:ind w:left="1420" w:right="359" w:firstLine="337"/>
        <w:spacing w:after="0" w:line="249" w:lineRule="auto"/>
        <w:rPr>
          <w:sz w:val="20"/>
          <w:szCs w:val="20"/>
          <w:color w:val="auto"/>
        </w:rPr>
      </w:pPr>
      <w:r>
        <w:rPr>
          <w:rFonts w:ascii="Times New Roman" w:cs="Times New Roman" w:eastAsia="Times New Roman" w:hAnsi="Times New Roman"/>
          <w:sz w:val="14"/>
          <w:szCs w:val="14"/>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respective affiliates that have a lending relationship with us hedge and are likely to hedge in the future, and certain other of those underwriters or their respective affiliates routinely hedge, and certain other of those underwriters or their respective affiliates may hedge, their credit exposure to us consistent with their customary risk management policies. Typically, such underwriters and their respective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respective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9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S-52</w:t>
      </w:r>
    </w:p>
    <w:p>
      <w:pPr>
        <w:sectPr>
          <w:pgSz w:w="11900" w:h="16838" w:orient="portrait"/>
          <w:cols w:equalWidth="0" w:num="1">
            <w:col w:w="10159"/>
          </w:cols>
          <w:pgMar w:left="300" w:top="381"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VALIDITY OF THE NOTES</w:t>
      </w:r>
    </w:p>
    <w:p>
      <w:pPr>
        <w:spacing w:after="0" w:line="174" w:lineRule="exact"/>
        <w:rPr>
          <w:sz w:val="20"/>
          <w:szCs w:val="20"/>
          <w:color w:val="auto"/>
        </w:rPr>
      </w:pPr>
    </w:p>
    <w:p>
      <w:pPr>
        <w:ind w:left="1420" w:right="419" w:firstLine="337"/>
        <w:spacing w:after="0" w:line="259" w:lineRule="auto"/>
        <w:rPr>
          <w:sz w:val="20"/>
          <w:szCs w:val="20"/>
          <w:color w:val="auto"/>
        </w:rPr>
      </w:pPr>
      <w:r>
        <w:rPr>
          <w:rFonts w:ascii="Times New Roman" w:cs="Times New Roman" w:eastAsia="Times New Roman" w:hAnsi="Times New Roman"/>
          <w:sz w:val="14"/>
          <w:szCs w:val="14"/>
          <w:color w:val="auto"/>
        </w:rPr>
        <w:t>The validity of the notes offered hereby will be passed upon for us by Foley &amp; Lardner LLP and, with respect to certain matters, by Eric Nelson, our General Counsel and Secretary. Certain legal matters will be passed upon for the underwriters by Davis Polk &amp; Wardwell LLP, New York, New York.</w:t>
      </w:r>
    </w:p>
    <w:p>
      <w:pPr>
        <w:spacing w:after="0" w:line="30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4" w:lineRule="exact"/>
        <w:rPr>
          <w:sz w:val="20"/>
          <w:szCs w:val="20"/>
          <w:color w:val="auto"/>
        </w:rPr>
      </w:pPr>
    </w:p>
    <w:p>
      <w:pPr>
        <w:ind w:left="1420" w:right="359" w:firstLine="337"/>
        <w:spacing w:after="0" w:line="281" w:lineRule="auto"/>
        <w:rPr>
          <w:sz w:val="20"/>
          <w:szCs w:val="20"/>
          <w:color w:val="auto"/>
        </w:rPr>
      </w:pPr>
      <w:r>
        <w:rPr>
          <w:rFonts w:ascii="Times New Roman" w:cs="Times New Roman" w:eastAsia="Times New Roman" w:hAnsi="Times New Roman"/>
          <w:sz w:val="13"/>
          <w:szCs w:val="13"/>
          <w:color w:val="auto"/>
        </w:rPr>
        <w:t>The consolidated financial statements of Fiserv, Inc. incorporated by reference in this prospectus supplement by reference to Fiserv, Inc.’s Annual Report on Form 10-K for the year ended December 31, 2025, and the effectiveness of Fiserv, Inc.’s internal control over financial reporting, have been audited by Deloitte &amp; Touche LLP, an independent registered public accounting firm, as stated in their reports. Such consolidated financial statements are incorporated by reference in reliance upon the reports of such firm given their authority as experts in accounting and auditing.</w:t>
      </w:r>
    </w:p>
    <w:p>
      <w:pPr>
        <w:spacing w:after="0" w:line="7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S-53</w:t>
      </w:r>
    </w:p>
    <w:p>
      <w:pPr>
        <w:sectPr>
          <w:pgSz w:w="11900" w:h="16838" w:orient="portrait"/>
          <w:cols w:equalWidth="0" w:num="1">
            <w:col w:w="10159"/>
          </w:cols>
          <w:pgMar w:left="300" w:top="381"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3337560</wp:posOffset>
            </wp:positionH>
            <wp:positionV relativeFrom="paragraph">
              <wp:posOffset>131445</wp:posOffset>
            </wp:positionV>
            <wp:extent cx="492760" cy="2495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492760" cy="249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30"/>
          <w:szCs w:val="30"/>
          <w:b w:val="1"/>
          <w:bCs w:val="1"/>
          <w:color w:val="auto"/>
        </w:rPr>
        <w:t>FISERV,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155575</wp:posOffset>
            </wp:positionV>
            <wp:extent cx="112268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3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Debt Securities, Guarantees of Debt Securities, Common Stock, Preferred Stock, Depositary Shares,</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Warrants, Purchase Contracts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133985</wp:posOffset>
            </wp:positionV>
            <wp:extent cx="112268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6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30"/>
          <w:szCs w:val="30"/>
          <w:b w:val="1"/>
          <w:bCs w:val="1"/>
          <w:color w:val="auto"/>
        </w:rPr>
        <w:t>FISERV FUNDING UNLIMITED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155575</wp:posOffset>
            </wp:positionV>
            <wp:extent cx="112268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31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149225</wp:posOffset>
            </wp:positionV>
            <wp:extent cx="112268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318" w:lineRule="exact"/>
        <w:rPr>
          <w:sz w:val="20"/>
          <w:szCs w:val="20"/>
          <w:color w:val="auto"/>
        </w:rPr>
      </w:pPr>
    </w:p>
    <w:p>
      <w:pPr>
        <w:ind w:left="1420" w:right="559" w:firstLine="337"/>
        <w:spacing w:after="0" w:line="309" w:lineRule="auto"/>
        <w:rPr>
          <w:sz w:val="20"/>
          <w:szCs w:val="20"/>
          <w:color w:val="auto"/>
        </w:rPr>
      </w:pPr>
      <w:r>
        <w:rPr>
          <w:rFonts w:ascii="Times New Roman" w:cs="Times New Roman" w:eastAsia="Times New Roman" w:hAnsi="Times New Roman"/>
          <w:sz w:val="12"/>
          <w:szCs w:val="12"/>
          <w:color w:val="auto"/>
        </w:rPr>
        <w:t>We may offer and sell from time to time securities of Fiserv, Inc. or Fiserv Funding Unlimited Company in one or more offerings in amounts, at prices and on terms that we will determine at the time of the offering. This prospectus provides you with a general description of the securities we may offer.</w:t>
      </w:r>
    </w:p>
    <w:p>
      <w:pPr>
        <w:spacing w:after="0" w:line="6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2"/>
          <w:szCs w:val="12"/>
          <w:color w:val="auto"/>
        </w:rPr>
        <w:t>Fiserv, Inc. may offer and sell the following securities:</w:t>
      </w:r>
    </w:p>
    <w:p>
      <w:pPr>
        <w:spacing w:after="0" w:line="110" w:lineRule="exact"/>
        <w:rPr>
          <w:sz w:val="20"/>
          <w:szCs w:val="20"/>
          <w:color w:val="auto"/>
        </w:rPr>
      </w:pPr>
    </w:p>
    <w:p>
      <w:pPr>
        <w:ind w:left="2080" w:hanging="242"/>
        <w:spacing w:after="0"/>
        <w:tabs>
          <w:tab w:leader="none" w:pos="208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senior debt securities, which may be convertible into our common stock or other securities or property;</w:t>
      </w:r>
    </w:p>
    <w:p>
      <w:pPr>
        <w:spacing w:after="0" w:line="110" w:lineRule="exact"/>
        <w:rPr>
          <w:rFonts w:ascii="Times New Roman" w:cs="Times New Roman" w:eastAsia="Times New Roman" w:hAnsi="Times New Roman"/>
          <w:sz w:val="12"/>
          <w:szCs w:val="12"/>
          <w:color w:val="auto"/>
        </w:rPr>
      </w:pPr>
    </w:p>
    <w:p>
      <w:pPr>
        <w:ind w:left="2080" w:hanging="242"/>
        <w:spacing w:after="0"/>
        <w:tabs>
          <w:tab w:leader="none" w:pos="208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common stock;</w:t>
      </w:r>
    </w:p>
    <w:p>
      <w:pPr>
        <w:spacing w:after="0" w:line="110" w:lineRule="exact"/>
        <w:rPr>
          <w:rFonts w:ascii="Times New Roman" w:cs="Times New Roman" w:eastAsia="Times New Roman" w:hAnsi="Times New Roman"/>
          <w:sz w:val="12"/>
          <w:szCs w:val="12"/>
          <w:color w:val="auto"/>
        </w:rPr>
      </w:pPr>
    </w:p>
    <w:p>
      <w:pPr>
        <w:ind w:left="2080" w:hanging="242"/>
        <w:spacing w:after="0"/>
        <w:tabs>
          <w:tab w:leader="none" w:pos="208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preferred stock, which may be convertible into our common stock or other securities;</w:t>
      </w:r>
    </w:p>
    <w:p>
      <w:pPr>
        <w:spacing w:after="0" w:line="110" w:lineRule="exact"/>
        <w:rPr>
          <w:rFonts w:ascii="Times New Roman" w:cs="Times New Roman" w:eastAsia="Times New Roman" w:hAnsi="Times New Roman"/>
          <w:sz w:val="12"/>
          <w:szCs w:val="12"/>
          <w:color w:val="auto"/>
        </w:rPr>
      </w:pPr>
    </w:p>
    <w:p>
      <w:pPr>
        <w:ind w:left="2080" w:hanging="242"/>
        <w:spacing w:after="0"/>
        <w:tabs>
          <w:tab w:leader="none" w:pos="208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depositary shares;</w:t>
      </w:r>
    </w:p>
    <w:p>
      <w:pPr>
        <w:spacing w:after="0" w:line="110" w:lineRule="exact"/>
        <w:rPr>
          <w:rFonts w:ascii="Times New Roman" w:cs="Times New Roman" w:eastAsia="Times New Roman" w:hAnsi="Times New Roman"/>
          <w:sz w:val="12"/>
          <w:szCs w:val="12"/>
          <w:color w:val="auto"/>
        </w:rPr>
      </w:pPr>
    </w:p>
    <w:p>
      <w:pPr>
        <w:ind w:left="2080" w:hanging="242"/>
        <w:spacing w:after="0"/>
        <w:tabs>
          <w:tab w:leader="none" w:pos="208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warrants to purchase common stock, preferred stock, depositary shares or debt securities;</w:t>
      </w:r>
    </w:p>
    <w:p>
      <w:pPr>
        <w:spacing w:after="0" w:line="110" w:lineRule="exact"/>
        <w:rPr>
          <w:rFonts w:ascii="Times New Roman" w:cs="Times New Roman" w:eastAsia="Times New Roman" w:hAnsi="Times New Roman"/>
          <w:sz w:val="12"/>
          <w:szCs w:val="12"/>
          <w:color w:val="auto"/>
        </w:rPr>
      </w:pPr>
    </w:p>
    <w:p>
      <w:pPr>
        <w:ind w:left="2080" w:right="619" w:hanging="242"/>
        <w:spacing w:after="0" w:line="309" w:lineRule="auto"/>
        <w:tabs>
          <w:tab w:leader="none" w:pos="208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contracts for the purchase or sale of our debt securities or equity securities or securities of third parties including any of our affiliates, a basket of such securities, an index or indices of such securities or any combination of the above;</w:t>
      </w:r>
    </w:p>
    <w:p>
      <w:pPr>
        <w:spacing w:after="0" w:line="47" w:lineRule="exact"/>
        <w:rPr>
          <w:rFonts w:ascii="Times New Roman" w:cs="Times New Roman" w:eastAsia="Times New Roman" w:hAnsi="Times New Roman"/>
          <w:sz w:val="12"/>
          <w:szCs w:val="12"/>
          <w:color w:val="auto"/>
        </w:rPr>
      </w:pPr>
    </w:p>
    <w:p>
      <w:pPr>
        <w:ind w:left="2080" w:hanging="242"/>
        <w:spacing w:after="0"/>
        <w:tabs>
          <w:tab w:leader="none" w:pos="208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guarantees of the debt securities of Fiserv Funding Unlimited Company; and</w:t>
      </w:r>
    </w:p>
    <w:p>
      <w:pPr>
        <w:spacing w:after="0" w:line="110" w:lineRule="exact"/>
        <w:rPr>
          <w:rFonts w:ascii="Times New Roman" w:cs="Times New Roman" w:eastAsia="Times New Roman" w:hAnsi="Times New Roman"/>
          <w:sz w:val="12"/>
          <w:szCs w:val="12"/>
          <w:color w:val="auto"/>
        </w:rPr>
      </w:pPr>
    </w:p>
    <w:p>
      <w:pPr>
        <w:ind w:left="2080" w:hanging="242"/>
        <w:spacing w:after="0"/>
        <w:tabs>
          <w:tab w:leader="none" w:pos="208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units consisting of one or more debt securities or other securities.</w:t>
      </w:r>
    </w:p>
    <w:p>
      <w:pPr>
        <w:spacing w:after="0" w:line="10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2"/>
          <w:szCs w:val="12"/>
          <w:color w:val="auto"/>
        </w:rPr>
        <w:t>Fiserv Funding Unlimited Company may offer and sell senior debt securities, which will be guaranteed by Fiserv, Inc.</w:t>
      </w:r>
    </w:p>
    <w:p>
      <w:pPr>
        <w:spacing w:after="0" w:line="131" w:lineRule="exact"/>
        <w:rPr>
          <w:sz w:val="20"/>
          <w:szCs w:val="20"/>
          <w:color w:val="auto"/>
        </w:rPr>
      </w:pPr>
    </w:p>
    <w:p>
      <w:pPr>
        <w:ind w:left="1420" w:right="319" w:firstLine="337"/>
        <w:spacing w:after="0" w:line="289" w:lineRule="auto"/>
        <w:rPr>
          <w:sz w:val="20"/>
          <w:szCs w:val="20"/>
          <w:color w:val="auto"/>
        </w:rPr>
      </w:pPr>
      <w:r>
        <w:rPr>
          <w:rFonts w:ascii="Times New Roman" w:cs="Times New Roman" w:eastAsia="Times New Roman" w:hAnsi="Times New Roman"/>
          <w:sz w:val="12"/>
          <w:szCs w:val="12"/>
          <w:color w:val="auto"/>
        </w:rPr>
        <w:t>Each time securities are sold using this prospectus, we will provide a supplement to this prospectus containing specific information about the offering and the terms of the securities being sold, including the offering price. The supplement may also add, update or change information contained in this prospectus. You should read this prospectus and any prospectus supplement applicable to the specific issue of securities carefully before you invest.</w:t>
      </w:r>
    </w:p>
    <w:p>
      <w:pPr>
        <w:spacing w:after="0" w:line="70" w:lineRule="exact"/>
        <w:rPr>
          <w:sz w:val="20"/>
          <w:szCs w:val="20"/>
          <w:color w:val="auto"/>
        </w:rPr>
      </w:pPr>
    </w:p>
    <w:p>
      <w:pPr>
        <w:ind w:left="1420" w:right="539" w:firstLine="337"/>
        <w:spacing w:after="0" w:line="309" w:lineRule="auto"/>
        <w:rPr>
          <w:sz w:val="20"/>
          <w:szCs w:val="20"/>
          <w:color w:val="auto"/>
        </w:rPr>
      </w:pPr>
      <w:r>
        <w:rPr>
          <w:rFonts w:ascii="Times New Roman" w:cs="Times New Roman" w:eastAsia="Times New Roman" w:hAnsi="Times New Roman"/>
          <w:sz w:val="12"/>
          <w:szCs w:val="12"/>
          <w:color w:val="auto"/>
        </w:rPr>
        <w:t>We may offer and sell these securities to or through underwriters, dealers or agents, or directly to investors, on a continued or a delayed basis. Each applicable prospectus supplement to this prospectus will provide the specific terms of the plan of distribution.</w:t>
      </w:r>
    </w:p>
    <w:p>
      <w:pPr>
        <w:spacing w:after="0" w:line="69" w:lineRule="exact"/>
        <w:rPr>
          <w:sz w:val="20"/>
          <w:szCs w:val="20"/>
          <w:color w:val="auto"/>
        </w:rPr>
      </w:pPr>
    </w:p>
    <w:p>
      <w:pPr>
        <w:jc w:val="both"/>
        <w:ind w:left="1420" w:right="379" w:firstLine="337"/>
        <w:spacing w:after="0" w:line="289" w:lineRule="auto"/>
        <w:rPr>
          <w:sz w:val="20"/>
          <w:szCs w:val="20"/>
          <w:color w:val="auto"/>
        </w:rPr>
      </w:pPr>
      <w:r>
        <w:rPr>
          <w:rFonts w:ascii="Times New Roman" w:cs="Times New Roman" w:eastAsia="Times New Roman" w:hAnsi="Times New Roman"/>
          <w:sz w:val="12"/>
          <w:szCs w:val="12"/>
          <w:color w:val="auto"/>
        </w:rPr>
        <w:t>In addition, selling shareholders to be named in a prospectus supplement may offer and sell from time to time shares of our common stock in such amounts as set forth in a prospectus supplement. Unless otherwise set forth in a prospectus supplement, we will not receive any proceeds from the sale of shares of our common stock by any selling shareholders.</w:t>
      </w:r>
    </w:p>
    <w:p>
      <w:pPr>
        <w:spacing w:after="0" w:line="7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Fiserv, Inc.’s common stock is traded on the New York Stock Exchange under the symbol “FI.”</w:t>
      </w:r>
    </w:p>
    <w:p>
      <w:pPr>
        <w:spacing w:after="0" w:line="100" w:lineRule="exact"/>
        <w:rPr>
          <w:sz w:val="20"/>
          <w:szCs w:val="20"/>
          <w:color w:val="auto"/>
        </w:rPr>
      </w:pPr>
    </w:p>
    <w:p>
      <w:pPr>
        <w:ind w:left="1420" w:right="739" w:firstLine="337"/>
        <w:spacing w:after="0" w:line="264" w:lineRule="auto"/>
        <w:rPr>
          <w:sz w:val="20"/>
          <w:szCs w:val="20"/>
          <w:color w:val="auto"/>
        </w:rPr>
      </w:pPr>
      <w:r>
        <w:rPr>
          <w:rFonts w:ascii="Times New Roman" w:cs="Times New Roman" w:eastAsia="Times New Roman" w:hAnsi="Times New Roman"/>
          <w:sz w:val="15"/>
          <w:szCs w:val="15"/>
          <w:b w:val="1"/>
          <w:bCs w:val="1"/>
          <w:color w:val="auto"/>
        </w:rPr>
        <w:t>Investment in our securities involves risks. See “</w:t>
      </w:r>
      <w:r>
        <w:rPr>
          <w:rFonts w:ascii="Times New Roman" w:cs="Times New Roman" w:eastAsia="Times New Roman" w:hAnsi="Times New Roman"/>
          <w:sz w:val="15"/>
          <w:szCs w:val="15"/>
          <w:b w:val="1"/>
          <w:bCs w:val="1"/>
          <w:u w:val="single" w:color="auto"/>
          <w:color w:val="0000EE"/>
        </w:rPr>
        <w:t>Risk Factors</w:t>
      </w:r>
      <w:r>
        <w:rPr>
          <w:rFonts w:ascii="Times New Roman" w:cs="Times New Roman" w:eastAsia="Times New Roman" w:hAnsi="Times New Roman"/>
          <w:sz w:val="15"/>
          <w:szCs w:val="15"/>
          <w:b w:val="1"/>
          <w:bCs w:val="1"/>
          <w:color w:val="auto"/>
        </w:rPr>
        <w:t>” in our most recent Annual Report on Form 10-K and subsequently filed Quarterly Reports on Form 10-Q and in any applicable prospectus supplement for a discussion of certain factors which should be considered in an investment of the securities which may be offered hereby.</w:t>
      </w:r>
    </w:p>
    <w:p>
      <w:pPr>
        <w:spacing w:after="0" w:line="80" w:lineRule="exact"/>
        <w:rPr>
          <w:sz w:val="20"/>
          <w:szCs w:val="20"/>
          <w:color w:val="auto"/>
        </w:rPr>
      </w:pPr>
    </w:p>
    <w:p>
      <w:pPr>
        <w:ind w:left="1420" w:right="459" w:firstLine="337"/>
        <w:spacing w:after="0" w:line="312" w:lineRule="auto"/>
        <w:rPr>
          <w:sz w:val="20"/>
          <w:szCs w:val="20"/>
          <w:color w:val="auto"/>
        </w:rPr>
      </w:pPr>
      <w:r>
        <w:rPr>
          <w:rFonts w:ascii="Times New Roman" w:cs="Times New Roman" w:eastAsia="Times New Roman" w:hAnsi="Times New Roman"/>
          <w:sz w:val="12"/>
          <w:szCs w:val="12"/>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102235</wp:posOffset>
            </wp:positionV>
            <wp:extent cx="112268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5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2"/>
          <w:szCs w:val="12"/>
          <w:b w:val="1"/>
          <w:bCs w:val="1"/>
          <w:color w:val="auto"/>
        </w:rPr>
        <w:t>The date of this prospectus is April 24, 2025.</w:t>
      </w:r>
    </w:p>
    <w:p>
      <w:pPr>
        <w:sectPr>
          <w:pgSz w:w="11900" w:h="16838" w:orient="portrait"/>
          <w:cols w:equalWidth="0" w:num="1">
            <w:col w:w="10159"/>
          </w:cols>
          <w:pgMar w:left="300" w:top="381"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tbl>
      <w:tblPr>
        <w:tblLayout w:type="fixed"/>
        <w:tblInd w:w="1420" w:type="dxa"/>
        <w:tblCellMar>
          <w:top w:w="0" w:type="dxa"/>
          <w:left w:w="0" w:type="dxa"/>
          <w:bottom w:w="0" w:type="dxa"/>
          <w:right w:w="0" w:type="dxa"/>
        </w:tblCellMar>
      </w:tblPr>
      <w:tr>
        <w:trPr>
          <w:trHeight w:val="183"/>
        </w:trPr>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980" w:type="dxa"/>
            <w:vAlign w:val="bottom"/>
            <w:gridSpan w:val="2"/>
          </w:tcPr>
          <w:p>
            <w:pPr>
              <w:ind w:left="12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20" w:type="dxa"/>
            <w:vAlign w:val="bottom"/>
          </w:tcPr>
          <w:p>
            <w:pPr>
              <w:spacing w:after="0"/>
              <w:rPr>
                <w:sz w:val="15"/>
                <w:szCs w:val="15"/>
                <w:color w:val="auto"/>
              </w:rPr>
            </w:pPr>
          </w:p>
        </w:tc>
      </w:tr>
      <w:tr>
        <w:trPr>
          <w:trHeight w:val="289"/>
        </w:trPr>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88"/>
              </w:rPr>
              <w:t>Page</w:t>
            </w:r>
          </w:p>
        </w:tc>
      </w:tr>
      <w:tr>
        <w:trPr>
          <w:trHeight w:val="208"/>
        </w:trPr>
        <w:tc>
          <w:tcPr>
            <w:tcW w:w="12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w w:val="97"/>
              </w:rPr>
              <w:t>About this Prospectus</w:t>
            </w:r>
          </w:p>
        </w:tc>
        <w:tc>
          <w:tcPr>
            <w:tcW w:w="6960" w:type="dxa"/>
            <w:vAlign w:val="bottom"/>
            <w:gridSpan w:val="9"/>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45"/>
        </w:trPr>
        <w:tc>
          <w:tcPr>
            <w:tcW w:w="8180" w:type="dxa"/>
            <w:vAlign w:val="bottom"/>
            <w:gridSpan w:val="17"/>
          </w:tcPr>
          <w:p>
            <w:pPr>
              <w:spacing w:after="0" w:line="145" w:lineRule="exact"/>
              <w:rPr>
                <w:sz w:val="20"/>
                <w:szCs w:val="20"/>
                <w:color w:val="auto"/>
              </w:rPr>
            </w:pPr>
            <w:r>
              <w:rPr>
                <w:rFonts w:ascii="Times New Roman" w:cs="Times New Roman" w:eastAsia="Times New Roman" w:hAnsi="Times New Roman"/>
                <w:sz w:val="14"/>
                <w:szCs w:val="14"/>
                <w:color w:val="0000EE"/>
              </w:rPr>
              <w:t>Forward-Looking Statements</w:t>
            </w:r>
          </w:p>
        </w:tc>
        <w:tc>
          <w:tcPr>
            <w:tcW w:w="2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w:t>
            </w:r>
          </w:p>
        </w:tc>
      </w:tr>
      <w:tr>
        <w:trPr>
          <w:trHeight w:val="145"/>
        </w:trPr>
        <w:tc>
          <w:tcPr>
            <w:tcW w:w="700" w:type="dxa"/>
            <w:vAlign w:val="bottom"/>
            <w:tcBorders>
              <w:top w:val="single" w:sz="8" w:color="0000EE"/>
              <w:bottom w:val="single" w:sz="8" w:color="0000EE"/>
            </w:tcBorders>
            <w:gridSpan w:val="3"/>
          </w:tcPr>
          <w:p>
            <w:pPr>
              <w:spacing w:after="0" w:line="145" w:lineRule="exact"/>
              <w:rPr>
                <w:sz w:val="20"/>
                <w:szCs w:val="20"/>
                <w:color w:val="auto"/>
              </w:rPr>
            </w:pPr>
            <w:r>
              <w:rPr>
                <w:rFonts w:ascii="Times New Roman" w:cs="Times New Roman" w:eastAsia="Times New Roman" w:hAnsi="Times New Roman"/>
                <w:sz w:val="14"/>
                <w:szCs w:val="14"/>
                <w:color w:val="0000EE"/>
                <w:w w:val="96"/>
              </w:rPr>
              <w:t>Risk Factors</w:t>
            </w:r>
          </w:p>
        </w:tc>
        <w:tc>
          <w:tcPr>
            <w:tcW w:w="920" w:type="dxa"/>
            <w:vAlign w:val="bottom"/>
            <w:tcBorders>
              <w:top w:val="single" w:sz="8" w:color="0000EE"/>
            </w:tcBorders>
            <w:gridSpan w:val="8"/>
          </w:tcPr>
          <w:p>
            <w:pPr>
              <w:spacing w:after="0"/>
              <w:rPr>
                <w:sz w:val="12"/>
                <w:szCs w:val="12"/>
                <w:color w:val="auto"/>
              </w:rPr>
            </w:pPr>
          </w:p>
        </w:tc>
        <w:tc>
          <w:tcPr>
            <w:tcW w:w="6560" w:type="dxa"/>
            <w:vAlign w:val="bottom"/>
            <w:gridSpan w:val="6"/>
          </w:tcPr>
          <w:p>
            <w:pPr>
              <w:spacing w:after="0"/>
              <w:rPr>
                <w:sz w:val="12"/>
                <w:szCs w:val="12"/>
                <w:color w:val="auto"/>
              </w:rPr>
            </w:pPr>
          </w:p>
        </w:tc>
        <w:tc>
          <w:tcPr>
            <w:tcW w:w="2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3</w:t>
            </w:r>
          </w:p>
        </w:tc>
      </w:tr>
      <w:tr>
        <w:trPr>
          <w:trHeight w:val="145"/>
        </w:trPr>
        <w:tc>
          <w:tcPr>
            <w:tcW w:w="620" w:type="dxa"/>
            <w:vAlign w:val="bottom"/>
            <w:tcBorders>
              <w:bottom w:val="single" w:sz="8" w:color="0000EE"/>
            </w:tcBorders>
            <w:gridSpan w:val="2"/>
          </w:tcPr>
          <w:p>
            <w:pPr>
              <w:spacing w:after="0" w:line="145" w:lineRule="exact"/>
              <w:rPr>
                <w:sz w:val="20"/>
                <w:szCs w:val="20"/>
                <w:color w:val="auto"/>
              </w:rPr>
            </w:pPr>
            <w:r>
              <w:rPr>
                <w:rFonts w:ascii="Times New Roman" w:cs="Times New Roman" w:eastAsia="Times New Roman" w:hAnsi="Times New Roman"/>
                <w:sz w:val="14"/>
                <w:szCs w:val="14"/>
                <w:color w:val="0000EE"/>
                <w:w w:val="94"/>
              </w:rPr>
              <w:t>Fiserv, Inc.</w:t>
            </w:r>
          </w:p>
        </w:tc>
        <w:tc>
          <w:tcPr>
            <w:tcW w:w="7560" w:type="dxa"/>
            <w:vAlign w:val="bottom"/>
            <w:gridSpan w:val="15"/>
          </w:tcPr>
          <w:p>
            <w:pPr>
              <w:spacing w:after="0"/>
              <w:rPr>
                <w:sz w:val="12"/>
                <w:szCs w:val="12"/>
                <w:color w:val="auto"/>
              </w:rPr>
            </w:pPr>
          </w:p>
        </w:tc>
        <w:tc>
          <w:tcPr>
            <w:tcW w:w="2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3</w:t>
            </w:r>
          </w:p>
        </w:tc>
      </w:tr>
      <w:tr>
        <w:trPr>
          <w:trHeight w:val="145"/>
        </w:trPr>
        <w:tc>
          <w:tcPr>
            <w:tcW w:w="8180" w:type="dxa"/>
            <w:vAlign w:val="bottom"/>
            <w:gridSpan w:val="17"/>
          </w:tcPr>
          <w:p>
            <w:pPr>
              <w:spacing w:after="0" w:line="145" w:lineRule="exact"/>
              <w:rPr>
                <w:sz w:val="20"/>
                <w:szCs w:val="20"/>
                <w:color w:val="auto"/>
              </w:rPr>
            </w:pPr>
            <w:r>
              <w:rPr>
                <w:rFonts w:ascii="Times New Roman" w:cs="Times New Roman" w:eastAsia="Times New Roman" w:hAnsi="Times New Roman"/>
                <w:sz w:val="14"/>
                <w:szCs w:val="14"/>
                <w:color w:val="0000EE"/>
              </w:rPr>
              <w:t>Fiserv Funding Unlimited Company</w:t>
            </w:r>
          </w:p>
        </w:tc>
        <w:tc>
          <w:tcPr>
            <w:tcW w:w="2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3</w:t>
            </w:r>
          </w:p>
        </w:tc>
      </w:tr>
      <w:tr>
        <w:trPr>
          <w:trHeight w:val="145"/>
        </w:trPr>
        <w:tc>
          <w:tcPr>
            <w:tcW w:w="2000" w:type="dxa"/>
            <w:vAlign w:val="bottom"/>
            <w:tcBorders>
              <w:top w:val="single" w:sz="8" w:color="0000EE"/>
            </w:tcBorders>
            <w:gridSpan w:val="14"/>
          </w:tcPr>
          <w:p>
            <w:pPr>
              <w:spacing w:after="0" w:line="145" w:lineRule="exact"/>
              <w:rPr>
                <w:sz w:val="20"/>
                <w:szCs w:val="20"/>
                <w:color w:val="auto"/>
              </w:rPr>
            </w:pPr>
            <w:r>
              <w:rPr>
                <w:rFonts w:ascii="Times New Roman" w:cs="Times New Roman" w:eastAsia="Times New Roman" w:hAnsi="Times New Roman"/>
                <w:sz w:val="14"/>
                <w:szCs w:val="14"/>
                <w:color w:val="0000EE"/>
              </w:rPr>
              <w:t>Use of Proceeds</w:t>
            </w:r>
          </w:p>
        </w:tc>
        <w:tc>
          <w:tcPr>
            <w:tcW w:w="6180" w:type="dxa"/>
            <w:vAlign w:val="bottom"/>
            <w:gridSpan w:val="3"/>
          </w:tcPr>
          <w:p>
            <w:pPr>
              <w:spacing w:after="0"/>
              <w:rPr>
                <w:sz w:val="12"/>
                <w:szCs w:val="12"/>
                <w:color w:val="auto"/>
              </w:rPr>
            </w:pPr>
          </w:p>
        </w:tc>
        <w:tc>
          <w:tcPr>
            <w:tcW w:w="2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3</w:t>
            </w: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45"/>
        </w:trPr>
        <w:tc>
          <w:tcPr>
            <w:tcW w:w="3600" w:type="dxa"/>
            <w:vAlign w:val="bottom"/>
            <w:tcBorders>
              <w:bottom w:val="single" w:sz="8" w:color="0000EE"/>
            </w:tcBorders>
            <w:gridSpan w:val="16"/>
          </w:tcPr>
          <w:p>
            <w:pPr>
              <w:spacing w:after="0" w:line="145" w:lineRule="exact"/>
              <w:rPr>
                <w:sz w:val="20"/>
                <w:szCs w:val="20"/>
                <w:color w:val="auto"/>
              </w:rPr>
            </w:pPr>
            <w:r>
              <w:rPr>
                <w:rFonts w:ascii="Times New Roman" w:cs="Times New Roman" w:eastAsia="Times New Roman" w:hAnsi="Times New Roman"/>
                <w:sz w:val="14"/>
                <w:szCs w:val="14"/>
                <w:color w:val="0000EE"/>
                <w:w w:val="98"/>
              </w:rPr>
              <w:t>Description of Debt Securities and Guarantees of Debt Securities</w:t>
            </w:r>
          </w:p>
        </w:tc>
        <w:tc>
          <w:tcPr>
            <w:tcW w:w="4580" w:type="dxa"/>
            <w:vAlign w:val="bottom"/>
          </w:tcPr>
          <w:p>
            <w:pPr>
              <w:spacing w:after="0"/>
              <w:rPr>
                <w:sz w:val="12"/>
                <w:szCs w:val="12"/>
                <w:color w:val="auto"/>
              </w:rPr>
            </w:pPr>
          </w:p>
        </w:tc>
        <w:tc>
          <w:tcPr>
            <w:tcW w:w="2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4</w:t>
            </w:r>
          </w:p>
        </w:tc>
      </w:tr>
      <w:tr>
        <w:trPr>
          <w:trHeight w:val="145"/>
        </w:trPr>
        <w:tc>
          <w:tcPr>
            <w:tcW w:w="1580" w:type="dxa"/>
            <w:vAlign w:val="bottom"/>
            <w:tcBorders>
              <w:bottom w:val="single" w:sz="8" w:color="0000EE"/>
            </w:tcBorders>
            <w:gridSpan w:val="10"/>
          </w:tcPr>
          <w:p>
            <w:pPr>
              <w:spacing w:after="0" w:line="145" w:lineRule="exact"/>
              <w:rPr>
                <w:sz w:val="20"/>
                <w:szCs w:val="20"/>
                <w:color w:val="auto"/>
              </w:rPr>
            </w:pPr>
            <w:r>
              <w:rPr>
                <w:rFonts w:ascii="Times New Roman" w:cs="Times New Roman" w:eastAsia="Times New Roman" w:hAnsi="Times New Roman"/>
                <w:sz w:val="14"/>
                <w:szCs w:val="14"/>
                <w:color w:val="0000EE"/>
                <w:w w:val="97"/>
              </w:rPr>
              <w:t>Description of Capital Stock</w:t>
            </w:r>
          </w:p>
        </w:tc>
        <w:tc>
          <w:tcPr>
            <w:tcW w:w="6600" w:type="dxa"/>
            <w:vAlign w:val="bottom"/>
            <w:gridSpan w:val="7"/>
          </w:tcPr>
          <w:p>
            <w:pPr>
              <w:spacing w:after="0"/>
              <w:rPr>
                <w:sz w:val="12"/>
                <w:szCs w:val="12"/>
                <w:color w:val="auto"/>
              </w:rPr>
            </w:pPr>
          </w:p>
        </w:tc>
        <w:tc>
          <w:tcPr>
            <w:tcW w:w="2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10</w:t>
            </w:r>
          </w:p>
        </w:tc>
      </w:tr>
      <w:tr>
        <w:trPr>
          <w:trHeight w:val="145"/>
        </w:trPr>
        <w:tc>
          <w:tcPr>
            <w:tcW w:w="1840" w:type="dxa"/>
            <w:vAlign w:val="bottom"/>
            <w:tcBorders>
              <w:bottom w:val="single" w:sz="8" w:color="0000EE"/>
            </w:tcBorders>
            <w:gridSpan w:val="12"/>
          </w:tcPr>
          <w:p>
            <w:pPr>
              <w:spacing w:after="0" w:line="145" w:lineRule="exact"/>
              <w:rPr>
                <w:sz w:val="20"/>
                <w:szCs w:val="20"/>
                <w:color w:val="auto"/>
              </w:rPr>
            </w:pPr>
            <w:r>
              <w:rPr>
                <w:rFonts w:ascii="Times New Roman" w:cs="Times New Roman" w:eastAsia="Times New Roman" w:hAnsi="Times New Roman"/>
                <w:sz w:val="14"/>
                <w:szCs w:val="14"/>
                <w:color w:val="0000EE"/>
                <w:w w:val="97"/>
              </w:rPr>
              <w:t>Description of Depositary Shares</w:t>
            </w:r>
          </w:p>
        </w:tc>
        <w:tc>
          <w:tcPr>
            <w:tcW w:w="6340" w:type="dxa"/>
            <w:vAlign w:val="bottom"/>
            <w:gridSpan w:val="5"/>
          </w:tcPr>
          <w:p>
            <w:pPr>
              <w:spacing w:after="0"/>
              <w:rPr>
                <w:sz w:val="12"/>
                <w:szCs w:val="12"/>
                <w:color w:val="auto"/>
              </w:rPr>
            </w:pPr>
          </w:p>
        </w:tc>
        <w:tc>
          <w:tcPr>
            <w:tcW w:w="2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12</w:t>
            </w:r>
          </w:p>
        </w:tc>
      </w:tr>
      <w:tr>
        <w:trPr>
          <w:trHeight w:val="145"/>
        </w:trPr>
        <w:tc>
          <w:tcPr>
            <w:tcW w:w="8180" w:type="dxa"/>
            <w:vAlign w:val="bottom"/>
            <w:gridSpan w:val="17"/>
          </w:tcPr>
          <w:p>
            <w:pPr>
              <w:spacing w:after="0" w:line="145" w:lineRule="exact"/>
              <w:rPr>
                <w:sz w:val="20"/>
                <w:szCs w:val="20"/>
                <w:color w:val="auto"/>
              </w:rPr>
            </w:pPr>
            <w:r>
              <w:rPr>
                <w:rFonts w:ascii="Times New Roman" w:cs="Times New Roman" w:eastAsia="Times New Roman" w:hAnsi="Times New Roman"/>
                <w:sz w:val="14"/>
                <w:szCs w:val="14"/>
                <w:color w:val="0000EE"/>
              </w:rPr>
              <w:t>Description of Warrants</w:t>
            </w:r>
          </w:p>
        </w:tc>
        <w:tc>
          <w:tcPr>
            <w:tcW w:w="2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13</w:t>
            </w: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45"/>
        </w:trPr>
        <w:tc>
          <w:tcPr>
            <w:tcW w:w="1900" w:type="dxa"/>
            <w:vAlign w:val="bottom"/>
            <w:tcBorders>
              <w:bottom w:val="single" w:sz="8" w:color="0000EE"/>
            </w:tcBorders>
            <w:gridSpan w:val="13"/>
          </w:tcPr>
          <w:p>
            <w:pPr>
              <w:spacing w:after="0" w:line="145" w:lineRule="exact"/>
              <w:rPr>
                <w:sz w:val="20"/>
                <w:szCs w:val="20"/>
                <w:color w:val="auto"/>
              </w:rPr>
            </w:pPr>
            <w:r>
              <w:rPr>
                <w:rFonts w:ascii="Times New Roman" w:cs="Times New Roman" w:eastAsia="Times New Roman" w:hAnsi="Times New Roman"/>
                <w:sz w:val="14"/>
                <w:szCs w:val="14"/>
                <w:color w:val="0000EE"/>
                <w:w w:val="98"/>
              </w:rPr>
              <w:t>Description of Purchase Contracts</w:t>
            </w:r>
          </w:p>
        </w:tc>
        <w:tc>
          <w:tcPr>
            <w:tcW w:w="6280" w:type="dxa"/>
            <w:vAlign w:val="bottom"/>
            <w:gridSpan w:val="4"/>
          </w:tcPr>
          <w:p>
            <w:pPr>
              <w:spacing w:after="0"/>
              <w:rPr>
                <w:sz w:val="12"/>
                <w:szCs w:val="12"/>
                <w:color w:val="auto"/>
              </w:rPr>
            </w:pPr>
          </w:p>
        </w:tc>
        <w:tc>
          <w:tcPr>
            <w:tcW w:w="2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15</w:t>
            </w:r>
          </w:p>
        </w:tc>
      </w:tr>
      <w:tr>
        <w:trPr>
          <w:trHeight w:val="145"/>
        </w:trPr>
        <w:tc>
          <w:tcPr>
            <w:tcW w:w="1140" w:type="dxa"/>
            <w:vAlign w:val="bottom"/>
            <w:tcBorders>
              <w:bottom w:val="single" w:sz="8" w:color="0000EE"/>
            </w:tcBorders>
            <w:gridSpan w:val="7"/>
          </w:tcPr>
          <w:p>
            <w:pPr>
              <w:spacing w:after="0" w:line="145" w:lineRule="exact"/>
              <w:rPr>
                <w:sz w:val="20"/>
                <w:szCs w:val="20"/>
                <w:color w:val="auto"/>
              </w:rPr>
            </w:pPr>
            <w:r>
              <w:rPr>
                <w:rFonts w:ascii="Times New Roman" w:cs="Times New Roman" w:eastAsia="Times New Roman" w:hAnsi="Times New Roman"/>
                <w:sz w:val="14"/>
                <w:szCs w:val="14"/>
                <w:color w:val="0000EE"/>
                <w:w w:val="97"/>
              </w:rPr>
              <w:t>Description of Units</w:t>
            </w:r>
          </w:p>
        </w:tc>
        <w:tc>
          <w:tcPr>
            <w:tcW w:w="7040" w:type="dxa"/>
            <w:vAlign w:val="bottom"/>
            <w:gridSpan w:val="10"/>
          </w:tcPr>
          <w:p>
            <w:pPr>
              <w:spacing w:after="0"/>
              <w:rPr>
                <w:sz w:val="12"/>
                <w:szCs w:val="12"/>
                <w:color w:val="auto"/>
              </w:rPr>
            </w:pPr>
          </w:p>
        </w:tc>
        <w:tc>
          <w:tcPr>
            <w:tcW w:w="2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16</w:t>
            </w:r>
          </w:p>
        </w:tc>
      </w:tr>
      <w:tr>
        <w:trPr>
          <w:trHeight w:val="145"/>
        </w:trPr>
        <w:tc>
          <w:tcPr>
            <w:tcW w:w="8180" w:type="dxa"/>
            <w:vAlign w:val="bottom"/>
            <w:gridSpan w:val="17"/>
          </w:tcPr>
          <w:p>
            <w:pPr>
              <w:spacing w:after="0" w:line="145" w:lineRule="exact"/>
              <w:rPr>
                <w:sz w:val="20"/>
                <w:szCs w:val="20"/>
                <w:color w:val="auto"/>
              </w:rPr>
            </w:pPr>
            <w:r>
              <w:rPr>
                <w:rFonts w:ascii="Times New Roman" w:cs="Times New Roman" w:eastAsia="Times New Roman" w:hAnsi="Times New Roman"/>
                <w:sz w:val="14"/>
                <w:szCs w:val="14"/>
                <w:color w:val="0000EE"/>
              </w:rPr>
              <w:t>Selling Shareholders</w:t>
            </w:r>
          </w:p>
        </w:tc>
        <w:tc>
          <w:tcPr>
            <w:tcW w:w="2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17</w:t>
            </w:r>
          </w:p>
        </w:tc>
      </w:tr>
      <w:tr>
        <w:trPr>
          <w:trHeight w:val="145"/>
        </w:trPr>
        <w:tc>
          <w:tcPr>
            <w:tcW w:w="1100" w:type="dxa"/>
            <w:vAlign w:val="bottom"/>
            <w:tcBorders>
              <w:top w:val="single" w:sz="8" w:color="0000EE"/>
              <w:bottom w:val="single" w:sz="8" w:color="0000EE"/>
            </w:tcBorders>
            <w:gridSpan w:val="6"/>
          </w:tcPr>
          <w:p>
            <w:pPr>
              <w:spacing w:after="0" w:line="145" w:lineRule="exact"/>
              <w:rPr>
                <w:sz w:val="20"/>
                <w:szCs w:val="20"/>
                <w:color w:val="auto"/>
              </w:rPr>
            </w:pPr>
            <w:r>
              <w:rPr>
                <w:rFonts w:ascii="Times New Roman" w:cs="Times New Roman" w:eastAsia="Times New Roman" w:hAnsi="Times New Roman"/>
                <w:sz w:val="14"/>
                <w:szCs w:val="14"/>
                <w:color w:val="0000EE"/>
                <w:w w:val="97"/>
              </w:rPr>
              <w:t>Plan of Distribution</w:t>
            </w:r>
          </w:p>
        </w:tc>
        <w:tc>
          <w:tcPr>
            <w:tcW w:w="40" w:type="dxa"/>
            <w:vAlign w:val="bottom"/>
            <w:tcBorders>
              <w:top w:val="single" w:sz="8" w:color="0000EE"/>
            </w:tcBorders>
          </w:tcPr>
          <w:p>
            <w:pPr>
              <w:spacing w:after="0"/>
              <w:rPr>
                <w:sz w:val="12"/>
                <w:szCs w:val="12"/>
                <w:color w:val="auto"/>
              </w:rPr>
            </w:pPr>
          </w:p>
        </w:tc>
        <w:tc>
          <w:tcPr>
            <w:tcW w:w="7040" w:type="dxa"/>
            <w:vAlign w:val="bottom"/>
            <w:gridSpan w:val="10"/>
          </w:tcPr>
          <w:p>
            <w:pPr>
              <w:spacing w:after="0"/>
              <w:rPr>
                <w:sz w:val="12"/>
                <w:szCs w:val="12"/>
                <w:color w:val="auto"/>
              </w:rPr>
            </w:pPr>
          </w:p>
        </w:tc>
        <w:tc>
          <w:tcPr>
            <w:tcW w:w="2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18</w:t>
            </w:r>
          </w:p>
        </w:tc>
      </w:tr>
      <w:tr>
        <w:trPr>
          <w:trHeight w:val="145"/>
        </w:trPr>
        <w:tc>
          <w:tcPr>
            <w:tcW w:w="2200" w:type="dxa"/>
            <w:vAlign w:val="bottom"/>
            <w:tcBorders>
              <w:bottom w:val="single" w:sz="8" w:color="0000EE"/>
            </w:tcBorders>
            <w:gridSpan w:val="15"/>
          </w:tcPr>
          <w:p>
            <w:pPr>
              <w:spacing w:after="0" w:line="145" w:lineRule="exact"/>
              <w:rPr>
                <w:sz w:val="20"/>
                <w:szCs w:val="20"/>
                <w:color w:val="auto"/>
              </w:rPr>
            </w:pPr>
            <w:r>
              <w:rPr>
                <w:rFonts w:ascii="Times New Roman" w:cs="Times New Roman" w:eastAsia="Times New Roman" w:hAnsi="Times New Roman"/>
                <w:sz w:val="14"/>
                <w:szCs w:val="14"/>
                <w:color w:val="0000EE"/>
                <w:w w:val="97"/>
              </w:rPr>
              <w:t>Where You Can Find More Information</w:t>
            </w:r>
          </w:p>
        </w:tc>
        <w:tc>
          <w:tcPr>
            <w:tcW w:w="5980" w:type="dxa"/>
            <w:vAlign w:val="bottom"/>
            <w:gridSpan w:val="2"/>
          </w:tcPr>
          <w:p>
            <w:pPr>
              <w:spacing w:after="0"/>
              <w:rPr>
                <w:sz w:val="12"/>
                <w:szCs w:val="12"/>
                <w:color w:val="auto"/>
              </w:rPr>
            </w:pPr>
          </w:p>
        </w:tc>
        <w:tc>
          <w:tcPr>
            <w:tcW w:w="2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21</w:t>
            </w:r>
          </w:p>
        </w:tc>
      </w:tr>
      <w:tr>
        <w:trPr>
          <w:trHeight w:val="145"/>
        </w:trPr>
        <w:tc>
          <w:tcPr>
            <w:tcW w:w="780" w:type="dxa"/>
            <w:vAlign w:val="bottom"/>
            <w:tcBorders>
              <w:bottom w:val="single" w:sz="8" w:color="0000EE"/>
            </w:tcBorders>
            <w:gridSpan w:val="4"/>
          </w:tcPr>
          <w:p>
            <w:pPr>
              <w:spacing w:after="0" w:line="145" w:lineRule="exact"/>
              <w:rPr>
                <w:sz w:val="20"/>
                <w:szCs w:val="20"/>
                <w:color w:val="auto"/>
              </w:rPr>
            </w:pPr>
            <w:r>
              <w:rPr>
                <w:rFonts w:ascii="Times New Roman" w:cs="Times New Roman" w:eastAsia="Times New Roman" w:hAnsi="Times New Roman"/>
                <w:sz w:val="14"/>
                <w:szCs w:val="14"/>
                <w:color w:val="0000EE"/>
                <w:w w:val="97"/>
              </w:rPr>
              <w:t>Legal Matters</w:t>
            </w:r>
          </w:p>
        </w:tc>
        <w:tc>
          <w:tcPr>
            <w:tcW w:w="7400" w:type="dxa"/>
            <w:vAlign w:val="bottom"/>
            <w:gridSpan w:val="13"/>
          </w:tcPr>
          <w:p>
            <w:pPr>
              <w:spacing w:after="0"/>
              <w:rPr>
                <w:sz w:val="12"/>
                <w:szCs w:val="12"/>
                <w:color w:val="auto"/>
              </w:rPr>
            </w:pPr>
          </w:p>
        </w:tc>
        <w:tc>
          <w:tcPr>
            <w:tcW w:w="2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22</w:t>
            </w:r>
          </w:p>
        </w:tc>
      </w:tr>
      <w:tr>
        <w:trPr>
          <w:trHeight w:val="145"/>
        </w:trPr>
        <w:tc>
          <w:tcPr>
            <w:tcW w:w="8180" w:type="dxa"/>
            <w:vAlign w:val="bottom"/>
            <w:gridSpan w:val="17"/>
          </w:tcPr>
          <w:p>
            <w:pPr>
              <w:spacing w:after="0" w:line="145" w:lineRule="exact"/>
              <w:rPr>
                <w:sz w:val="20"/>
                <w:szCs w:val="20"/>
                <w:color w:val="auto"/>
              </w:rPr>
            </w:pPr>
            <w:r>
              <w:rPr>
                <w:rFonts w:ascii="Times New Roman" w:cs="Times New Roman" w:eastAsia="Times New Roman" w:hAnsi="Times New Roman"/>
                <w:sz w:val="14"/>
                <w:szCs w:val="14"/>
                <w:color w:val="0000EE"/>
              </w:rPr>
              <w:t>Experts</w:t>
            </w:r>
          </w:p>
        </w:tc>
        <w:tc>
          <w:tcPr>
            <w:tcW w:w="2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22</w:t>
            </w:r>
          </w:p>
        </w:tc>
      </w:tr>
      <w:tr>
        <w:trPr>
          <w:trHeight w:val="20"/>
        </w:trPr>
        <w:tc>
          <w:tcPr>
            <w:tcW w:w="4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ectPr>
          <w:pgSz w:w="11900" w:h="16838" w:orient="portrait"/>
          <w:cols w:equalWidth="0" w:num="1">
            <w:col w:w="10159"/>
          </w:cols>
          <w:pgMar w:left="300" w:top="381"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4" w:lineRule="exact"/>
        <w:rPr>
          <w:sz w:val="20"/>
          <w:szCs w:val="20"/>
          <w:color w:val="auto"/>
        </w:rPr>
      </w:pPr>
    </w:p>
    <w:p>
      <w:pPr>
        <w:ind w:left="1420" w:right="299" w:firstLine="337"/>
        <w:spacing w:after="0" w:line="312" w:lineRule="auto"/>
        <w:rPr>
          <w:sz w:val="20"/>
          <w:szCs w:val="20"/>
          <w:color w:val="auto"/>
        </w:rPr>
      </w:pPr>
      <w:r>
        <w:rPr>
          <w:rFonts w:ascii="Times New Roman" w:cs="Times New Roman" w:eastAsia="Times New Roman" w:hAnsi="Times New Roman"/>
          <w:sz w:val="13"/>
          <w:szCs w:val="13"/>
          <w:color w:val="auto"/>
        </w:rPr>
        <w:t>Unless the context otherwise requires, in this prospectus, “we,” “us,” “our” or “ours” refer to Fiserv, Inc. and its consolidated subsidiaries, including Fiserv Funding Unlimited Company, the “Company” refers to Fiserv, Inc., and “Fiserv Funding” refers to Fiserv Funding Unlimited Company.</w:t>
      </w:r>
    </w:p>
    <w:p>
      <w:pPr>
        <w:spacing w:after="0" w:line="108" w:lineRule="exact"/>
        <w:rPr>
          <w:sz w:val="20"/>
          <w:szCs w:val="20"/>
          <w:color w:val="auto"/>
        </w:rPr>
      </w:pPr>
    </w:p>
    <w:p>
      <w:pPr>
        <w:ind w:left="1420" w:right="299" w:firstLine="337"/>
        <w:spacing w:after="0" w:line="250"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Securities and Exchange Commission, or the SEC, utilizing a “shelf” registration process. Under this shelf process, we may, from time to time, sell the securities or combinations of the securities described in this prospectus, and one or more of our shareholders may sell our common stock, in one or more offerings. This prospectus provides you with a general description of those securities. Each time we offer securities, we will provide a prospectus supplement that will contain specific information about the terms of that offering. The prospectus supplement may also add, update or change information contained in this prospectus. If there is any inconsistency between the information in this prospectus and any prospectus supplement, you should rely on the information in the prospectus supplement. You should read both this prospectus and any prospectus supplement together with the additional information described under the heading “Where You Can Find More Information.”</w:t>
      </w:r>
    </w:p>
    <w:p>
      <w:pPr>
        <w:spacing w:after="0" w:line="148" w:lineRule="exact"/>
        <w:rPr>
          <w:sz w:val="20"/>
          <w:szCs w:val="20"/>
          <w:color w:val="auto"/>
        </w:rPr>
      </w:pPr>
    </w:p>
    <w:p>
      <w:pPr>
        <w:ind w:left="1420" w:right="459" w:firstLine="337"/>
        <w:spacing w:after="0" w:line="255" w:lineRule="auto"/>
        <w:rPr>
          <w:sz w:val="20"/>
          <w:szCs w:val="20"/>
          <w:color w:val="auto"/>
        </w:rPr>
      </w:pPr>
      <w:r>
        <w:rPr>
          <w:rFonts w:ascii="Times New Roman" w:cs="Times New Roman" w:eastAsia="Times New Roman" w:hAnsi="Times New Roman"/>
          <w:sz w:val="14"/>
          <w:szCs w:val="14"/>
          <w:color w:val="auto"/>
        </w:rPr>
        <w:t>You should rely only on the information contained or incorporated by reference in this prospectus, in any prospectus supplement and in any free writing prospectus we file with the SEC. “Incorporated by reference” means that we can disclose important information to you by referring you to another document filed separately with the SEC. We have not authorized any other person to provide you with different or additional information. If anyone provides you with different or additional information, you should not rely on it.</w:t>
      </w:r>
    </w:p>
    <w:p>
      <w:pPr>
        <w:spacing w:after="0" w:line="143" w:lineRule="exact"/>
        <w:rPr>
          <w:sz w:val="20"/>
          <w:szCs w:val="20"/>
          <w:color w:val="auto"/>
        </w:rPr>
      </w:pPr>
    </w:p>
    <w:p>
      <w:pPr>
        <w:ind w:left="1420" w:right="579" w:firstLine="337"/>
        <w:spacing w:after="0" w:line="273" w:lineRule="auto"/>
        <w:rPr>
          <w:sz w:val="20"/>
          <w:szCs w:val="20"/>
          <w:color w:val="auto"/>
        </w:rPr>
      </w:pPr>
      <w:r>
        <w:rPr>
          <w:rFonts w:ascii="Times New Roman" w:cs="Times New Roman" w:eastAsia="Times New Roman" w:hAnsi="Times New Roman"/>
          <w:sz w:val="14"/>
          <w:szCs w:val="14"/>
          <w:color w:val="auto"/>
        </w:rPr>
        <w:t>We are not making offers to sell or solicitations to buy the securities in any jurisdiction in which an offer or solicitation is not authorized or in which the person making that offer or solicitation is not qualified to do so or to anyone to whom it is unlawful to make an offer or solicitation.</w:t>
      </w:r>
    </w:p>
    <w:p>
      <w:pPr>
        <w:spacing w:after="0" w:line="130" w:lineRule="exact"/>
        <w:rPr>
          <w:sz w:val="20"/>
          <w:szCs w:val="20"/>
          <w:color w:val="auto"/>
        </w:rPr>
      </w:pPr>
    </w:p>
    <w:p>
      <w:pPr>
        <w:ind w:left="1420" w:right="299" w:firstLine="337"/>
        <w:spacing w:after="0" w:line="259" w:lineRule="auto"/>
        <w:rPr>
          <w:sz w:val="20"/>
          <w:szCs w:val="20"/>
          <w:color w:val="auto"/>
        </w:rPr>
      </w:pPr>
      <w:r>
        <w:rPr>
          <w:rFonts w:ascii="Times New Roman" w:cs="Times New Roman" w:eastAsia="Times New Roman" w:hAnsi="Times New Roman"/>
          <w:sz w:val="14"/>
          <w:szCs w:val="14"/>
          <w:color w:val="auto"/>
        </w:rPr>
        <w:t>You should not assume that the information in this prospectus or any prospectus supplement, or the information we file or previously filed with the SEC that we incorporate by reference in this prospectus and any prospectus supplement, is accurate as of any date other than the respective dates of those documents. Our business, financial condition, liquidity, results of operations and prospects may have changed since those dates.</w:t>
      </w:r>
    </w:p>
    <w:p>
      <w:pPr>
        <w:spacing w:after="0" w:line="141" w:lineRule="exact"/>
        <w:rPr>
          <w:sz w:val="20"/>
          <w:szCs w:val="20"/>
          <w:color w:val="auto"/>
        </w:rPr>
      </w:pPr>
    </w:p>
    <w:p>
      <w:pPr>
        <w:ind w:left="1420" w:right="339" w:firstLine="337"/>
        <w:spacing w:after="0" w:line="273" w:lineRule="auto"/>
        <w:rPr>
          <w:sz w:val="20"/>
          <w:szCs w:val="20"/>
          <w:color w:val="auto"/>
        </w:rPr>
      </w:pPr>
      <w:r>
        <w:rPr>
          <w:rFonts w:ascii="Times New Roman" w:cs="Times New Roman" w:eastAsia="Times New Roman" w:hAnsi="Times New Roman"/>
          <w:sz w:val="14"/>
          <w:szCs w:val="14"/>
          <w:color w:val="auto"/>
        </w:rPr>
        <w:t>The registration statement containing this prospectus, including the exhibits to the registration statement, provides additional information about us and the securities offered under this prospectus.</w:t>
      </w:r>
    </w:p>
    <w:p>
      <w:pPr>
        <w:spacing w:after="0" w:line="130" w:lineRule="exact"/>
        <w:rPr>
          <w:sz w:val="20"/>
          <w:szCs w:val="20"/>
          <w:color w:val="auto"/>
        </w:rPr>
      </w:pPr>
    </w:p>
    <w:p>
      <w:pPr>
        <w:ind w:left="1420" w:right="519" w:firstLine="337"/>
        <w:spacing w:after="0" w:line="255" w:lineRule="auto"/>
        <w:rPr>
          <w:sz w:val="20"/>
          <w:szCs w:val="20"/>
          <w:color w:val="auto"/>
        </w:rPr>
      </w:pPr>
      <w:r>
        <w:rPr>
          <w:rFonts w:ascii="Times New Roman" w:cs="Times New Roman" w:eastAsia="Times New Roman" w:hAnsi="Times New Roman"/>
          <w:sz w:val="14"/>
          <w:szCs w:val="14"/>
          <w:color w:val="auto"/>
        </w:rPr>
        <w:t>The exhibits to the registration statement contain the full text of certain contracts and other important documents we have summarized in this prospectus. You should review the full text of these documents because these summaries may not contain all the information that you may find important in deciding whether to purchase the securities we offer. The registration statement, including the exhibits, can be read at the SEC’s website mentioned under the heading “Where You Can Find More Information.”</w:t>
      </w:r>
    </w:p>
    <w:p>
      <w:pPr>
        <w:spacing w:after="0" w:line="9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1"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74" w:lineRule="exact"/>
        <w:rPr>
          <w:sz w:val="20"/>
          <w:szCs w:val="20"/>
          <w:color w:val="auto"/>
        </w:rPr>
      </w:pPr>
    </w:p>
    <w:p>
      <w:pPr>
        <w:ind w:left="1420" w:right="319" w:firstLine="337"/>
        <w:spacing w:after="0" w:line="247" w:lineRule="auto"/>
        <w:rPr>
          <w:sz w:val="20"/>
          <w:szCs w:val="20"/>
          <w:color w:val="auto"/>
        </w:rPr>
      </w:pPr>
      <w:r>
        <w:rPr>
          <w:rFonts w:ascii="Times New Roman" w:cs="Times New Roman" w:eastAsia="Times New Roman" w:hAnsi="Times New Roman"/>
          <w:sz w:val="14"/>
          <w:szCs w:val="14"/>
          <w:color w:val="auto"/>
        </w:rPr>
        <w:t>This prospectus and any prospectus supplement, and the information incorporated by reference in this prospectus or any prospectus supplement, contains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outlook or similar expression, and can generally be identified as forward-looking because they include words such as “believes,” “anticipates,” “expects,” “could,” “should,” “confident,” “likely,” “plan” or words of similar meaning. Statements that describe our future plans, objectives or goals are also forward-looking statements. The forward-looking statements included or incorporated by reference into this prospectus or any supplement to this prospectus involve significant risks and uncertainties, and a number of factors, both foreseen and unforeseen, could cause actual results to differ materially from our current expectations. The factors that may affect our results include, among others, the following: our ability to compete effectively against new and existing competitors and to continue to introduce competitive new products and services on a timely, cost-effective basis; changes in customer demand for our products and services; the ability of our technology to keep pace with a rapidly evolving marketplace; the success of our merchant alliances, some of which we do not control; the impact of a security breach or operational failure on our business, including disruptions caused by other participants in the global financial system; losses due to chargebacks, refunds or returns as a result of fraud or the failure of our vendors and merchants to satisfy their obligations; changes in local, regional, national and international economic or political conditions, including those resulting from heightened inflation, rising interest rates, taxes, trade policies and tariffs, a recession, bank failures, or intensified international hostilities, and the impact they may have on us and our employees, clients, vendors, supply chain, operations and sales; the effect of proposed and enacted legislative and regulatory actions affecting us or the financial services industry as a whole; our ability to comply with government regulations and applicable card association and network rules; the protection and validity of intellectual property rights; the outcome of pending and future litigation and governmental proceedings; our ability to successfully identify, complete and integrate acquisitions, and to realize the anticipated benefits associated with the same; the impact of our growth strategies; our ability to attract and retain key personnel; adverse impacts from currency exchange rates or currency controls; changes in corporate tax and interest rates; and other factors included in “Risk Factors” in our most recent Annual Report on Form 10-K and Quarterly Reports on Form 10-Q and in other documents that we file with the SEC, which are available at http://www.sec.gov. You should consider these factors carefully in evaluating forward-looking statements and are cautioned not to place undue reliance on such statements, which speak only as of the date of this prospectus or the date of the incorporated document. We undertake no obligation to update forward-looking statements to reflect events or circumstances occurring after the date of this prospectus.</w:t>
      </w:r>
    </w:p>
    <w:p>
      <w:pPr>
        <w:spacing w:after="0" w:line="10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1"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4" w:lineRule="exact"/>
        <w:rPr>
          <w:sz w:val="20"/>
          <w:szCs w:val="20"/>
          <w:color w:val="auto"/>
        </w:rPr>
      </w:pPr>
    </w:p>
    <w:p>
      <w:pPr>
        <w:ind w:left="1420" w:right="379" w:firstLine="337"/>
        <w:spacing w:after="0" w:line="250" w:lineRule="auto"/>
        <w:rPr>
          <w:sz w:val="20"/>
          <w:szCs w:val="20"/>
          <w:color w:val="auto"/>
        </w:rPr>
      </w:pPr>
      <w:r>
        <w:rPr>
          <w:rFonts w:ascii="Times New Roman" w:cs="Times New Roman" w:eastAsia="Times New Roman" w:hAnsi="Times New Roman"/>
          <w:sz w:val="14"/>
          <w:szCs w:val="14"/>
          <w:color w:val="auto"/>
        </w:rPr>
        <w:t>Investing in our securities involves risk. You should carefully consider and evaluate all of the information contained in this prospectus, any accompanying prospectus supplement, and in the documents we incorporate by reference into this prospectus or any prospectus supplement before you decide to purchase our securities. In particular, you should carefully consider and evaluate the risks and uncertainties described in “Part I — Item 1A. Risk Factors” of our most recent Form 10-K and “Part II — Item 1A. Risk Factors” of any subsequently filed Quarterly Report on Form 10-Q, each as updated by the additional risks and uncertainties set forth in other filings we make with the SEC. A prospectus supplement applicable to each type or series of securities we offer will also contain a discussion of any material risks applicable to the particular type of securities we are offering under that prospectus supplement. Any of the risks and uncertainties set forth therein could materially and adversely affect our business, results of operations and financial condition, which in turn could materially and adversely affect the trading price or value of our securities. As a result, you could lose all or part of your investment.</w:t>
      </w:r>
    </w:p>
    <w:p>
      <w:pPr>
        <w:spacing w:after="0" w:line="3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FISERV, INC.</w:t>
      </w:r>
    </w:p>
    <w:p>
      <w:pPr>
        <w:spacing w:after="0" w:line="174" w:lineRule="exact"/>
        <w:rPr>
          <w:sz w:val="20"/>
          <w:szCs w:val="20"/>
          <w:color w:val="auto"/>
        </w:rPr>
      </w:pPr>
    </w:p>
    <w:p>
      <w:pPr>
        <w:jc w:val="both"/>
        <w:ind w:left="1420" w:right="299" w:firstLine="337"/>
        <w:spacing w:after="0" w:line="236" w:lineRule="auto"/>
        <w:rPr>
          <w:sz w:val="20"/>
          <w:szCs w:val="20"/>
          <w:color w:val="auto"/>
        </w:rPr>
      </w:pPr>
      <w:r>
        <w:rPr>
          <w:rFonts w:ascii="Times New Roman" w:cs="Times New Roman" w:eastAsia="Times New Roman" w:hAnsi="Times New Roman"/>
          <w:sz w:val="14"/>
          <w:szCs w:val="14"/>
          <w:color w:val="auto"/>
        </w:rPr>
        <w:t>We are a leading global provider of payments and financial services technology solutions. The Company is publicly traded on the New York Stock Exchange and part of the S&amp;P</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500 Index. We serve clients around the globe, including merchants, banks, credit unions, other financial institutions and corporate and public sector clients. We provide account processing and digital banking solutions; card issuer processing and network services; payments; e-commerce; merchant acquiring and processing; and the Clover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cloud-based point-of-sale and business management platform.</w:t>
      </w:r>
    </w:p>
    <w:p>
      <w:pPr>
        <w:spacing w:after="0" w:line="58" w:lineRule="exact"/>
        <w:rPr>
          <w:sz w:val="20"/>
          <w:szCs w:val="20"/>
          <w:color w:val="auto"/>
        </w:rPr>
      </w:pPr>
    </w:p>
    <w:p>
      <w:pPr>
        <w:ind w:left="1420" w:right="359" w:firstLine="337"/>
        <w:spacing w:after="0" w:line="273" w:lineRule="auto"/>
        <w:rPr>
          <w:sz w:val="20"/>
          <w:szCs w:val="20"/>
          <w:color w:val="auto"/>
        </w:rPr>
      </w:pPr>
      <w:r>
        <w:rPr>
          <w:rFonts w:ascii="Times New Roman" w:cs="Times New Roman" w:eastAsia="Times New Roman" w:hAnsi="Times New Roman"/>
          <w:sz w:val="14"/>
          <w:szCs w:val="14"/>
          <w:color w:val="auto"/>
        </w:rPr>
        <w:t>The Company is a Wisconsin corporation. Its principal executive offices are located at 600 N. Vel R. Phillips Avenue, Milwaukee, WI 53203, and its telephone number is (262) 879-5000.</w:t>
      </w:r>
    </w:p>
    <w:p>
      <w:pPr>
        <w:spacing w:after="0" w:line="29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FISERV FUNDING UNLIMITED COMPANY</w:t>
      </w:r>
    </w:p>
    <w:p>
      <w:pPr>
        <w:spacing w:after="0" w:line="174" w:lineRule="exact"/>
        <w:rPr>
          <w:sz w:val="20"/>
          <w:szCs w:val="20"/>
          <w:color w:val="auto"/>
        </w:rPr>
      </w:pPr>
    </w:p>
    <w:p>
      <w:pPr>
        <w:ind w:left="1420" w:right="339" w:firstLine="337"/>
        <w:spacing w:after="0" w:line="250" w:lineRule="auto"/>
        <w:rPr>
          <w:sz w:val="20"/>
          <w:szCs w:val="20"/>
          <w:color w:val="auto"/>
        </w:rPr>
      </w:pPr>
      <w:r>
        <w:rPr>
          <w:rFonts w:ascii="Times New Roman" w:cs="Times New Roman" w:eastAsia="Times New Roman" w:hAnsi="Times New Roman"/>
          <w:sz w:val="14"/>
          <w:szCs w:val="14"/>
          <w:color w:val="auto"/>
        </w:rPr>
        <w:t>Fiserv Funding Unlimited Company (“Fiserv Funding”) is an indirect wholly owned, holding company subsidiary of Fiserv, Inc. that was incorporated under the laws of the Republic of Ireland as a private unlimited company with share capital on April, 14, 2025 and whose primary purpose is to serve as a holding company and finance the business and operations of Fiserv, Inc. and its affiliates. With an unlimited company, such as Fiserv Funding, there is no limit on the liability of the shareholders, and recourse may be had by creditors to the shareholders of Fiserv Funding in respect of liabilities that may be owed by Fiserv Funding that Fiserv Funding failed to discharge. First Data Global Services Limited, a limited liability company incorporated in the Republic of Ireland, is the sole shareholder of Fiserv Funding. Fiserv Funding is registered with the Irish Companies Registration Office under number 786181. Fiserv Funding’s principal executive offices are located at 10 Hanover Quay, Dublin D02 K510, and its telephone number is (262) 879-5000.</w:t>
      </w:r>
    </w:p>
    <w:p>
      <w:pPr>
        <w:spacing w:after="0" w:line="30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We will describe the use of the net proceeds from the sales of the securities in the applicable prospectus supplement.</w:t>
      </w:r>
    </w:p>
    <w:p>
      <w:pPr>
        <w:spacing w:after="0" w:line="11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1"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4"/>
          <w:szCs w:val="14"/>
          <w:b w:val="1"/>
          <w:bCs w:val="1"/>
          <w:color w:val="auto"/>
        </w:rPr>
        <w:t>DESCRIPTION OF DEBT SECURITIES AND GUARANTEES OF DEBT SECURITIES</w:t>
      </w:r>
    </w:p>
    <w:p>
      <w:pPr>
        <w:spacing w:after="0" w:line="174" w:lineRule="exact"/>
        <w:rPr>
          <w:sz w:val="20"/>
          <w:szCs w:val="20"/>
          <w:color w:val="auto"/>
        </w:rPr>
      </w:pPr>
    </w:p>
    <w:p>
      <w:pPr>
        <w:ind w:left="1420" w:right="299" w:firstLine="337"/>
        <w:spacing w:after="0" w:line="273" w:lineRule="auto"/>
        <w:rPr>
          <w:sz w:val="20"/>
          <w:szCs w:val="20"/>
          <w:color w:val="auto"/>
        </w:rPr>
      </w:pPr>
      <w:r>
        <w:rPr>
          <w:rFonts w:ascii="Times New Roman" w:cs="Times New Roman" w:eastAsia="Times New Roman" w:hAnsi="Times New Roman"/>
          <w:sz w:val="14"/>
          <w:szCs w:val="14"/>
          <w:color w:val="auto"/>
        </w:rPr>
        <w:t>Each of Fiserv, Inc. (the “Company”) and Fiserv Funding Unlimited Company (“Fiserv Funding”) may offer debt securities from time to time, and the Company may offer guarantees of the debt securities of Fiserv Funding from time to time.</w:t>
      </w:r>
    </w:p>
    <w:p>
      <w:pPr>
        <w:spacing w:after="0" w:line="130" w:lineRule="exact"/>
        <w:rPr>
          <w:sz w:val="20"/>
          <w:szCs w:val="20"/>
          <w:color w:val="auto"/>
        </w:rPr>
      </w:pPr>
    </w:p>
    <w:p>
      <w:pPr>
        <w:ind w:left="1420" w:right="299" w:firstLine="337"/>
        <w:spacing w:after="0" w:line="253" w:lineRule="auto"/>
        <w:rPr>
          <w:sz w:val="20"/>
          <w:szCs w:val="20"/>
          <w:color w:val="auto"/>
        </w:rPr>
      </w:pPr>
      <w:r>
        <w:rPr>
          <w:rFonts w:ascii="Times New Roman" w:cs="Times New Roman" w:eastAsia="Times New Roman" w:hAnsi="Times New Roman"/>
          <w:sz w:val="14"/>
          <w:szCs w:val="14"/>
          <w:color w:val="auto"/>
        </w:rPr>
        <w:t>This section describes the general terms and provisions of the debt securities and guarantees of debt securities that the Company or Fiserv Funding may issue in the form of one or more series from time to time, separately, upon exercise of a debt warrant, in connection with a purchase contract or as part of a unit. The applicable prospectus supplement will describe the specific terms of the debt securities and any guarantees of debt securities for the benefit of the series of debt securities to which it relates offered through that prospectus supplement as well as any general terms described in this section that will not apply to those debt securities or guarantees, as applicable.</w:t>
      </w:r>
    </w:p>
    <w:p>
      <w:pPr>
        <w:spacing w:after="0" w:line="144" w:lineRule="exact"/>
        <w:rPr>
          <w:sz w:val="20"/>
          <w:szCs w:val="20"/>
          <w:color w:val="auto"/>
        </w:rPr>
      </w:pPr>
    </w:p>
    <w:p>
      <w:pPr>
        <w:ind w:left="1420" w:right="439" w:firstLine="337"/>
        <w:spacing w:after="0" w:line="253" w:lineRule="auto"/>
        <w:rPr>
          <w:sz w:val="20"/>
          <w:szCs w:val="20"/>
          <w:color w:val="auto"/>
        </w:rPr>
      </w:pPr>
      <w:r>
        <w:rPr>
          <w:rFonts w:ascii="Times New Roman" w:cs="Times New Roman" w:eastAsia="Times New Roman" w:hAnsi="Times New Roman"/>
          <w:sz w:val="14"/>
          <w:szCs w:val="14"/>
          <w:color w:val="auto"/>
        </w:rPr>
        <w:t>The debt securities of the Company will be issued under an indenture among the Company and U.S. Bank Trust Company, National Association (as successor in interest to U.S. Bank National Association), as trustee. The debt securities of Fiserv Funding will be issued under an indenture among Fiserv Funding, the Company, as guarantor, and U.S. Bank Trust Company, National Association, as trustee. Debt securities issued by Fiserv Funding will be fully and unconditionally guaranteed by the Company under Fiserv Funding’s indenture. This prospectus refers to each of these indentures individually as an “indenture” and collectively as the “indentures.”</w:t>
      </w:r>
    </w:p>
    <w:p>
      <w:pPr>
        <w:spacing w:after="0" w:line="144" w:lineRule="exact"/>
        <w:rPr>
          <w:sz w:val="20"/>
          <w:szCs w:val="20"/>
          <w:color w:val="auto"/>
        </w:rPr>
      </w:pPr>
    </w:p>
    <w:p>
      <w:pPr>
        <w:ind w:left="1420" w:right="319" w:firstLine="337"/>
        <w:spacing w:after="0" w:line="253" w:lineRule="auto"/>
        <w:rPr>
          <w:sz w:val="20"/>
          <w:szCs w:val="20"/>
          <w:color w:val="auto"/>
        </w:rPr>
      </w:pPr>
      <w:r>
        <w:rPr>
          <w:rFonts w:ascii="Times New Roman" w:cs="Times New Roman" w:eastAsia="Times New Roman" w:hAnsi="Times New Roman"/>
          <w:sz w:val="14"/>
          <w:szCs w:val="14"/>
          <w:color w:val="auto"/>
        </w:rPr>
        <w:t>We have summarized selected provisions of the indentures below. The summary is not complete. The indentures have been filed with the Securities and Exchange Commission as exhibits to the registration statement of which this prospectus is a part, and you should read the indentures for provisions that may be important to you Whenever we refer in this prospectus or in the prospectus supplement to particular defined terms of an indenture, those defined terms are incorporated by reference herein or therein. Capitalized terms used in the summary have the meanings specified in the applicable indenture.</w:t>
      </w:r>
    </w:p>
    <w:p>
      <w:pPr>
        <w:spacing w:after="0" w:line="22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1" w:lineRule="exact"/>
        <w:rPr>
          <w:sz w:val="20"/>
          <w:szCs w:val="20"/>
          <w:color w:val="auto"/>
        </w:rPr>
      </w:pPr>
    </w:p>
    <w:p>
      <w:pPr>
        <w:ind w:left="1420" w:right="459" w:firstLine="337"/>
        <w:spacing w:after="0" w:line="289" w:lineRule="auto"/>
        <w:rPr>
          <w:sz w:val="20"/>
          <w:szCs w:val="20"/>
          <w:color w:val="auto"/>
        </w:rPr>
      </w:pPr>
      <w:r>
        <w:rPr>
          <w:rFonts w:ascii="Times New Roman" w:cs="Times New Roman" w:eastAsia="Times New Roman" w:hAnsi="Times New Roman"/>
          <w:sz w:val="13"/>
          <w:szCs w:val="13"/>
          <w:color w:val="auto"/>
        </w:rPr>
        <w:t>Each indenture provides that debt securities in separate series may be issued under such indenture from time to time without limitation as to aggregate principal amount. We may specify a maximum aggregate principal amount for the debt securities of any series. We will determine the terms and conditions of the debt securities, including the maturity, principal and interest, but those terms must be consistent with the applicable indenture.</w:t>
      </w:r>
    </w:p>
    <w:p>
      <w:pPr>
        <w:spacing w:after="0" w:line="12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The applicable prospectus supplement will set forth or describe the following terms of each series of such debt securities:</w:t>
      </w:r>
    </w:p>
    <w:p>
      <w:pPr>
        <w:spacing w:after="0" w:line="98" w:lineRule="exact"/>
        <w:rPr>
          <w:sz w:val="20"/>
          <w:szCs w:val="20"/>
          <w:color w:val="auto"/>
        </w:rPr>
      </w:pPr>
    </w:p>
    <w:p>
      <w:pPr>
        <w:ind w:left="2160" w:hanging="322"/>
        <w:spacing w:after="0"/>
        <w:tabs>
          <w:tab w:leader="none" w:pos="21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securities;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on the aggregate principal amount of the debt securities;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the debt securities will be offered;</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person to whom any interest on the debt securities will be payable;</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the principal of the debt securities will be payable;</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or rates that the debt securities will bear and the interest payment dates for the debt securities;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places where payments on the debt securities will be payable;</w:t>
      </w:r>
    </w:p>
    <w:p>
      <w:pPr>
        <w:spacing w:after="0" w:line="97" w:lineRule="exact"/>
        <w:rPr>
          <w:rFonts w:ascii="Times New Roman" w:cs="Times New Roman" w:eastAsia="Times New Roman" w:hAnsi="Times New Roman"/>
          <w:sz w:val="14"/>
          <w:szCs w:val="14"/>
          <w:color w:val="auto"/>
        </w:rPr>
      </w:pPr>
    </w:p>
    <w:p>
      <w:pPr>
        <w:jc w:val="center"/>
        <w:ind w:left="5600" w:right="1339" w:hanging="3762"/>
        <w:spacing w:after="0" w:line="442" w:lineRule="auto"/>
        <w:tabs>
          <w:tab w:leader="none" w:pos="21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periods within which, and terms upon which, the debt securities may be redeemed, in whole or in part, at our option; 4</w:t>
      </w:r>
    </w:p>
    <w:p>
      <w:pPr>
        <w:sectPr>
          <w:pgSz w:w="11900" w:h="16838" w:orient="portrait"/>
          <w:cols w:equalWidth="0" w:num="1">
            <w:col w:w="10159"/>
          </w:cols>
          <w:pgMar w:left="300" w:top="381"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right="739" w:hanging="322"/>
        <w:spacing w:after="0" w:line="273" w:lineRule="auto"/>
        <w:tabs>
          <w:tab w:leader="none" w:pos="21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sinking fund or other provisions that would obligate the issuer of the debt securities to repurchase or otherwise redeem the debt securities;</w:t>
      </w:r>
    </w:p>
    <w:p>
      <w:pPr>
        <w:spacing w:after="0" w:line="57" w:lineRule="exact"/>
        <w:rPr>
          <w:rFonts w:ascii="Times New Roman" w:cs="Times New Roman" w:eastAsia="Times New Roman" w:hAnsi="Times New Roman"/>
          <w:sz w:val="14"/>
          <w:szCs w:val="14"/>
          <w:color w:val="auto"/>
        </w:rPr>
      </w:pPr>
    </w:p>
    <w:p>
      <w:pPr>
        <w:ind w:left="2160" w:right="739" w:hanging="322"/>
        <w:spacing w:after="0" w:line="273" w:lineRule="auto"/>
        <w:tabs>
          <w:tab w:leader="none" w:pos="21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the principal amount, if less than all, of the debt securities that will be payable upon declaration of acceleration of the maturity of the debt securities;</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defeasible and any changes or additions to the indenture’s defeasance provisions;</w:t>
      </w:r>
    </w:p>
    <w:p>
      <w:pPr>
        <w:spacing w:after="0" w:line="97" w:lineRule="exact"/>
        <w:rPr>
          <w:rFonts w:ascii="Times New Roman" w:cs="Times New Roman" w:eastAsia="Times New Roman" w:hAnsi="Times New Roman"/>
          <w:sz w:val="14"/>
          <w:szCs w:val="14"/>
          <w:color w:val="auto"/>
        </w:rPr>
      </w:pPr>
    </w:p>
    <w:p>
      <w:pPr>
        <w:ind w:left="2160" w:right="679" w:hanging="322"/>
        <w:spacing w:after="0" w:line="273" w:lineRule="auto"/>
        <w:tabs>
          <w:tab w:leader="none" w:pos="21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convertible into the Company’s common stock or other securities or property and, if so, the terms and conditions upon which conversion will be effected;</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or change in the events of default with respect to the debt securities;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or change in the covenants in the indenture;</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guarantees of the debt securities; and</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not inconsistent with the provisions of the indenture.</w:t>
      </w:r>
    </w:p>
    <w:p>
      <w:pPr>
        <w:spacing w:after="0" w:line="170" w:lineRule="exact"/>
        <w:rPr>
          <w:sz w:val="20"/>
          <w:szCs w:val="20"/>
          <w:color w:val="auto"/>
        </w:rPr>
      </w:pPr>
    </w:p>
    <w:p>
      <w:pPr>
        <w:ind w:left="1420" w:right="419" w:firstLine="337"/>
        <w:spacing w:after="0" w:line="273" w:lineRule="auto"/>
        <w:rPr>
          <w:sz w:val="20"/>
          <w:szCs w:val="20"/>
          <w:color w:val="auto"/>
        </w:rPr>
      </w:pPr>
      <w:r>
        <w:rPr>
          <w:rFonts w:ascii="Times New Roman" w:cs="Times New Roman" w:eastAsia="Times New Roman" w:hAnsi="Times New Roman"/>
          <w:sz w:val="14"/>
          <w:szCs w:val="14"/>
          <w:color w:val="auto"/>
        </w:rPr>
        <w:t>The indentures do not limit the amount of debt securities that may be issued. The indentures allow debt securities to be issued up to the principal amount that we may authorize and may be in any currency or currency unit we designate.</w:t>
      </w:r>
    </w:p>
    <w:p>
      <w:pPr>
        <w:spacing w:after="0" w:line="130" w:lineRule="exact"/>
        <w:rPr>
          <w:sz w:val="20"/>
          <w:szCs w:val="20"/>
          <w:color w:val="auto"/>
        </w:rPr>
      </w:pPr>
    </w:p>
    <w:p>
      <w:pPr>
        <w:ind w:left="1420" w:right="319" w:firstLine="337"/>
        <w:spacing w:after="0" w:line="255" w:lineRule="auto"/>
        <w:rPr>
          <w:sz w:val="20"/>
          <w:szCs w:val="20"/>
          <w:color w:val="auto"/>
        </w:rPr>
      </w:pPr>
      <w:r>
        <w:rPr>
          <w:rFonts w:ascii="Times New Roman" w:cs="Times New Roman" w:eastAsia="Times New Roman" w:hAnsi="Times New Roman"/>
          <w:sz w:val="14"/>
          <w:szCs w:val="14"/>
          <w:color w:val="auto"/>
        </w:rPr>
        <w:t>Debt securities, including Original Issue Discount Securities (as defined in the applicable indenture), may be sold at a substantial discount below their principal amount. Special U.S. federal income tax considerations applicable to debt securities sold at an original issue discount may be described in the applicable prospectus supplement. In addition, special U.S. federal income tax or other considerations applicable to any debt securities that are denominated in a currency or currency unit other than U.S. dollars may be described in the applicable prospectus supplement.</w:t>
      </w:r>
    </w:p>
    <w:p>
      <w:pPr>
        <w:spacing w:after="0" w:line="22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Guarantees</w:t>
      </w:r>
    </w:p>
    <w:p>
      <w:pPr>
        <w:spacing w:after="0" w:line="91" w:lineRule="exact"/>
        <w:rPr>
          <w:sz w:val="20"/>
          <w:szCs w:val="20"/>
          <w:color w:val="auto"/>
        </w:rPr>
      </w:pPr>
    </w:p>
    <w:p>
      <w:pPr>
        <w:ind w:left="1420" w:right="399" w:firstLine="337"/>
        <w:spacing w:after="0" w:line="273" w:lineRule="auto"/>
        <w:rPr>
          <w:sz w:val="20"/>
          <w:szCs w:val="20"/>
          <w:color w:val="auto"/>
        </w:rPr>
      </w:pPr>
      <w:r>
        <w:rPr>
          <w:rFonts w:ascii="Times New Roman" w:cs="Times New Roman" w:eastAsia="Times New Roman" w:hAnsi="Times New Roman"/>
          <w:sz w:val="14"/>
          <w:szCs w:val="14"/>
          <w:color w:val="auto"/>
        </w:rPr>
        <w:t>Each prospectus supplement will describe any guarantees of debt securities for the benefit of the series of debt securities to which it relates. Debt securities issued by Fiserv Funding will be guaranteed by the Company. Any such guarantees will be on a full and unconditional basis.</w:t>
      </w:r>
    </w:p>
    <w:p>
      <w:pPr>
        <w:spacing w:after="0" w:line="20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Conversion Rights</w:t>
      </w:r>
    </w:p>
    <w:p>
      <w:pPr>
        <w:spacing w:after="0" w:line="91" w:lineRule="exact"/>
        <w:rPr>
          <w:sz w:val="20"/>
          <w:szCs w:val="20"/>
          <w:color w:val="auto"/>
        </w:rPr>
      </w:pPr>
    </w:p>
    <w:p>
      <w:pPr>
        <w:ind w:left="1420" w:right="299" w:firstLine="337"/>
        <w:spacing w:after="0" w:line="255" w:lineRule="auto"/>
        <w:rPr>
          <w:sz w:val="20"/>
          <w:szCs w:val="20"/>
          <w:color w:val="auto"/>
        </w:rPr>
      </w:pPr>
      <w:r>
        <w:rPr>
          <w:rFonts w:ascii="Times New Roman" w:cs="Times New Roman" w:eastAsia="Times New Roman" w:hAnsi="Times New Roman"/>
          <w:sz w:val="14"/>
          <w:szCs w:val="14"/>
          <w:color w:val="auto"/>
        </w:rPr>
        <w:t>The Company’s debt securities may be converted into the Company’s common stock or other securities or property, if at all, according to the terms and conditions of an applicable prospectus supplement. Such terms will include the conversion price, the conversion period, provisions as to whether conversion will be at our option or the option of the holders of such series of debt securities, the events requiring an adjustment of the conversion price, and provisions affecting conversion in the event of the redemption of such series of debt securities.</w:t>
      </w:r>
    </w:p>
    <w:p>
      <w:pPr>
        <w:spacing w:after="0" w:line="22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Consolidation, Merger and Sale of Assets</w:t>
      </w:r>
    </w:p>
    <w:p>
      <w:pPr>
        <w:spacing w:after="0" w:line="91" w:lineRule="exact"/>
        <w:rPr>
          <w:sz w:val="20"/>
          <w:szCs w:val="20"/>
          <w:color w:val="auto"/>
        </w:rPr>
      </w:pPr>
    </w:p>
    <w:p>
      <w:pPr>
        <w:ind w:left="1420" w:right="399" w:firstLine="337"/>
        <w:spacing w:after="0" w:line="259" w:lineRule="auto"/>
        <w:rPr>
          <w:sz w:val="20"/>
          <w:szCs w:val="20"/>
          <w:color w:val="auto"/>
        </w:rPr>
      </w:pPr>
      <w:r>
        <w:rPr>
          <w:rFonts w:ascii="Times New Roman" w:cs="Times New Roman" w:eastAsia="Times New Roman" w:hAnsi="Times New Roman"/>
          <w:sz w:val="14"/>
          <w:szCs w:val="14"/>
          <w:color w:val="auto"/>
        </w:rPr>
        <w:t>Unless otherwise specified in the prospectus supplement, the issuer and the guarantor (if any) of any series of debt securities may not consolidate with or merge into any person, and may not permit any person to consolidate or merge with it, and the Company may not transfer, lease or otherwise dispose all or substantially all of its assets to any person, unless:</w:t>
      </w:r>
    </w:p>
    <w:p>
      <w:pPr>
        <w:spacing w:after="0" w:line="68" w:lineRule="exact"/>
        <w:rPr>
          <w:sz w:val="20"/>
          <w:szCs w:val="20"/>
          <w:color w:val="auto"/>
        </w:rPr>
      </w:pPr>
    </w:p>
    <w:p>
      <w:pPr>
        <w:ind w:left="2160" w:right="439" w:hanging="322"/>
        <w:spacing w:after="0" w:line="289" w:lineRule="auto"/>
        <w:tabs>
          <w:tab w:leader="none" w:pos="216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successor person (if any) is a corporation, limited liability company, partnership, trust or other entity organized and validly existing under the laws of any domestic jurisdiction or specified foreign jurisdictions and assumes the obligations of the issuer or the guarantor of the debt securities, as the case may be, with respect to the debt securities or guarantees, as applicable, under the indenture;</w:t>
      </w:r>
    </w:p>
    <w:p>
      <w:pPr>
        <w:spacing w:after="0" w:line="7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1"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right="419" w:hanging="322"/>
        <w:spacing w:after="0" w:line="273" w:lineRule="auto"/>
        <w:tabs>
          <w:tab w:leader="none" w:pos="21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pro forma effect to the transaction, no event of default, and no event which, after notice or lapse of time or both, would become an event of default, exists; and</w:t>
      </w:r>
    </w:p>
    <w:p>
      <w:pPr>
        <w:spacing w:after="0" w:line="57" w:lineRule="exact"/>
        <w:rPr>
          <w:rFonts w:ascii="Times New Roman" w:cs="Times New Roman" w:eastAsia="Times New Roman" w:hAnsi="Times New Roman"/>
          <w:sz w:val="14"/>
          <w:szCs w:val="14"/>
          <w:color w:val="auto"/>
        </w:rPr>
      </w:pPr>
    </w:p>
    <w:p>
      <w:pPr>
        <w:ind w:left="2160" w:right="459" w:hanging="322"/>
        <w:spacing w:after="0" w:line="259" w:lineRule="auto"/>
        <w:tabs>
          <w:tab w:leader="none" w:pos="21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 of the debt securities delivers to the trustee an officers’ certificate and opinion of counsel stating that the transaction and the related supplemental indenture comply with the applicable provisions of the indenture and all applicable conditions precedent have been satisfied.</w:t>
      </w:r>
    </w:p>
    <w:p>
      <w:pPr>
        <w:spacing w:after="0" w:line="2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91" w:lineRule="exact"/>
        <w:rPr>
          <w:sz w:val="20"/>
          <w:szCs w:val="20"/>
          <w:color w:val="auto"/>
        </w:rPr>
      </w:pPr>
    </w:p>
    <w:p>
      <w:pPr>
        <w:ind w:left="1420" w:right="439" w:firstLine="337"/>
        <w:spacing w:after="0" w:line="273" w:lineRule="auto"/>
        <w:rPr>
          <w:sz w:val="20"/>
          <w:szCs w:val="20"/>
          <w:color w:val="auto"/>
        </w:rPr>
      </w:pPr>
      <w:r>
        <w:rPr>
          <w:rFonts w:ascii="Times New Roman" w:cs="Times New Roman" w:eastAsia="Times New Roman" w:hAnsi="Times New Roman"/>
          <w:sz w:val="14"/>
          <w:szCs w:val="14"/>
          <w:color w:val="auto"/>
        </w:rPr>
        <w:t>Unless otherwise specified in the prospectus supplement, each of the following will constitute an event of default under the applicable indenture with respect to debt securities of any series:</w:t>
      </w:r>
    </w:p>
    <w:p>
      <w:pPr>
        <w:spacing w:after="0" w:line="58" w:lineRule="exact"/>
        <w:rPr>
          <w:sz w:val="20"/>
          <w:szCs w:val="20"/>
          <w:color w:val="auto"/>
        </w:rPr>
      </w:pPr>
    </w:p>
    <w:p>
      <w:pPr>
        <w:ind w:left="2160" w:hanging="404"/>
        <w:spacing w:after="0"/>
        <w:tabs>
          <w:tab w:leader="none" w:pos="2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principal of or any premium on any debt security of that series when due;</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any interest on any debt securities of that series when due, that is not cured within 30 days;</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deposit any sinking fund payment, when due, in respect of any debt security of that series, that is not cured within 30 days;</w:t>
      </w:r>
    </w:p>
    <w:p>
      <w:pPr>
        <w:spacing w:after="0" w:line="97" w:lineRule="exact"/>
        <w:rPr>
          <w:rFonts w:ascii="Times New Roman" w:cs="Times New Roman" w:eastAsia="Times New Roman" w:hAnsi="Times New Roman"/>
          <w:sz w:val="14"/>
          <w:szCs w:val="14"/>
          <w:color w:val="auto"/>
        </w:rPr>
      </w:pPr>
    </w:p>
    <w:p>
      <w:pPr>
        <w:ind w:left="2160" w:right="319" w:hanging="404"/>
        <w:spacing w:after="0" w:line="255" w:lineRule="auto"/>
        <w:tabs>
          <w:tab w:leader="none" w:pos="2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perform any of the other covenants in such indenture (other than a covenant included in such indenture solely for the benefit of a series other than that series or that is not made applicable to that series), that is not cured within 90 days after written notice has been given by the trustee, or the holders of at least 25% in principal amount of the outstanding debt securities of that series, as provided in such indenture; or</w:t>
      </w:r>
    </w:p>
    <w:p>
      <w:pPr>
        <w:spacing w:after="0" w:line="70" w:lineRule="exact"/>
        <w:rPr>
          <w:rFonts w:ascii="Times New Roman" w:cs="Times New Roman" w:eastAsia="Times New Roman" w:hAnsi="Times New Roman"/>
          <w:sz w:val="14"/>
          <w:szCs w:val="14"/>
          <w:color w:val="auto"/>
        </w:rPr>
      </w:pPr>
    </w:p>
    <w:p>
      <w:pPr>
        <w:ind w:left="2160" w:right="379" w:hanging="404"/>
        <w:spacing w:after="0" w:line="273" w:lineRule="auto"/>
        <w:tabs>
          <w:tab w:leader="none" w:pos="2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insolvency or reorganization affecting the Company, the issuer of the debt securities (if not the Company) or any of the Company’s significant subsidiaries.</w:t>
      </w:r>
    </w:p>
    <w:p>
      <w:pPr>
        <w:spacing w:after="0" w:line="130" w:lineRule="exact"/>
        <w:rPr>
          <w:sz w:val="20"/>
          <w:szCs w:val="20"/>
          <w:color w:val="auto"/>
        </w:rPr>
      </w:pPr>
    </w:p>
    <w:p>
      <w:pPr>
        <w:ind w:left="1420" w:right="299" w:firstLine="337"/>
        <w:spacing w:after="0" w:line="249" w:lineRule="auto"/>
        <w:rPr>
          <w:sz w:val="20"/>
          <w:szCs w:val="20"/>
          <w:color w:val="auto"/>
        </w:rPr>
      </w:pPr>
      <w:r>
        <w:rPr>
          <w:rFonts w:ascii="Times New Roman" w:cs="Times New Roman" w:eastAsia="Times New Roman" w:hAnsi="Times New Roman"/>
          <w:sz w:val="14"/>
          <w:szCs w:val="14"/>
          <w:color w:val="auto"/>
        </w:rPr>
        <w:t>If an event of default (other than an event of default described in clause (5) above) with respect to the debt securities of any series at the time outstanding occurs and is continuing, either the trustee by notice to the issuer of such debt securities or the holders of at least 25% in principal amount of the outstanding debt securities of that series by notice to the issuer of such debt securities and the trustee may declare the principal amount of the debt securities of that series (or, in the case of any Original Issue Discount Security, such portion of the principal amount of such security as may be specified in the terms of such security) to be due and payable immediately. If an event of default described in clause (5) above with respect to the debt securities of any series at the time outstanding occurs, the principal amount of all the debt securities of that series (or, in the case of any such Original Issue Discount Security, such specified amount) will automatically, and without any action by the trustee or any holder, become immediately due and payable. After any such acceleration, but before a judgment or decree based on acceleration, the holders of a majority in principal amount of the outstanding debt securities of that series may, under certain circumstances, rescind and annul such acceleration if all events of default, other than the non-payment of accelerated principal (or other specified amount), have been cured or waived as provided in the applicable indenture. For information as to waiver of defaults, see “— Modification and Waiver” below.</w:t>
      </w:r>
    </w:p>
    <w:p>
      <w:pPr>
        <w:spacing w:after="0" w:line="148" w:lineRule="exact"/>
        <w:rPr>
          <w:sz w:val="20"/>
          <w:szCs w:val="20"/>
          <w:color w:val="auto"/>
        </w:rPr>
      </w:pPr>
    </w:p>
    <w:p>
      <w:pPr>
        <w:ind w:left="1420" w:right="359" w:firstLine="337"/>
        <w:spacing w:after="0" w:line="251" w:lineRule="auto"/>
        <w:rPr>
          <w:sz w:val="20"/>
          <w:szCs w:val="20"/>
          <w:color w:val="auto"/>
        </w:rPr>
      </w:pPr>
      <w:r>
        <w:rPr>
          <w:rFonts w:ascii="Times New Roman" w:cs="Times New Roman" w:eastAsia="Times New Roman" w:hAnsi="Times New Roman"/>
          <w:sz w:val="14"/>
          <w:szCs w:val="14"/>
          <w:color w:val="auto"/>
        </w:rPr>
        <w:t>Subject to the provisions of an indenture relating to the duties of the trustee in case an event of default has occurred and is continuing, the trustee will be under no obligation to exercise any of its rights or powers under that indenture at the request or direction of any of the holders of debt securities, unless such holders have offered to the trustee reasonable indemnity. Subject to such provisions for the indemnification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9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1"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399" w:firstLine="337"/>
        <w:spacing w:after="0" w:line="273" w:lineRule="auto"/>
        <w:rPr>
          <w:sz w:val="20"/>
          <w:szCs w:val="20"/>
          <w:color w:val="auto"/>
        </w:rPr>
      </w:pPr>
      <w:r>
        <w:rPr>
          <w:rFonts w:ascii="Times New Roman" w:cs="Times New Roman" w:eastAsia="Times New Roman" w:hAnsi="Times New Roman"/>
          <w:sz w:val="14"/>
          <w:szCs w:val="14"/>
          <w:color w:val="auto"/>
        </w:rPr>
        <w:t>No holder of a debt security of any series will have any right to institute any proceeding under the applicable indenture, or for the appointment of a receiver or a trustee, or for any other remedy under the applicable indenture, unless:</w:t>
      </w:r>
    </w:p>
    <w:p>
      <w:pPr>
        <w:spacing w:after="0" w:line="58" w:lineRule="exact"/>
        <w:rPr>
          <w:sz w:val="20"/>
          <w:szCs w:val="20"/>
          <w:color w:val="auto"/>
        </w:rPr>
      </w:pPr>
    </w:p>
    <w:p>
      <w:pPr>
        <w:ind w:left="2160" w:hanging="322"/>
        <w:spacing w:after="0"/>
        <w:tabs>
          <w:tab w:leader="none" w:pos="21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 gives the trustee written notice of a continuing event of default with respect to the debt securities of that series;</w:t>
      </w:r>
    </w:p>
    <w:p>
      <w:pPr>
        <w:spacing w:after="0" w:line="97" w:lineRule="exact"/>
        <w:rPr>
          <w:rFonts w:ascii="Times New Roman" w:cs="Times New Roman" w:eastAsia="Times New Roman" w:hAnsi="Times New Roman"/>
          <w:sz w:val="14"/>
          <w:szCs w:val="14"/>
          <w:color w:val="auto"/>
        </w:rPr>
      </w:pPr>
    </w:p>
    <w:p>
      <w:pPr>
        <w:ind w:left="2160" w:right="299" w:hanging="322"/>
        <w:spacing w:after="0" w:line="312" w:lineRule="auto"/>
        <w:tabs>
          <w:tab w:leader="none" w:pos="216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holders of at least 25% in principal amount of the outstanding debt securities of that series made a written request to pursue the remedy, and such holders have offered reasonable indemnity, to the trustee for losses incurred in connection with pursuit of the remedy; and</w:t>
      </w:r>
    </w:p>
    <w:p>
      <w:pPr>
        <w:spacing w:after="0" w:line="35" w:lineRule="exact"/>
        <w:rPr>
          <w:rFonts w:ascii="Times New Roman" w:cs="Times New Roman" w:eastAsia="Times New Roman" w:hAnsi="Times New Roman"/>
          <w:sz w:val="13"/>
          <w:szCs w:val="13"/>
          <w:color w:val="auto"/>
        </w:rPr>
      </w:pPr>
    </w:p>
    <w:p>
      <w:pPr>
        <w:ind w:left="2160" w:right="339" w:hanging="322"/>
        <w:spacing w:after="0" w:line="273" w:lineRule="auto"/>
        <w:tabs>
          <w:tab w:leader="none" w:pos="21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fails to comply with the request, and does not receive from the holders of a majority in principal amount of the outstanding debt securities of that series a direction inconsistent with such request, within 60 days after such notice, request and offer.</w:t>
      </w:r>
    </w:p>
    <w:p>
      <w:pPr>
        <w:spacing w:after="0" w:line="130" w:lineRule="exact"/>
        <w:rPr>
          <w:sz w:val="20"/>
          <w:szCs w:val="20"/>
          <w:color w:val="auto"/>
        </w:rPr>
      </w:pPr>
    </w:p>
    <w:p>
      <w:pPr>
        <w:ind w:left="1420" w:right="319" w:firstLine="337"/>
        <w:spacing w:after="0" w:line="312" w:lineRule="auto"/>
        <w:rPr>
          <w:sz w:val="20"/>
          <w:szCs w:val="20"/>
          <w:color w:val="auto"/>
        </w:rPr>
      </w:pPr>
      <w:r>
        <w:rPr>
          <w:rFonts w:ascii="Times New Roman" w:cs="Times New Roman" w:eastAsia="Times New Roman" w:hAnsi="Times New Roman"/>
          <w:sz w:val="13"/>
          <w:szCs w:val="13"/>
          <w:color w:val="auto"/>
        </w:rPr>
        <w:t>However, such limitations do not apply to a suit instituted by a holder of a debt security to enforce the payment of the principal of or any premium or interest on such debt security on or after the applicable due date specified in such debt security or, if applicable, to convert such debt security.</w:t>
      </w:r>
    </w:p>
    <w:p>
      <w:pPr>
        <w:spacing w:after="0" w:line="108" w:lineRule="exact"/>
        <w:rPr>
          <w:sz w:val="20"/>
          <w:szCs w:val="20"/>
          <w:color w:val="auto"/>
        </w:rPr>
      </w:pPr>
    </w:p>
    <w:p>
      <w:pPr>
        <w:ind w:left="1420" w:right="379" w:firstLine="337"/>
        <w:spacing w:after="0" w:line="259" w:lineRule="auto"/>
        <w:rPr>
          <w:sz w:val="20"/>
          <w:szCs w:val="20"/>
          <w:color w:val="auto"/>
        </w:rPr>
      </w:pPr>
      <w:r>
        <w:rPr>
          <w:rFonts w:ascii="Times New Roman" w:cs="Times New Roman" w:eastAsia="Times New Roman" w:hAnsi="Times New Roman"/>
          <w:sz w:val="14"/>
          <w:szCs w:val="14"/>
          <w:color w:val="auto"/>
        </w:rPr>
        <w:t>The issuer of any debt securities will be required to furnish to the trustee annually a statement by certain of its officers as to whether or not such issuer, to its knowledge, is in default in the performance or observance of any of the terms, provisions and conditions of the applicable indenture and, if so, specifying all such known defaults.</w:t>
      </w:r>
    </w:p>
    <w:p>
      <w:pPr>
        <w:spacing w:after="0" w:line="2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Modification and Waiver</w:t>
      </w:r>
    </w:p>
    <w:p>
      <w:pPr>
        <w:spacing w:after="0" w:line="91" w:lineRule="exact"/>
        <w:rPr>
          <w:sz w:val="20"/>
          <w:szCs w:val="20"/>
          <w:color w:val="auto"/>
        </w:rPr>
      </w:pPr>
    </w:p>
    <w:p>
      <w:pPr>
        <w:jc w:val="both"/>
        <w:ind w:left="1420" w:right="439" w:firstLine="337"/>
        <w:spacing w:after="0" w:line="255" w:lineRule="auto"/>
        <w:rPr>
          <w:sz w:val="20"/>
          <w:szCs w:val="20"/>
          <w:color w:val="auto"/>
        </w:rPr>
      </w:pPr>
      <w:r>
        <w:rPr>
          <w:rFonts w:ascii="Times New Roman" w:cs="Times New Roman" w:eastAsia="Times New Roman" w:hAnsi="Times New Roman"/>
          <w:sz w:val="14"/>
          <w:szCs w:val="14"/>
          <w:color w:val="auto"/>
        </w:rPr>
        <w:t>Unless otherwise specified in the prospectus supplement, modifications and amendments of the applicable indenture may be made by the issuer thereunder, the guarantor (if any), and the trustee with the consent of the holders of a majority in principal amount of the outstanding debt securities of each series affected by such modification or amendment; provided, however, that no such modification or amendment may, without the consent of the holder of each outstanding debt security affected thereby:</w:t>
      </w:r>
    </w:p>
    <w:p>
      <w:pPr>
        <w:spacing w:after="0" w:line="71" w:lineRule="exact"/>
        <w:rPr>
          <w:sz w:val="20"/>
          <w:szCs w:val="20"/>
          <w:color w:val="auto"/>
        </w:rPr>
      </w:pPr>
    </w:p>
    <w:p>
      <w:pPr>
        <w:ind w:left="2160" w:hanging="322"/>
        <w:spacing w:after="0"/>
        <w:tabs>
          <w:tab w:leader="none" w:pos="21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stated maturity of the principal of, or any installment of principal of or interest on, any debt security;</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or any premium or interest on, any debt security;</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principal payable upon acceleration of the maturity of any debt security;</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place, manner or currency of payment of principal of, or any premium or interest on, any debt security;</w:t>
      </w:r>
    </w:p>
    <w:p>
      <w:pPr>
        <w:spacing w:after="0" w:line="97" w:lineRule="exact"/>
        <w:rPr>
          <w:rFonts w:ascii="Times New Roman" w:cs="Times New Roman" w:eastAsia="Times New Roman" w:hAnsi="Times New Roman"/>
          <w:sz w:val="14"/>
          <w:szCs w:val="14"/>
          <w:color w:val="auto"/>
        </w:rPr>
      </w:pPr>
    </w:p>
    <w:p>
      <w:pPr>
        <w:ind w:left="2160" w:right="399" w:hanging="322"/>
        <w:spacing w:after="0" w:line="273" w:lineRule="auto"/>
        <w:tabs>
          <w:tab w:leader="none" w:pos="21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the right to institute suit for the enforcement of any payment due on or any conversion right with respect to any debt securities in a manner adverse to the holders of such debt securities;</w:t>
      </w:r>
    </w:p>
    <w:p>
      <w:pPr>
        <w:spacing w:after="0" w:line="57" w:lineRule="exact"/>
        <w:rPr>
          <w:rFonts w:ascii="Times New Roman" w:cs="Times New Roman" w:eastAsia="Times New Roman" w:hAnsi="Times New Roman"/>
          <w:sz w:val="14"/>
          <w:szCs w:val="14"/>
          <w:color w:val="auto"/>
        </w:rPr>
      </w:pPr>
    </w:p>
    <w:p>
      <w:pPr>
        <w:ind w:left="2160" w:right="799" w:hanging="322"/>
        <w:spacing w:after="0" w:line="273" w:lineRule="auto"/>
        <w:tabs>
          <w:tab w:leader="none" w:pos="21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in principal amount of outstanding debt securities of any series, the consent of whose holders is required for modification or amendment of the indenture;</w:t>
      </w:r>
    </w:p>
    <w:p>
      <w:pPr>
        <w:spacing w:after="0" w:line="57" w:lineRule="exact"/>
        <w:rPr>
          <w:rFonts w:ascii="Times New Roman" w:cs="Times New Roman" w:eastAsia="Times New Roman" w:hAnsi="Times New Roman"/>
          <w:sz w:val="14"/>
          <w:szCs w:val="14"/>
          <w:color w:val="auto"/>
        </w:rPr>
      </w:pPr>
    </w:p>
    <w:p>
      <w:pPr>
        <w:ind w:left="2160" w:right="599" w:hanging="322"/>
        <w:spacing w:after="0" w:line="273" w:lineRule="auto"/>
        <w:tabs>
          <w:tab w:leader="none" w:pos="21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in principal amount of outstanding debt securities of any series necessary for waiver of compliance with certain provisions of the indenture or for waiver of certain defaults;</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such provisions with respect to modification, amendment or waiver; or</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ranking of any series of debt securities.</w:t>
      </w:r>
    </w:p>
    <w:p>
      <w:pPr>
        <w:spacing w:after="0" w:line="170" w:lineRule="exact"/>
        <w:rPr>
          <w:sz w:val="20"/>
          <w:szCs w:val="20"/>
          <w:color w:val="auto"/>
        </w:rPr>
      </w:pPr>
    </w:p>
    <w:p>
      <w:pPr>
        <w:ind w:left="1420" w:right="499" w:firstLine="337"/>
        <w:spacing w:after="0" w:line="273" w:lineRule="auto"/>
        <w:rPr>
          <w:sz w:val="20"/>
          <w:szCs w:val="20"/>
          <w:color w:val="auto"/>
        </w:rPr>
      </w:pPr>
      <w:r>
        <w:rPr>
          <w:rFonts w:ascii="Times New Roman" w:cs="Times New Roman" w:eastAsia="Times New Roman" w:hAnsi="Times New Roman"/>
          <w:sz w:val="14"/>
          <w:szCs w:val="14"/>
          <w:color w:val="auto"/>
        </w:rPr>
        <w:t>Unless otherwise specified in the prospectus supplement, the holders of a majority in principal amount of the outstanding debt securities of any series may waive compliance with certain restrictive provisions of the</w:t>
      </w:r>
    </w:p>
    <w:p>
      <w:pPr>
        <w:spacing w:after="0" w:line="7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1"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639"/>
        <w:spacing w:after="0" w:line="273" w:lineRule="auto"/>
        <w:rPr>
          <w:sz w:val="20"/>
          <w:szCs w:val="20"/>
          <w:color w:val="auto"/>
        </w:rPr>
      </w:pPr>
      <w:r>
        <w:rPr>
          <w:rFonts w:ascii="Times New Roman" w:cs="Times New Roman" w:eastAsia="Times New Roman" w:hAnsi="Times New Roman"/>
          <w:sz w:val="14"/>
          <w:szCs w:val="14"/>
          <w:color w:val="auto"/>
        </w:rPr>
        <w:t>applicable indenture. The holders of a majority in principal amount of the outstanding debt securities of any series may also waive any past default under the applicable indenture, except a default:</w:t>
      </w:r>
    </w:p>
    <w:p>
      <w:pPr>
        <w:spacing w:after="0" w:line="58" w:lineRule="exact"/>
        <w:rPr>
          <w:sz w:val="20"/>
          <w:szCs w:val="20"/>
          <w:color w:val="auto"/>
        </w:rPr>
      </w:pPr>
    </w:p>
    <w:p>
      <w:pPr>
        <w:ind w:left="2160" w:hanging="322"/>
        <w:spacing w:after="0"/>
        <w:tabs>
          <w:tab w:leader="none" w:pos="21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payment of principal, premium or interest or the payment of any redemption, purchase or repurchase price;</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arising from the failure to convert any debt security in accordance with the applicable indenture; or</w:t>
      </w:r>
    </w:p>
    <w:p>
      <w:pPr>
        <w:spacing w:after="0" w:line="97" w:lineRule="exact"/>
        <w:rPr>
          <w:rFonts w:ascii="Times New Roman" w:cs="Times New Roman" w:eastAsia="Times New Roman" w:hAnsi="Times New Roman"/>
          <w:sz w:val="14"/>
          <w:szCs w:val="14"/>
          <w:color w:val="auto"/>
        </w:rPr>
      </w:pPr>
    </w:p>
    <w:p>
      <w:pPr>
        <w:ind w:left="2160" w:right="779" w:hanging="322"/>
        <w:spacing w:after="0" w:line="273" w:lineRule="auto"/>
        <w:tabs>
          <w:tab w:leader="none" w:pos="21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certain covenants and provisions of the applicable indenture which cannot be amended without the consent of the holder of each outstanding debt security of such series.</w:t>
      </w:r>
    </w:p>
    <w:p>
      <w:pPr>
        <w:spacing w:after="0" w:line="20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Satisfaction and Discharge</w:t>
      </w:r>
    </w:p>
    <w:p>
      <w:pPr>
        <w:spacing w:after="0" w:line="91" w:lineRule="exact"/>
        <w:rPr>
          <w:sz w:val="20"/>
          <w:szCs w:val="20"/>
          <w:color w:val="auto"/>
        </w:rPr>
      </w:pPr>
    </w:p>
    <w:p>
      <w:pPr>
        <w:ind w:left="1420" w:right="399" w:firstLine="337"/>
        <w:spacing w:after="0" w:line="259" w:lineRule="auto"/>
        <w:rPr>
          <w:sz w:val="20"/>
          <w:szCs w:val="20"/>
          <w:color w:val="auto"/>
        </w:rPr>
      </w:pPr>
      <w:r>
        <w:rPr>
          <w:rFonts w:ascii="Times New Roman" w:cs="Times New Roman" w:eastAsia="Times New Roman" w:hAnsi="Times New Roman"/>
          <w:sz w:val="14"/>
          <w:szCs w:val="14"/>
          <w:color w:val="auto"/>
        </w:rPr>
        <w:t>The applicable indenture will be discharged and will cease to be of further effect as to any series of debt securities (except as to any surviving rights of registration of transfer or exchange of debt securities expressly provided for in the applicable indenture or any other surviving rights expressly provided for in any applicable supplemental indenture) when:</w:t>
      </w:r>
    </w:p>
    <w:p>
      <w:pPr>
        <w:spacing w:after="0" w:line="68" w:lineRule="exact"/>
        <w:rPr>
          <w:sz w:val="20"/>
          <w:szCs w:val="20"/>
          <w:color w:val="auto"/>
        </w:rPr>
      </w:pPr>
    </w:p>
    <w:p>
      <w:pPr>
        <w:ind w:left="2160" w:hanging="322"/>
        <w:spacing w:after="0"/>
        <w:tabs>
          <w:tab w:leader="none" w:pos="21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w:t>
      </w:r>
    </w:p>
    <w:p>
      <w:pPr>
        <w:spacing w:after="0" w:line="97" w:lineRule="exact"/>
        <w:rPr>
          <w:rFonts w:ascii="Times New Roman" w:cs="Times New Roman" w:eastAsia="Times New Roman" w:hAnsi="Times New Roman"/>
          <w:sz w:val="14"/>
          <w:szCs w:val="14"/>
          <w:color w:val="auto"/>
        </w:rPr>
      </w:pPr>
    </w:p>
    <w:p>
      <w:pPr>
        <w:ind w:left="2520" w:right="359" w:hanging="258"/>
        <w:spacing w:after="0" w:line="259" w:lineRule="auto"/>
        <w:tabs>
          <w:tab w:leader="none" w:pos="252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debt securities of such series that have been authenticated (except lost, stolen or destroyed debt securities that have been replaced or paid and debt securities for whose payment money has theretofore been deposited in trust and thereafter repaid to the issuer of such debt securities) have been delivered to the trustee for cancellation; or</w:t>
      </w:r>
    </w:p>
    <w:p>
      <w:pPr>
        <w:spacing w:after="0" w:line="68" w:lineRule="exact"/>
        <w:rPr>
          <w:rFonts w:ascii="Times New Roman" w:cs="Times New Roman" w:eastAsia="Times New Roman" w:hAnsi="Times New Roman"/>
          <w:sz w:val="14"/>
          <w:szCs w:val="14"/>
          <w:color w:val="auto"/>
        </w:rPr>
      </w:pPr>
    </w:p>
    <w:p>
      <w:pPr>
        <w:ind w:left="2520" w:right="299" w:hanging="258"/>
        <w:spacing w:after="0" w:line="277" w:lineRule="auto"/>
        <w:tabs>
          <w:tab w:leader="none" w:pos="2520"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debt securities of such series that have not been delivered to the trustee for cancellation have become due and payable or will become due and payable at their stated maturity within one year or are to be called for redemption within one year under arrangements satisfactory to the trustee and in any case the issuer of such debt securities has deposited with the trustee as trust funds U.S. dollars or U.S. government obligations in an amount sufficient, to pay the entire indebtedness of such debt securities not delivered to the trustee for cancellation, for principal, premium, if any, and accrued interest to the stated maturity or redemption date;</w:t>
      </w:r>
    </w:p>
    <w:p>
      <w:pPr>
        <w:spacing w:after="0" w:line="57" w:lineRule="exact"/>
        <w:rPr>
          <w:rFonts w:ascii="Times New Roman" w:cs="Times New Roman" w:eastAsia="Times New Roman" w:hAnsi="Times New Roman"/>
          <w:sz w:val="13"/>
          <w:szCs w:val="13"/>
          <w:color w:val="auto"/>
        </w:rPr>
      </w:pPr>
    </w:p>
    <w:p>
      <w:pPr>
        <w:ind w:left="2160" w:right="479" w:hanging="322"/>
        <w:spacing w:after="0" w:line="273" w:lineRule="auto"/>
        <w:tabs>
          <w:tab w:leader="none" w:pos="21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 of the debt securities and the guarantor thereof (if any) have paid or caused to be paid all other sums payable by such issuer or such guarantor under the indenture; and</w:t>
      </w:r>
    </w:p>
    <w:p>
      <w:pPr>
        <w:spacing w:after="0" w:line="57" w:lineRule="exact"/>
        <w:rPr>
          <w:rFonts w:ascii="Times New Roman" w:cs="Times New Roman" w:eastAsia="Times New Roman" w:hAnsi="Times New Roman"/>
          <w:sz w:val="14"/>
          <w:szCs w:val="14"/>
          <w:color w:val="auto"/>
        </w:rPr>
      </w:pPr>
    </w:p>
    <w:p>
      <w:pPr>
        <w:ind w:left="2160" w:right="439" w:hanging="322"/>
        <w:spacing w:after="0" w:line="273" w:lineRule="auto"/>
        <w:tabs>
          <w:tab w:leader="none" w:pos="21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 of the debt securities has delivered an officers’ certificate and an opinion of counsel to the trustee stating that it has satisfied all conditions precedent to satisfaction and discharge of the indenture with respect to the debt securities.</w:t>
      </w:r>
    </w:p>
    <w:p>
      <w:pPr>
        <w:spacing w:after="0" w:line="20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Legal Defeasance and Covenant Defeasance</w:t>
      </w:r>
    </w:p>
    <w:p>
      <w:pPr>
        <w:spacing w:after="0" w:line="87" w:lineRule="exact"/>
        <w:rPr>
          <w:sz w:val="20"/>
          <w:szCs w:val="20"/>
          <w:color w:val="auto"/>
        </w:rPr>
      </w:pPr>
    </w:p>
    <w:p>
      <w:pPr>
        <w:ind w:left="1420" w:right="319" w:firstLine="337"/>
        <w:spacing w:after="0" w:line="252" w:lineRule="auto"/>
        <w:rPr>
          <w:sz w:val="20"/>
          <w:szCs w:val="20"/>
          <w:color w:val="auto"/>
        </w:rPr>
      </w:pPr>
      <w:r>
        <w:rPr>
          <w:rFonts w:ascii="Times New Roman" w:cs="Times New Roman" w:eastAsia="Times New Roman" w:hAnsi="Times New Roman"/>
          <w:sz w:val="14"/>
          <w:szCs w:val="14"/>
          <w:i w:val="1"/>
          <w:iCs w:val="1"/>
          <w:color w:val="auto"/>
        </w:rPr>
        <w:t>Legal Defeasance</w:t>
      </w:r>
      <w:r>
        <w:rPr>
          <w:rFonts w:ascii="Times New Roman" w:cs="Times New Roman" w:eastAsia="Times New Roman" w:hAnsi="Times New Roman"/>
          <w:sz w:val="14"/>
          <w:szCs w:val="14"/>
          <w:color w:val="auto"/>
        </w:rPr>
        <w:t>. The issuer of any series of debt securities and the guarantor thereof (if any) will be discharged from all of their obligations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respect to such series of debt securities (except for certain obligations to convert, exchange or register the transfer of debt securities, to replace stolen, lost or mutilated debt securities, to maintain paying agencies and to hold moneys for payment in trust) upon the deposit in trust for the benefit of the holders of such debt securities of money or U.S.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indenture and such debt securities. Such defeasance or discharge may occur only if, among other things:</w:t>
      </w:r>
    </w:p>
    <w:p>
      <w:pPr>
        <w:spacing w:after="0" w:line="72" w:lineRule="exact"/>
        <w:rPr>
          <w:sz w:val="20"/>
          <w:szCs w:val="20"/>
          <w:color w:val="auto"/>
        </w:rPr>
      </w:pPr>
    </w:p>
    <w:p>
      <w:pPr>
        <w:ind w:left="2160" w:right="299" w:hanging="404"/>
        <w:spacing w:after="0" w:line="253" w:lineRule="auto"/>
        <w:tabs>
          <w:tab w:leader="none" w:pos="21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 of the debt securities has delivered to the trustee an opinion of counsel to the effect that it has received from, or there has been published by, the U.S. Internal Revenue Service a ruling, or there has been a change in tax law, in either case to the effect that holders of such debt securities will not recognize gain or loss for federal income tax purposes as a result of such deposit and legal defeasance and will be subject to federal income tax on the same amount, in the same manner and at the same times as would have been the case if such deposit and legal defeasance were not to occur;</w:t>
      </w:r>
    </w:p>
    <w:p>
      <w:pPr>
        <w:spacing w:after="0" w:line="9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1"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right="419" w:hanging="404"/>
        <w:spacing w:after="0" w:line="259" w:lineRule="auto"/>
        <w:tabs>
          <w:tab w:leader="none" w:pos="21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event of default or event that with the passing of time or the giving of notice, or both, shall constitute an event of default shall have occurred and be continuing at the time of such deposit or, with respect to any event of default described in clause (5) under “— Events of Default,” at any time until 90 days after such deposit;</w:t>
      </w:r>
    </w:p>
    <w:p>
      <w:pPr>
        <w:spacing w:after="0" w:line="68" w:lineRule="exact"/>
        <w:rPr>
          <w:rFonts w:ascii="Times New Roman" w:cs="Times New Roman" w:eastAsia="Times New Roman" w:hAnsi="Times New Roman"/>
          <w:sz w:val="14"/>
          <w:szCs w:val="14"/>
          <w:color w:val="auto"/>
        </w:rPr>
      </w:pPr>
    </w:p>
    <w:p>
      <w:pPr>
        <w:ind w:left="2160" w:right="399" w:hanging="404"/>
        <w:spacing w:after="0" w:line="273" w:lineRule="auto"/>
        <w:tabs>
          <w:tab w:leader="none" w:pos="21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deposit and defeasance will not result in a breach or violation of, or constitute a default under, any agreement or instrument to which the issuer of the debt securities or the guarantor thereof (if any) is a party or by which they are bound; and</w:t>
      </w:r>
    </w:p>
    <w:p>
      <w:pPr>
        <w:spacing w:after="0" w:line="57" w:lineRule="exact"/>
        <w:rPr>
          <w:rFonts w:ascii="Times New Roman" w:cs="Times New Roman" w:eastAsia="Times New Roman" w:hAnsi="Times New Roman"/>
          <w:sz w:val="14"/>
          <w:szCs w:val="14"/>
          <w:color w:val="auto"/>
        </w:rPr>
      </w:pPr>
    </w:p>
    <w:p>
      <w:pPr>
        <w:ind w:left="2160" w:right="699" w:hanging="404"/>
        <w:spacing w:after="0" w:line="273" w:lineRule="auto"/>
        <w:tabs>
          <w:tab w:leader="none" w:pos="21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 of the debt securities has delivered to the trustee an opinion of counsel to the effect that such defeasance will not cause the trustee or the trust so created to be subject to the Investment Company Act of 1940.</w:t>
      </w:r>
    </w:p>
    <w:p>
      <w:pPr>
        <w:spacing w:after="0" w:line="126" w:lineRule="exact"/>
        <w:rPr>
          <w:sz w:val="20"/>
          <w:szCs w:val="20"/>
          <w:color w:val="auto"/>
        </w:rPr>
      </w:pPr>
    </w:p>
    <w:p>
      <w:pPr>
        <w:ind w:left="1420" w:right="319" w:firstLine="337"/>
        <w:spacing w:after="0" w:line="248" w:lineRule="auto"/>
        <w:rPr>
          <w:sz w:val="20"/>
          <w:szCs w:val="20"/>
          <w:color w:val="auto"/>
        </w:rPr>
      </w:pPr>
      <w:r>
        <w:rPr>
          <w:rFonts w:ascii="Times New Roman" w:cs="Times New Roman" w:eastAsia="Times New Roman" w:hAnsi="Times New Roman"/>
          <w:sz w:val="14"/>
          <w:szCs w:val="14"/>
          <w:i w:val="1"/>
          <w:iCs w:val="1"/>
          <w:color w:val="auto"/>
        </w:rPr>
        <w:t>Covenant Defeasance</w:t>
      </w:r>
      <w:r>
        <w:rPr>
          <w:rFonts w:ascii="Times New Roman" w:cs="Times New Roman" w:eastAsia="Times New Roman" w:hAnsi="Times New Roman"/>
          <w:sz w:val="14"/>
          <w:szCs w:val="14"/>
          <w:color w:val="auto"/>
        </w:rPr>
        <w:t>. Each indenture provides that the applicable issuer may elect, at its option, that the failure to comply with certain restrictive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covenants (but not to conversion, if applicable), including those that may be described in the applicable prospectus supplement, and the occurrence of certain events of default which are described above in clause (4) under “— Events of Default” and any that may be described in the applicable prospectus supplement, will not be deemed to either be or result in an event of default with respect to such debt securities. In order to exercise such option, the applicable issuer must deposit, in trust for the benefit of the holders of such debt securities, money or U.S.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indenture and such debt securities. Such covenant defeasance may occur only if the applicable issuer has delivered to the trustee an opinion of counsel that in effect says that holders of such debt securities will not recognize gain or loss for federal income tax purposes as a result of such deposit and covenant defeasance and will be subject to federal income tax on the same amount, in the same manner and at the same times as would have been the case if such deposit and covenant defeasance were not to occur, and the requirements set forth in clauses (2), (3), and (4) under the heading —“Legal Defeasance and Covenant Defeasance” above are satisfied. If the applicable issuer exercises this option with respect to any debt securities and such debt securities were declared due and payable because of the occurrence of any event of default, the amount of money and U.S. government obligations so deposited in trust would be sufficient to pay amounts due on such debt securities at the time of their respective stated maturities but may not be sufficient to pay amounts due on such debt securities upon any acceleration resulting from such event of default. In such case, the applicable issuer and the guarantor (if any) would remain liable for such payments.</w:t>
      </w:r>
    </w:p>
    <w:p>
      <w:pPr>
        <w:spacing w:after="0" w:line="23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3"/>
          <w:szCs w:val="13"/>
          <w:color w:val="auto"/>
        </w:rPr>
        <w:t>The indentures, the debt securities and the guarantees will be governed by, and construed in accordance with, the laws of the State of New York.</w:t>
      </w:r>
    </w:p>
    <w:p>
      <w:pPr>
        <w:spacing w:after="0" w:line="13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1"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4" w:lineRule="exact"/>
        <w:rPr>
          <w:sz w:val="20"/>
          <w:szCs w:val="20"/>
          <w:color w:val="auto"/>
        </w:rPr>
      </w:pPr>
    </w:p>
    <w:p>
      <w:pPr>
        <w:ind w:left="1420" w:right="519" w:firstLine="337"/>
        <w:spacing w:after="0" w:line="255" w:lineRule="auto"/>
        <w:rPr>
          <w:sz w:val="20"/>
          <w:szCs w:val="20"/>
          <w:color w:val="auto"/>
        </w:rPr>
      </w:pPr>
      <w:r>
        <w:rPr>
          <w:rFonts w:ascii="Times New Roman" w:cs="Times New Roman" w:eastAsia="Times New Roman" w:hAnsi="Times New Roman"/>
          <w:sz w:val="14"/>
          <w:szCs w:val="14"/>
          <w:color w:val="auto"/>
        </w:rPr>
        <w:t>The following description of the Company’s capital stock summarizes general terms and provisions that apply to the Company’s capital stock. Because this is only a summary it does not contain all of the information that may be important to you. The summary is subject to and qualified in its entirety by reference to the Company’s articles of incorporation and by-laws, which are filed as exhibits to the registration statement of which this prospectus is a part and incorporated by reference into this prospectus. See “Where You Can Find More Information.”</w:t>
      </w:r>
    </w:p>
    <w:p>
      <w:pPr>
        <w:spacing w:after="0" w:line="22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1" w:lineRule="exact"/>
        <w:rPr>
          <w:sz w:val="20"/>
          <w:szCs w:val="20"/>
          <w:color w:val="auto"/>
        </w:rPr>
      </w:pPr>
    </w:p>
    <w:p>
      <w:pPr>
        <w:ind w:left="1420" w:right="459" w:firstLine="337"/>
        <w:spacing w:after="0" w:line="259" w:lineRule="auto"/>
        <w:rPr>
          <w:sz w:val="20"/>
          <w:szCs w:val="20"/>
          <w:color w:val="auto"/>
        </w:rPr>
      </w:pPr>
      <w:r>
        <w:rPr>
          <w:rFonts w:ascii="Times New Roman" w:cs="Times New Roman" w:eastAsia="Times New Roman" w:hAnsi="Times New Roman"/>
          <w:sz w:val="14"/>
          <w:szCs w:val="14"/>
          <w:color w:val="auto"/>
        </w:rPr>
        <w:t>The Company’s authorized capital stock consists of 1,800,000,000 shares of common stock, $0.01 par value per share, and 25,000,000 shares of preferred stock, no par value per share. The Company will disclose in an applicable prospectus supplement the number of shares of the Company’s common stock then outstanding. As of the date of this prospectus, no shares of the Company’s preferred stock were outstanding.</w:t>
      </w:r>
    </w:p>
    <w:p>
      <w:pPr>
        <w:spacing w:after="0" w:line="2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91" w:lineRule="exact"/>
        <w:rPr>
          <w:sz w:val="20"/>
          <w:szCs w:val="20"/>
          <w:color w:val="auto"/>
        </w:rPr>
      </w:pPr>
    </w:p>
    <w:p>
      <w:pPr>
        <w:ind w:left="1420" w:right="379" w:firstLine="337"/>
        <w:spacing w:after="0" w:line="250" w:lineRule="auto"/>
        <w:rPr>
          <w:sz w:val="20"/>
          <w:szCs w:val="20"/>
          <w:color w:val="auto"/>
        </w:rPr>
      </w:pPr>
      <w:r>
        <w:rPr>
          <w:rFonts w:ascii="Times New Roman" w:cs="Times New Roman" w:eastAsia="Times New Roman" w:hAnsi="Times New Roman"/>
          <w:sz w:val="14"/>
          <w:szCs w:val="14"/>
          <w:color w:val="auto"/>
        </w:rPr>
        <w:t>Subject to Section 180.1150 of the Wisconsin Business Corporation Law (described below under “— Statutory Provisions”), holders of the Company’s common stock are entitled to one vote for each share of common stock held by them on all matters properly presented to shareholders. Subject to the prior rights of the holders of any shares of the Company’s preferred stock that are outstanding, the Company’s board of directors may at its discretion declare and pay dividends on the Company’s common stock out of the Company’s earnings or assets legally available for the payment of dividends. Subject to the prior rights of the holders of any shares of the Company’s preferred stock that are outstanding, if the Company is liquidated, any amounts remaining after the discharge of outstanding indebtedness will be paid pro rata to the holders of the Company’s common stock. Holders of the Company’s common stock have no preemptive, subscription, redemption or conversion rights. The rights, preferences and privileges of holders of the Company’s common stock are subject to, and may be adversely affected by, the rights of the holders of shares of any series of preferred stock that the Company may designate and issue in the future.</w:t>
      </w:r>
    </w:p>
    <w:p>
      <w:pPr>
        <w:spacing w:after="0" w:line="22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91" w:lineRule="exact"/>
        <w:rPr>
          <w:sz w:val="20"/>
          <w:szCs w:val="20"/>
          <w:color w:val="auto"/>
        </w:rPr>
      </w:pPr>
    </w:p>
    <w:p>
      <w:pPr>
        <w:ind w:left="1420" w:right="419" w:firstLine="337"/>
        <w:spacing w:after="0" w:line="255" w:lineRule="auto"/>
        <w:rPr>
          <w:sz w:val="20"/>
          <w:szCs w:val="20"/>
          <w:color w:val="auto"/>
        </w:rPr>
      </w:pPr>
      <w:r>
        <w:rPr>
          <w:rFonts w:ascii="Times New Roman" w:cs="Times New Roman" w:eastAsia="Times New Roman" w:hAnsi="Times New Roman"/>
          <w:sz w:val="14"/>
          <w:szCs w:val="14"/>
          <w:color w:val="auto"/>
        </w:rPr>
        <w:t>The Company’s board of directors is authorized to issue the Company’s preferred stock in series and to fix the voting rights; the designations, preferences, limitations and relative rights of any series with respect to the rate of dividend, the price, the terms and conditions of redemption; the amounts payable in the event of voluntary or involuntary liquidation; sinking fund provisions for redemption or purchase of a series; and the terms and conditions on which a series may be converted.</w:t>
      </w:r>
    </w:p>
    <w:p>
      <w:pPr>
        <w:spacing w:after="0" w:line="143" w:lineRule="exact"/>
        <w:rPr>
          <w:sz w:val="20"/>
          <w:szCs w:val="20"/>
          <w:color w:val="auto"/>
        </w:rPr>
      </w:pPr>
    </w:p>
    <w:p>
      <w:pPr>
        <w:ind w:left="1420" w:right="319" w:firstLine="337"/>
        <w:spacing w:after="0" w:line="273" w:lineRule="auto"/>
        <w:rPr>
          <w:sz w:val="20"/>
          <w:szCs w:val="20"/>
          <w:color w:val="auto"/>
        </w:rPr>
      </w:pPr>
      <w:r>
        <w:rPr>
          <w:rFonts w:ascii="Times New Roman" w:cs="Times New Roman" w:eastAsia="Times New Roman" w:hAnsi="Times New Roman"/>
          <w:sz w:val="14"/>
          <w:szCs w:val="14"/>
          <w:color w:val="auto"/>
        </w:rPr>
        <w:t>If the Company offers preferred stock, the Company will file the terms of the preferred stock with the SEC and the prospectus supplement relating to that offering will include a description of the specific terms of the offering, including the following specific terms:</w:t>
      </w:r>
    </w:p>
    <w:p>
      <w:pPr>
        <w:spacing w:after="0" w:line="58" w:lineRule="exact"/>
        <w:rPr>
          <w:sz w:val="20"/>
          <w:szCs w:val="20"/>
          <w:color w:val="auto"/>
        </w:rPr>
      </w:pPr>
    </w:p>
    <w:p>
      <w:pPr>
        <w:ind w:left="2160" w:hanging="322"/>
        <w:spacing w:after="0"/>
        <w:tabs>
          <w:tab w:leader="none" w:pos="21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the number of shares offered and the liquidation value of the preferred stock;</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at which the preferred stock will be issued;</w:t>
      </w:r>
    </w:p>
    <w:p>
      <w:pPr>
        <w:spacing w:after="0" w:line="97" w:lineRule="exact"/>
        <w:rPr>
          <w:rFonts w:ascii="Times New Roman" w:cs="Times New Roman" w:eastAsia="Times New Roman" w:hAnsi="Times New Roman"/>
          <w:sz w:val="14"/>
          <w:szCs w:val="14"/>
          <w:color w:val="auto"/>
        </w:rPr>
      </w:pPr>
    </w:p>
    <w:p>
      <w:pPr>
        <w:ind w:left="2160" w:right="479" w:hanging="322"/>
        <w:spacing w:after="0" w:line="273" w:lineRule="auto"/>
        <w:tabs>
          <w:tab w:leader="none" w:pos="21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 rate, the dates on which the dividends will be payable and other terms relating to the payment of dividends on the preferred stock;</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liquidation preference of the preferred stock;</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voting rights of the preferred stock;</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preferred stock is redeemable or subject to a sinking fund, and the terms of any such redemption or sinking fund;</w:t>
      </w:r>
    </w:p>
    <w:p>
      <w:pPr>
        <w:spacing w:after="0" w:line="11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1"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hanging="322"/>
        <w:spacing w:after="0"/>
        <w:tabs>
          <w:tab w:leader="none" w:pos="21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preferred stock is convertible or exchangeable for any other securities, and the terms of any such conversion; and</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rights, preferences, qualifications, limitations and restrictions of the preferred stock.</w:t>
      </w:r>
    </w:p>
    <w:p>
      <w:pPr>
        <w:spacing w:after="0" w:line="170" w:lineRule="exact"/>
        <w:rPr>
          <w:sz w:val="20"/>
          <w:szCs w:val="20"/>
          <w:color w:val="auto"/>
        </w:rPr>
      </w:pPr>
    </w:p>
    <w:p>
      <w:pPr>
        <w:ind w:left="1420" w:right="539" w:firstLine="337"/>
        <w:spacing w:after="0" w:line="312" w:lineRule="auto"/>
        <w:rPr>
          <w:sz w:val="20"/>
          <w:szCs w:val="20"/>
          <w:color w:val="auto"/>
        </w:rPr>
      </w:pPr>
      <w:r>
        <w:rPr>
          <w:rFonts w:ascii="Times New Roman" w:cs="Times New Roman" w:eastAsia="Times New Roman" w:hAnsi="Times New Roman"/>
          <w:sz w:val="13"/>
          <w:szCs w:val="13"/>
          <w:color w:val="auto"/>
        </w:rPr>
        <w:t>It is not possible to state the actual effect of the issuance of any shares of preferred stock upon the rights of holders of the Company’s common stock until the board of directors determines the specific rights of the holders of the preferred stock. However, these effects might include:</w:t>
      </w:r>
    </w:p>
    <w:p>
      <w:pPr>
        <w:spacing w:after="0" w:line="35" w:lineRule="exact"/>
        <w:rPr>
          <w:sz w:val="20"/>
          <w:szCs w:val="20"/>
          <w:color w:val="auto"/>
        </w:rPr>
      </w:pPr>
    </w:p>
    <w:p>
      <w:pPr>
        <w:ind w:left="2160" w:hanging="322"/>
        <w:spacing w:after="0"/>
        <w:tabs>
          <w:tab w:leader="none" w:pos="21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restricting dividends on the common stock;</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diluting the voting power of the common stock;</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impairing the liquidation rights of the common stock; and</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delaying or preventing a change in control of the Company.</w:t>
      </w:r>
    </w:p>
    <w:p>
      <w:pPr>
        <w:spacing w:after="0" w:line="24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Statutory Provisions</w:t>
      </w:r>
    </w:p>
    <w:p>
      <w:pPr>
        <w:spacing w:after="0" w:line="91" w:lineRule="exact"/>
        <w:rPr>
          <w:sz w:val="20"/>
          <w:szCs w:val="20"/>
          <w:color w:val="auto"/>
        </w:rPr>
      </w:pPr>
    </w:p>
    <w:p>
      <w:pPr>
        <w:ind w:left="1420" w:right="319" w:firstLine="337"/>
        <w:spacing w:after="0" w:line="251" w:lineRule="auto"/>
        <w:rPr>
          <w:sz w:val="20"/>
          <w:szCs w:val="20"/>
          <w:color w:val="auto"/>
        </w:rPr>
      </w:pPr>
      <w:r>
        <w:rPr>
          <w:rFonts w:ascii="Times New Roman" w:cs="Times New Roman" w:eastAsia="Times New Roman" w:hAnsi="Times New Roman"/>
          <w:sz w:val="14"/>
          <w:szCs w:val="14"/>
          <w:color w:val="auto"/>
        </w:rPr>
        <w:t>Section 180.1150 of the Wisconsin Business Corporation Law provides that the voting power of public Wisconsin corporations such as the Company held by any person or persons acting as a group in excess of 20% of the Company’s voting power is limited to 10% of the full voting power of those shares, unless full voting power of those shares has been restored pursuant to a vote of shareholders. Sections 180.1140 to 180.1144 of the Wisconsin Business Corporation Law contain some limitations and special voting provisions applicable to specified business combinations involving Wisconsin corporations such as the Company and a significant shareholder, unless the board of directors of the corporation approves the business combination or the shareholder’s acquisition of shares before these shares are acquired.</w:t>
      </w:r>
    </w:p>
    <w:p>
      <w:pPr>
        <w:spacing w:after="0" w:line="148" w:lineRule="exact"/>
        <w:rPr>
          <w:sz w:val="20"/>
          <w:szCs w:val="20"/>
          <w:color w:val="auto"/>
        </w:rPr>
      </w:pPr>
    </w:p>
    <w:p>
      <w:pPr>
        <w:ind w:left="1420" w:right="499" w:firstLine="337"/>
        <w:spacing w:after="0" w:line="253" w:lineRule="auto"/>
        <w:rPr>
          <w:sz w:val="20"/>
          <w:szCs w:val="20"/>
          <w:color w:val="auto"/>
        </w:rPr>
      </w:pPr>
      <w:r>
        <w:rPr>
          <w:rFonts w:ascii="Times New Roman" w:cs="Times New Roman" w:eastAsia="Times New Roman" w:hAnsi="Times New Roman"/>
          <w:sz w:val="14"/>
          <w:szCs w:val="14"/>
          <w:color w:val="auto"/>
        </w:rPr>
        <w:t>Similarly, Sections 180.1130 to 180.1133 of the Wisconsin Business Corporation Law contain special voting provisions applicable to some business combinations, unless specified minimum price and procedural requirements are met. Following commencement of a takeover offer, Section 180.1134 of the Wisconsin Business Corporation Law imposes special voting requirements on share repurchases effected at a premium to the market and on asset sales by the corporation, unless, as it relates to the potential sale of assets, the corporation has at least three independent directors and a majority of the independent directors vote not to have the provision apply to the corporation.</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1"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DEPOSITARY SHARES</w:t>
      </w:r>
    </w:p>
    <w:p>
      <w:pPr>
        <w:spacing w:after="0" w:line="174" w:lineRule="exact"/>
        <w:rPr>
          <w:sz w:val="20"/>
          <w:szCs w:val="20"/>
          <w:color w:val="auto"/>
        </w:rPr>
      </w:pPr>
    </w:p>
    <w:p>
      <w:pPr>
        <w:ind w:left="1420" w:right="299" w:firstLine="337"/>
        <w:spacing w:after="0" w:line="259" w:lineRule="auto"/>
        <w:rPr>
          <w:sz w:val="20"/>
          <w:szCs w:val="20"/>
          <w:color w:val="auto"/>
        </w:rPr>
      </w:pPr>
      <w:r>
        <w:rPr>
          <w:rFonts w:ascii="Times New Roman" w:cs="Times New Roman" w:eastAsia="Times New Roman" w:hAnsi="Times New Roman"/>
          <w:sz w:val="14"/>
          <w:szCs w:val="14"/>
          <w:color w:val="auto"/>
        </w:rPr>
        <w:t>The Company may, at its option, elect to offer fractional interests in shares of preferred stock rather than a full share of preferred stock. In that event, depositary receipts will be issued for depositary shares, each of which will represent a fraction of a share of a particular class or series of preferred stock, as described in the applicable prospectus supplement.</w:t>
      </w:r>
    </w:p>
    <w:p>
      <w:pPr>
        <w:spacing w:after="0" w:line="141" w:lineRule="exact"/>
        <w:rPr>
          <w:sz w:val="20"/>
          <w:szCs w:val="20"/>
          <w:color w:val="auto"/>
        </w:rPr>
      </w:pPr>
    </w:p>
    <w:p>
      <w:pPr>
        <w:ind w:left="1420" w:right="379" w:firstLine="337"/>
        <w:spacing w:after="0" w:line="251" w:lineRule="auto"/>
        <w:rPr>
          <w:sz w:val="20"/>
          <w:szCs w:val="20"/>
          <w:color w:val="auto"/>
        </w:rPr>
      </w:pPr>
      <w:r>
        <w:rPr>
          <w:rFonts w:ascii="Times New Roman" w:cs="Times New Roman" w:eastAsia="Times New Roman" w:hAnsi="Times New Roman"/>
          <w:sz w:val="14"/>
          <w:szCs w:val="14"/>
          <w:color w:val="auto"/>
        </w:rPr>
        <w:t>Any series of preferred stock represented by depositary shares will be deposited under a deposit agreement between Fiserv, Inc. and the depositary. The prospectus supplement relating to a series of depositary shares will set forth the name and address of the depositary for the depositary shares and summarize the material provisions of the deposit agreement. Subject to the terms of the deposit agreement, each owner of a depositary share will be entitled, in proportion to the applicable fraction of a share of preferred stock represented by such depositary share, to all the rights and preferences of the preferred stock represented by such depositary share, including dividend and liquidation rights and any right to convert or exchange the preferred stock into other securities.</w:t>
      </w:r>
    </w:p>
    <w:p>
      <w:pPr>
        <w:spacing w:after="0" w:line="148" w:lineRule="exact"/>
        <w:rPr>
          <w:sz w:val="20"/>
          <w:szCs w:val="20"/>
          <w:color w:val="auto"/>
        </w:rPr>
      </w:pPr>
    </w:p>
    <w:p>
      <w:pPr>
        <w:ind w:left="1420" w:right="339" w:firstLine="337"/>
        <w:spacing w:after="0" w:line="259" w:lineRule="auto"/>
        <w:rPr>
          <w:sz w:val="20"/>
          <w:szCs w:val="20"/>
          <w:color w:val="auto"/>
        </w:rPr>
      </w:pPr>
      <w:r>
        <w:rPr>
          <w:rFonts w:ascii="Times New Roman" w:cs="Times New Roman" w:eastAsia="Times New Roman" w:hAnsi="Times New Roman"/>
          <w:sz w:val="14"/>
          <w:szCs w:val="14"/>
          <w:color w:val="auto"/>
        </w:rPr>
        <w:t>The Company will describe the particular terms of any depositary shares the Company offers in the applicable prospectus supplement. You should review the documents pursuant to which the depositary shares will be issued, which will be described in more detail in the applicable prospectus supplement.</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1"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74" w:lineRule="exact"/>
        <w:rPr>
          <w:sz w:val="20"/>
          <w:szCs w:val="20"/>
          <w:color w:val="auto"/>
        </w:rPr>
      </w:pPr>
    </w:p>
    <w:p>
      <w:pPr>
        <w:ind w:left="1420" w:right="379" w:firstLine="337"/>
        <w:spacing w:after="0" w:line="251" w:lineRule="auto"/>
        <w:rPr>
          <w:sz w:val="20"/>
          <w:szCs w:val="20"/>
          <w:color w:val="auto"/>
        </w:rPr>
      </w:pPr>
      <w:r>
        <w:rPr>
          <w:rFonts w:ascii="Times New Roman" w:cs="Times New Roman" w:eastAsia="Times New Roman" w:hAnsi="Times New Roman"/>
          <w:sz w:val="14"/>
          <w:szCs w:val="14"/>
          <w:color w:val="auto"/>
        </w:rPr>
        <w:t>The Company may issue warrants for the purchase of debt securities, preferred stock, common stock or other securities. Warrants may be issued independently or together with debt securities, preferred stock or common stock offered by any prospectus supplement and may be attached to or separate from any such offered securities. Each series of warrants will be issued under a separate warrant agreement to be entered into between the Company and a bank or trust company, as warrant agent, all as will be set forth in the prospectus supplement relating to the particular issue of warrants. The warrant agent will act solely as the Company’s agent in connection with the warrants and will not assume any obligation or relationship of agency or trust for or with any holders of warrants or beneficial owners of warrants.</w:t>
      </w:r>
    </w:p>
    <w:p>
      <w:pPr>
        <w:spacing w:after="0" w:line="148" w:lineRule="exact"/>
        <w:rPr>
          <w:sz w:val="20"/>
          <w:szCs w:val="20"/>
          <w:color w:val="auto"/>
        </w:rPr>
      </w:pPr>
    </w:p>
    <w:p>
      <w:pPr>
        <w:ind w:left="1420" w:right="479" w:firstLine="337"/>
        <w:spacing w:after="0" w:line="273" w:lineRule="auto"/>
        <w:rPr>
          <w:sz w:val="20"/>
          <w:szCs w:val="20"/>
          <w:color w:val="auto"/>
        </w:rPr>
      </w:pPr>
      <w:r>
        <w:rPr>
          <w:rFonts w:ascii="Times New Roman" w:cs="Times New Roman" w:eastAsia="Times New Roman" w:hAnsi="Times New Roman"/>
          <w:sz w:val="14"/>
          <w:szCs w:val="14"/>
          <w:color w:val="auto"/>
        </w:rPr>
        <w:t>The following summary of certain provisions of the warrants does not purport to be complete and is subject to, and is qualified in its entirety by reference to, all provisions of the warrant agreements.</w:t>
      </w:r>
    </w:p>
    <w:p>
      <w:pPr>
        <w:spacing w:after="0" w:line="130" w:lineRule="exact"/>
        <w:rPr>
          <w:sz w:val="20"/>
          <w:szCs w:val="20"/>
          <w:color w:val="auto"/>
        </w:rPr>
      </w:pPr>
    </w:p>
    <w:p>
      <w:pPr>
        <w:ind w:left="1420" w:right="359" w:firstLine="337"/>
        <w:spacing w:after="0" w:line="273" w:lineRule="auto"/>
        <w:rPr>
          <w:sz w:val="20"/>
          <w:szCs w:val="20"/>
          <w:color w:val="auto"/>
        </w:rPr>
      </w:pPr>
      <w:r>
        <w:rPr>
          <w:rFonts w:ascii="Times New Roman" w:cs="Times New Roman" w:eastAsia="Times New Roman" w:hAnsi="Times New Roman"/>
          <w:sz w:val="14"/>
          <w:szCs w:val="14"/>
          <w:color w:val="auto"/>
        </w:rPr>
        <w:t>Reference is made to the prospectus supplement relating to the particular issue of warrants offered pursuant to such prospectus supplement for the terms of and information relating to such warrants, including, where applicable:</w:t>
      </w:r>
    </w:p>
    <w:p>
      <w:pPr>
        <w:spacing w:after="0" w:line="58" w:lineRule="exact"/>
        <w:rPr>
          <w:sz w:val="20"/>
          <w:szCs w:val="20"/>
          <w:color w:val="auto"/>
        </w:rPr>
      </w:pPr>
    </w:p>
    <w:p>
      <w:pPr>
        <w:ind w:left="2160" w:right="319" w:hanging="322"/>
        <w:spacing w:after="0" w:line="273" w:lineRule="auto"/>
        <w:tabs>
          <w:tab w:leader="none" w:pos="21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aggregate principal amount, currencies, denominations and terms of the series of debt securities purchasable upon exercise of warrants to purchase debt securities and the price at which such debt securities may be purchased upon such exercise;</w:t>
      </w:r>
    </w:p>
    <w:p>
      <w:pPr>
        <w:spacing w:after="0" w:line="57" w:lineRule="exact"/>
        <w:rPr>
          <w:rFonts w:ascii="Times New Roman" w:cs="Times New Roman" w:eastAsia="Times New Roman" w:hAnsi="Times New Roman"/>
          <w:sz w:val="14"/>
          <w:szCs w:val="14"/>
          <w:color w:val="auto"/>
        </w:rPr>
      </w:pPr>
    </w:p>
    <w:p>
      <w:pPr>
        <w:ind w:left="2160" w:right="459" w:hanging="322"/>
        <w:spacing w:after="0" w:line="273" w:lineRule="auto"/>
        <w:tabs>
          <w:tab w:leader="none" w:pos="21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purchasable upon the exercise of warrants to purchase common stock and the price at which such number of shares of common stock may be purchased upon such exercise;</w:t>
      </w:r>
    </w:p>
    <w:p>
      <w:pPr>
        <w:spacing w:after="0" w:line="57" w:lineRule="exact"/>
        <w:rPr>
          <w:rFonts w:ascii="Times New Roman" w:cs="Times New Roman" w:eastAsia="Times New Roman" w:hAnsi="Times New Roman"/>
          <w:sz w:val="14"/>
          <w:szCs w:val="14"/>
          <w:color w:val="auto"/>
        </w:rPr>
      </w:pPr>
    </w:p>
    <w:p>
      <w:pPr>
        <w:ind w:left="2160" w:right="479" w:hanging="322"/>
        <w:spacing w:after="0" w:line="273" w:lineRule="auto"/>
        <w:tabs>
          <w:tab w:leader="none" w:pos="21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and series of preferred stock purchasable upon the exercise of warrants to purchase preferred stock and the price at which such number of shares of such series of preferred stock may be purchased upon such exercise;</w:t>
      </w:r>
    </w:p>
    <w:p>
      <w:pPr>
        <w:spacing w:after="0" w:line="57" w:lineRule="exact"/>
        <w:rPr>
          <w:rFonts w:ascii="Times New Roman" w:cs="Times New Roman" w:eastAsia="Times New Roman" w:hAnsi="Times New Roman"/>
          <w:sz w:val="14"/>
          <w:szCs w:val="14"/>
          <w:color w:val="auto"/>
        </w:rPr>
      </w:pPr>
    </w:p>
    <w:p>
      <w:pPr>
        <w:ind w:left="2160" w:right="359" w:hanging="322"/>
        <w:spacing w:after="0" w:line="273" w:lineRule="auto"/>
        <w:tabs>
          <w:tab w:leader="none" w:pos="21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number of units of other securities purchasable upon the exercise of warrants to purchase other securities and the price at which such number of units of such other securities may be purchased upon such exercise;</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such warrants will commence and the date on which such right will expire;</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federal income tax consequences applicable to such warrants;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warrants outstanding as of the most recent practicable date; and</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such warrants.</w:t>
      </w:r>
    </w:p>
    <w:p>
      <w:pPr>
        <w:spacing w:after="0" w:line="170" w:lineRule="exact"/>
        <w:rPr>
          <w:sz w:val="20"/>
          <w:szCs w:val="20"/>
          <w:color w:val="auto"/>
        </w:rPr>
      </w:pPr>
    </w:p>
    <w:p>
      <w:pPr>
        <w:ind w:left="1420" w:right="359" w:firstLine="337"/>
        <w:spacing w:after="0" w:line="251" w:lineRule="auto"/>
        <w:rPr>
          <w:sz w:val="20"/>
          <w:szCs w:val="20"/>
          <w:color w:val="auto"/>
        </w:rPr>
      </w:pPr>
      <w:r>
        <w:rPr>
          <w:rFonts w:ascii="Times New Roman" w:cs="Times New Roman" w:eastAsia="Times New Roman" w:hAnsi="Times New Roman"/>
          <w:sz w:val="14"/>
          <w:szCs w:val="14"/>
          <w:color w:val="auto"/>
        </w:rPr>
        <w:t>Warrants will be issued in registered form only. The exercise price for warrants will be subject to adjustment in accordance with provisions described in the applicable prospectus supplement. Each warrant will entitle the holder thereof to purchase such principal amount of debt securities or such number of shares of preferred stock, common stock or other securities at such exercise price as will in each case be set forth in, or calculable from, the prospectus supplement relating to the warrants, which exercise price may be subject to adjustment upon the occurrence of certain events as set forth in such prospectus supplement. After the close of business on the expiration date, or such later date to which such expiration date may be extended by the Company, unexercised warrants will become void. The place or places where, and the manner in which, warrants may be exercised will be specified in the prospectus supplement relating to such warrants.</w:t>
      </w:r>
    </w:p>
    <w:p>
      <w:pPr>
        <w:spacing w:after="0" w:line="145" w:lineRule="exact"/>
        <w:rPr>
          <w:sz w:val="20"/>
          <w:szCs w:val="20"/>
          <w:color w:val="auto"/>
        </w:rPr>
      </w:pPr>
    </w:p>
    <w:p>
      <w:pPr>
        <w:ind w:left="1420" w:right="439" w:firstLine="337"/>
        <w:spacing w:after="0" w:line="259" w:lineRule="auto"/>
        <w:rPr>
          <w:sz w:val="20"/>
          <w:szCs w:val="20"/>
          <w:color w:val="auto"/>
        </w:rPr>
      </w:pPr>
      <w:r>
        <w:rPr>
          <w:rFonts w:ascii="Times New Roman" w:cs="Times New Roman" w:eastAsia="Times New Roman" w:hAnsi="Times New Roman"/>
          <w:sz w:val="14"/>
          <w:szCs w:val="14"/>
          <w:color w:val="auto"/>
        </w:rPr>
        <w:t>Prior to the exercise of any warrants to purchase debt securities, preferred stock, common stock or other securities, holders of such warrants will not have any of the rights of holders of debt securities, preferred stock, common stock or other securities, as the case may be, purchasable upon such exercise, including the right to</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1"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319"/>
        <w:spacing w:after="0" w:line="259" w:lineRule="auto"/>
        <w:rPr>
          <w:sz w:val="20"/>
          <w:szCs w:val="20"/>
          <w:color w:val="auto"/>
        </w:rPr>
      </w:pPr>
      <w:r>
        <w:rPr>
          <w:rFonts w:ascii="Times New Roman" w:cs="Times New Roman" w:eastAsia="Times New Roman" w:hAnsi="Times New Roman"/>
          <w:sz w:val="14"/>
          <w:szCs w:val="14"/>
          <w:color w:val="auto"/>
        </w:rPr>
        <w:t>receive payments of principal of, premium, if any, or interest, if any, on the debt securities purchasable upon such exercise or to enforce covenants in the indenture, or to receive payments of dividends, if any, on the preferred stock, or common stock purchasable upon such exercise, or to exercise any applicable right to vote.</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1"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PURCHASE CONTRACTS</w:t>
      </w:r>
    </w:p>
    <w:p>
      <w:pPr>
        <w:spacing w:after="0" w:line="174" w:lineRule="exact"/>
        <w:rPr>
          <w:sz w:val="20"/>
          <w:szCs w:val="20"/>
          <w:color w:val="auto"/>
        </w:rPr>
      </w:pPr>
    </w:p>
    <w:p>
      <w:pPr>
        <w:ind w:left="1420" w:right="339" w:firstLine="337"/>
        <w:spacing w:after="0" w:line="259" w:lineRule="auto"/>
        <w:rPr>
          <w:sz w:val="20"/>
          <w:szCs w:val="20"/>
          <w:color w:val="auto"/>
        </w:rPr>
      </w:pPr>
      <w:r>
        <w:rPr>
          <w:rFonts w:ascii="Times New Roman" w:cs="Times New Roman" w:eastAsia="Times New Roman" w:hAnsi="Times New Roman"/>
          <w:sz w:val="14"/>
          <w:szCs w:val="14"/>
          <w:color w:val="auto"/>
        </w:rPr>
        <w:t>The Company may issue purchase contracts for the purchase or sale of the Company’s debt securities or the Company’s equity securities or securities of third parties including any of the Company’s affiliates, a basket of such securities, an index or indices of such securities or any combination of the above as specified in the applicable prospectus supplement.</w:t>
      </w:r>
    </w:p>
    <w:p>
      <w:pPr>
        <w:spacing w:after="0" w:line="141" w:lineRule="exact"/>
        <w:rPr>
          <w:sz w:val="20"/>
          <w:szCs w:val="20"/>
          <w:color w:val="auto"/>
        </w:rPr>
      </w:pPr>
    </w:p>
    <w:p>
      <w:pPr>
        <w:ind w:left="1420" w:right="359" w:firstLine="337"/>
        <w:spacing w:after="0" w:line="250" w:lineRule="auto"/>
        <w:rPr>
          <w:sz w:val="20"/>
          <w:szCs w:val="20"/>
          <w:color w:val="auto"/>
        </w:rPr>
      </w:pPr>
      <w:r>
        <w:rPr>
          <w:rFonts w:ascii="Times New Roman" w:cs="Times New Roman" w:eastAsia="Times New Roman" w:hAnsi="Times New Roman"/>
          <w:sz w:val="14"/>
          <w:szCs w:val="14"/>
          <w:color w:val="auto"/>
        </w:rPr>
        <w:t>The Company may issue purchase contracts obligating holders to purchase from the Company, and obligating the Company to sell to holders, at a future date, a specified or varying number of securities at a purchase price, which may be based on a formula. Alternatively, the Company may issue purchase contracts obligating the Company to purchase from holders, and obligating holders to sell to the Company, at a future date, a specified or varying number of securities at a purchase price, which may be based on a formula. The Company may satisfy the Company’s obligations, if any, with respect to any purchase contract by delivering the subject securities or by delivering the cash value of such purchase contract or the cash value of the property otherwise deliverable, as set forth in the applicable prospectus supplement. The applicable prospectus supplement will specify the methods by which the holders may purchase or sell such securities and any acceleration, cancellation or termination provisions or other provisions relating to the settlement of a purchase contract.</w:t>
      </w:r>
    </w:p>
    <w:p>
      <w:pPr>
        <w:spacing w:after="0" w:line="148" w:lineRule="exact"/>
        <w:rPr>
          <w:sz w:val="20"/>
          <w:szCs w:val="20"/>
          <w:color w:val="auto"/>
        </w:rPr>
      </w:pPr>
    </w:p>
    <w:p>
      <w:pPr>
        <w:ind w:left="1420" w:right="359" w:firstLine="337"/>
        <w:spacing w:after="0" w:line="255" w:lineRule="auto"/>
        <w:rPr>
          <w:sz w:val="20"/>
          <w:szCs w:val="20"/>
          <w:color w:val="auto"/>
        </w:rPr>
      </w:pPr>
      <w:r>
        <w:rPr>
          <w:rFonts w:ascii="Times New Roman" w:cs="Times New Roman" w:eastAsia="Times New Roman" w:hAnsi="Times New Roman"/>
          <w:sz w:val="14"/>
          <w:szCs w:val="14"/>
          <w:color w:val="auto"/>
        </w:rPr>
        <w:t>The purchase contracts may require the Company to make periodic payments to the holders thereof or vice versa, and these payments may be unsecured or prefunded and may be paid on a current or deferred basis. The purchase contracts may require holders thereof to secure their obligations under the contracts in a specified manner to be described in the applicable prospectus supplement. Alternatively, purchase contracts may require holders to satisfy their obligations thereunder when the purchase contracts are issued as described in the applicable prospectus supplement.</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1"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74" w:lineRule="exact"/>
        <w:rPr>
          <w:sz w:val="20"/>
          <w:szCs w:val="20"/>
          <w:color w:val="auto"/>
        </w:rPr>
      </w:pPr>
    </w:p>
    <w:p>
      <w:pPr>
        <w:ind w:left="1420" w:right="299" w:firstLine="337"/>
        <w:spacing w:after="0" w:line="253" w:lineRule="auto"/>
        <w:rPr>
          <w:sz w:val="20"/>
          <w:szCs w:val="20"/>
          <w:color w:val="auto"/>
        </w:rPr>
      </w:pPr>
      <w:r>
        <w:rPr>
          <w:rFonts w:ascii="Times New Roman" w:cs="Times New Roman" w:eastAsia="Times New Roman" w:hAnsi="Times New Roman"/>
          <w:sz w:val="14"/>
          <w:szCs w:val="14"/>
          <w:color w:val="auto"/>
        </w:rPr>
        <w:t>The Company may issue units comprised of one or more of the other securities described in this prospectus in any combination. Each unit may also include debt obligations or other securities of third parties not affiliated with us, such as U.S. Treasury securities. Each unit will be issued so that the holder of the unit is also the holder of each security included in the unit. Thus, the holder of a unit will have the rights and obligations of a holder of each included security. The applicable unit agreement under which a unit is issued may provide that the securities included in the unit may not be held or transferred separately, at any time or any time before a specified date.</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The applicable prospectus supplement will describe the terms of the units offered pursuant to it, including one or more of the following:</w:t>
      </w:r>
    </w:p>
    <w:p>
      <w:pPr>
        <w:spacing w:after="0" w:line="98" w:lineRule="exact"/>
        <w:rPr>
          <w:sz w:val="20"/>
          <w:szCs w:val="20"/>
          <w:color w:val="auto"/>
        </w:rPr>
      </w:pPr>
    </w:p>
    <w:p>
      <w:pPr>
        <w:ind w:left="2160" w:right="539" w:hanging="322"/>
        <w:spacing w:after="0" w:line="273" w:lineRule="auto"/>
        <w:tabs>
          <w:tab w:leader="none" w:pos="21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units and of the securities comprising the units, including whether and under what circumstances those securities may be held or transferred separately;</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the issuance, payment, settlement, transfer or exchange of the units or of the securities comprising the units;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agreements governing the units;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federal income tax considerations relevant to the units; and</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units will be issued in fully registered or global form.</w:t>
      </w:r>
    </w:p>
    <w:p>
      <w:pPr>
        <w:spacing w:after="0" w:line="170" w:lineRule="exact"/>
        <w:rPr>
          <w:sz w:val="20"/>
          <w:szCs w:val="20"/>
          <w:color w:val="auto"/>
        </w:rPr>
      </w:pPr>
    </w:p>
    <w:p>
      <w:pPr>
        <w:ind w:left="1420" w:right="439" w:firstLine="337"/>
        <w:spacing w:after="0" w:line="273" w:lineRule="auto"/>
        <w:rPr>
          <w:sz w:val="20"/>
          <w:szCs w:val="20"/>
          <w:color w:val="auto"/>
        </w:rPr>
      </w:pPr>
      <w:r>
        <w:rPr>
          <w:rFonts w:ascii="Times New Roman" w:cs="Times New Roman" w:eastAsia="Times New Roman" w:hAnsi="Times New Roman"/>
          <w:sz w:val="14"/>
          <w:szCs w:val="14"/>
          <w:color w:val="auto"/>
        </w:rPr>
        <w:t>The preceding description and any description of units in the applicable prospectus supplement does not purport to be complete and is subject to and is qualified in its entirety by reference to each unit agreement and, if applicable, collateral arrangements relating to such units.</w:t>
      </w:r>
    </w:p>
    <w:p>
      <w:pPr>
        <w:spacing w:after="0" w:line="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1"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SELLING SHAREHOLDERS</w:t>
      </w:r>
    </w:p>
    <w:p>
      <w:pPr>
        <w:spacing w:after="0" w:line="174" w:lineRule="exact"/>
        <w:rPr>
          <w:sz w:val="20"/>
          <w:szCs w:val="20"/>
          <w:color w:val="auto"/>
        </w:rPr>
      </w:pPr>
    </w:p>
    <w:p>
      <w:pPr>
        <w:ind w:left="1420" w:right="399" w:firstLine="337"/>
        <w:spacing w:after="0" w:line="249" w:lineRule="auto"/>
        <w:rPr>
          <w:sz w:val="20"/>
          <w:szCs w:val="20"/>
          <w:color w:val="auto"/>
        </w:rPr>
      </w:pPr>
      <w:r>
        <w:rPr>
          <w:rFonts w:ascii="Times New Roman" w:cs="Times New Roman" w:eastAsia="Times New Roman" w:hAnsi="Times New Roman"/>
          <w:sz w:val="14"/>
          <w:szCs w:val="14"/>
          <w:color w:val="auto"/>
        </w:rPr>
        <w:t>The Company may register shares of common stock covered by this prospectus for re-offers and resales by any selling shareholders to be named in a prospectus supplement. Because the Company is a well-known seasoned issuer, as defined in Rule 405 of the Securities Act of 1933, as amended (the “Securities Act”), the Company may add secondary sales of shares of the Company’s common stock by any selling shareholders by filing a prospectus supplement with the SEC. The Company may register these shares to permit selling shareholders to resell their shares when they deem appropriate. A selling shareholder may resell all, a portion or none of such shareholder’s shares at any time and from time to time. Selling shareholders may also sell, transfer or otherwise dispose of some or all of their shares of the Company’s common stock in transactions exempt from the registration requirements of the Securities Act. The Company does not know when or in what amounts the selling shareholders may offer shares for sale under this prospectus and any prospectus supplement. The Company will not receive any proceeds from any sale of shares by a selling shareholder under this prospectus and any prospectus supplement. The Company may pay all expenses incurred with respect to the registration of the shares of common stock owned by the selling shareholders, other than underwriting fees, discounts or commissions, which will be borne by the selling shareholders. The Company will provide you with a prospectus supplement naming the selling shareholders, the amount of shares to be registered and sold and any other terms of the shares of common stock being sold by each selling shareholder.</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1"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4" w:lineRule="exact"/>
        <w:rPr>
          <w:sz w:val="20"/>
          <w:szCs w:val="20"/>
          <w:color w:val="auto"/>
        </w:rPr>
      </w:pPr>
    </w:p>
    <w:p>
      <w:pPr>
        <w:ind w:left="1420" w:right="319" w:firstLine="337"/>
        <w:spacing w:after="0" w:line="250" w:lineRule="auto"/>
        <w:rPr>
          <w:sz w:val="20"/>
          <w:szCs w:val="20"/>
          <w:color w:val="auto"/>
        </w:rPr>
      </w:pPr>
      <w:r>
        <w:rPr>
          <w:rFonts w:ascii="Times New Roman" w:cs="Times New Roman" w:eastAsia="Times New Roman" w:hAnsi="Times New Roman"/>
          <w:sz w:val="14"/>
          <w:szCs w:val="14"/>
          <w:color w:val="auto"/>
        </w:rPr>
        <w:t>Each of the Company and Fiserv Funding may sell its securities, and any selling shareholder may sell shares of the Company’s common stock, in any one or more of the following ways from time to time: (i) through agents; (ii) to or through underwriters; (iii) through brokers or dealers; (iv) directly by us or any selling shareholders to purchasers, including through a specific bidding, auction or other process; or (v) through a combination of any of these methods of sale. The applicable prospectus supplement will contain the terms of the transaction, name or names of any underwriters, dealers, agents and the respective amounts of securities underwritten or purchased by them, the initial public offering price of the securities, and the applicable agent’s commission, dealer’s purchase price or underwriter’s discount. Any selling shareholders, dealers and agents participating in the distribution of the securities may be deemed to be underwriters, and compensation received by them on resale of the securities may be deemed to be underwriting discounts. Additionally, because selling shareholders may be deemed to be “underwriters” within the meaning of Section 2(11) of the Securities Act, selling shareholders may be subject to the prospectus delivery requirements of the Securities Act.</w:t>
      </w:r>
    </w:p>
    <w:p>
      <w:pPr>
        <w:spacing w:after="0" w:line="14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Any initial offering price, dealer purchase price, discount or commission may be changed from time to time.</w:t>
      </w:r>
    </w:p>
    <w:p>
      <w:pPr>
        <w:spacing w:after="0" w:line="170" w:lineRule="exact"/>
        <w:rPr>
          <w:sz w:val="20"/>
          <w:szCs w:val="20"/>
          <w:color w:val="auto"/>
        </w:rPr>
      </w:pPr>
    </w:p>
    <w:p>
      <w:pPr>
        <w:ind w:left="1420" w:right="319" w:firstLine="337"/>
        <w:spacing w:after="0" w:line="259" w:lineRule="auto"/>
        <w:rPr>
          <w:sz w:val="20"/>
          <w:szCs w:val="20"/>
          <w:color w:val="auto"/>
        </w:rPr>
      </w:pPr>
      <w:r>
        <w:rPr>
          <w:rFonts w:ascii="Times New Roman" w:cs="Times New Roman" w:eastAsia="Times New Roman" w:hAnsi="Times New Roman"/>
          <w:sz w:val="14"/>
          <w:szCs w:val="14"/>
          <w:color w:val="auto"/>
        </w:rPr>
        <w:t>The securities may be distributed from time to time in one or more transactions, at negotiated prices, at a fixed price or fixed prices (that may be subject to change), at market prices prevailing at the time of sale, at various prices determined at the time of sale or at prices related to prevailing market prices.</w:t>
      </w:r>
    </w:p>
    <w:p>
      <w:pPr>
        <w:spacing w:after="0" w:line="141" w:lineRule="exact"/>
        <w:rPr>
          <w:sz w:val="20"/>
          <w:szCs w:val="20"/>
          <w:color w:val="auto"/>
        </w:rPr>
      </w:pPr>
    </w:p>
    <w:p>
      <w:pPr>
        <w:ind w:left="1420" w:right="379" w:firstLine="337"/>
        <w:spacing w:after="0" w:line="273" w:lineRule="auto"/>
        <w:rPr>
          <w:sz w:val="20"/>
          <w:szCs w:val="20"/>
          <w:color w:val="auto"/>
        </w:rPr>
      </w:pPr>
      <w:r>
        <w:rPr>
          <w:rFonts w:ascii="Times New Roman" w:cs="Times New Roman" w:eastAsia="Times New Roman" w:hAnsi="Times New Roman"/>
          <w:sz w:val="14"/>
          <w:szCs w:val="14"/>
          <w:color w:val="auto"/>
        </w:rPr>
        <w:t>Offers to purchase securities may be solicited directly by us or any selling shareholder or by agents designated by us from time to time. Any such agent may be deemed to be an underwriter, as that term is defined in the Securities Act, of the securities so offered and sold.</w:t>
      </w:r>
    </w:p>
    <w:p>
      <w:pPr>
        <w:spacing w:after="0" w:line="130" w:lineRule="exact"/>
        <w:rPr>
          <w:sz w:val="20"/>
          <w:szCs w:val="20"/>
          <w:color w:val="auto"/>
        </w:rPr>
      </w:pPr>
    </w:p>
    <w:p>
      <w:pPr>
        <w:ind w:left="1420" w:right="319" w:firstLine="337"/>
        <w:spacing w:after="0" w:line="251" w:lineRule="auto"/>
        <w:rPr>
          <w:sz w:val="20"/>
          <w:szCs w:val="20"/>
          <w:color w:val="auto"/>
        </w:rPr>
      </w:pPr>
      <w:r>
        <w:rPr>
          <w:rFonts w:ascii="Times New Roman" w:cs="Times New Roman" w:eastAsia="Times New Roman" w:hAnsi="Times New Roman"/>
          <w:sz w:val="14"/>
          <w:szCs w:val="14"/>
          <w:color w:val="auto"/>
        </w:rPr>
        <w:t>If underwriters are utilized in the sale of any securities in respect of which this prospectus is being delivered, such securities will be acquired by the underwriters for their own account and may be resold from time to time in one or more transactions, including negotiated transactions, at fixed public offering prices or at varying prices determined by the underwriters at the time of sale. Securities may be offered to the public either through underwriting syndicates represented by managing underwriters or directly by one or more underwriters. If any underwriter or underwriters are utilized in the sale of securities, unless otherwise indicated in the applicable prospectus supplement, the obligations of the underwriters are subject to certain conditions precedent, and the underwriters will be obligated to purchase all such securities if they purchase any of them.</w:t>
      </w:r>
    </w:p>
    <w:p>
      <w:pPr>
        <w:spacing w:after="0" w:line="148" w:lineRule="exact"/>
        <w:rPr>
          <w:sz w:val="20"/>
          <w:szCs w:val="20"/>
          <w:color w:val="auto"/>
        </w:rPr>
      </w:pPr>
    </w:p>
    <w:p>
      <w:pPr>
        <w:ind w:left="1420" w:right="299" w:firstLine="337"/>
        <w:spacing w:after="0" w:line="251" w:lineRule="auto"/>
        <w:rPr>
          <w:sz w:val="20"/>
          <w:szCs w:val="20"/>
          <w:color w:val="auto"/>
        </w:rPr>
      </w:pPr>
      <w:r>
        <w:rPr>
          <w:rFonts w:ascii="Times New Roman" w:cs="Times New Roman" w:eastAsia="Times New Roman" w:hAnsi="Times New Roman"/>
          <w:sz w:val="14"/>
          <w:szCs w:val="14"/>
          <w:color w:val="auto"/>
        </w:rPr>
        <w:t>If a dealer is utilized in the sale of the securities in respect of which this prospectus is delivered, the Company or Fiserv Funding, as applicable, will sell such securities, and any selling shareholder will sell shares of the Company’s common stock to the dealer, as principal. The dealer may then resell such securities to the public at varying prices to be determined by such dealer at the time of resale. Transactions through brokers or dealers may include block trades in which brokers or dealers will attempt to sell shares as agent but may position and resell as principal to facilitate the transaction or in cross trades, in which the same broker or dealer acts as agent on both sides of the trade. Any such dealer may be deemed to be an underwriter, as such term is defined in the Securities Act, of the securities so offered and sold. In addition, any selling shareholder may sell shares of the Company’s common stock in ordinary brokerage transactions or in transactions in which a broker solicits purchases.</w:t>
      </w:r>
    </w:p>
    <w:p>
      <w:pPr>
        <w:spacing w:after="0" w:line="145" w:lineRule="exact"/>
        <w:rPr>
          <w:sz w:val="20"/>
          <w:szCs w:val="20"/>
          <w:color w:val="auto"/>
        </w:rPr>
      </w:pPr>
    </w:p>
    <w:p>
      <w:pPr>
        <w:ind w:left="1420" w:right="459" w:firstLine="337"/>
        <w:spacing w:after="0" w:line="259" w:lineRule="auto"/>
        <w:rPr>
          <w:sz w:val="20"/>
          <w:szCs w:val="20"/>
          <w:color w:val="auto"/>
        </w:rPr>
      </w:pPr>
      <w:r>
        <w:rPr>
          <w:rFonts w:ascii="Times New Roman" w:cs="Times New Roman" w:eastAsia="Times New Roman" w:hAnsi="Times New Roman"/>
          <w:sz w:val="14"/>
          <w:szCs w:val="14"/>
          <w:color w:val="auto"/>
        </w:rPr>
        <w:t>Offers to purchase securities may be solicited directly by the Company or Fiserv Funding or by any selling shareholder and the sale thereof may be made by the Company or Fiserv Funding or by any selling shareholder directly to institutional investors or others, who may be deemed to be underwriters within the meaning of the Securities Act with respect to any resale thereof.</w:t>
      </w:r>
    </w:p>
    <w:p>
      <w:pPr>
        <w:spacing w:after="0" w:line="141" w:lineRule="exact"/>
        <w:rPr>
          <w:sz w:val="20"/>
          <w:szCs w:val="20"/>
          <w:color w:val="auto"/>
        </w:rPr>
      </w:pPr>
    </w:p>
    <w:p>
      <w:pPr>
        <w:ind w:left="1420" w:right="859" w:firstLine="337"/>
        <w:spacing w:after="0" w:line="273" w:lineRule="auto"/>
        <w:rPr>
          <w:sz w:val="20"/>
          <w:szCs w:val="20"/>
          <w:color w:val="auto"/>
        </w:rPr>
      </w:pPr>
      <w:r>
        <w:rPr>
          <w:rFonts w:ascii="Times New Roman" w:cs="Times New Roman" w:eastAsia="Times New Roman" w:hAnsi="Times New Roman"/>
          <w:sz w:val="14"/>
          <w:szCs w:val="14"/>
          <w:color w:val="auto"/>
        </w:rPr>
        <w:t>Any selling shareholders may also resell all or a portion of their shares of the Company’s common stock in transactions exempt from the registration requirements of the Securities Act in reliance upon Rule 144 under the</w:t>
      </w:r>
    </w:p>
    <w:p>
      <w:pPr>
        <w:spacing w:after="0" w:line="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1"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779"/>
        <w:spacing w:after="0" w:line="273" w:lineRule="auto"/>
        <w:rPr>
          <w:sz w:val="20"/>
          <w:szCs w:val="20"/>
          <w:color w:val="auto"/>
        </w:rPr>
      </w:pPr>
      <w:r>
        <w:rPr>
          <w:rFonts w:ascii="Times New Roman" w:cs="Times New Roman" w:eastAsia="Times New Roman" w:hAnsi="Times New Roman"/>
          <w:sz w:val="14"/>
          <w:szCs w:val="14"/>
          <w:color w:val="auto"/>
        </w:rPr>
        <w:t>Securities Act provided they meet the criteria and conform to the requirements of that rule, Section 4(1) of the Securities Act or other applicable exemptions, regardless of whether the securities are covered by the registration statement of which this prospectus forms a part.</w:t>
      </w:r>
    </w:p>
    <w:p>
      <w:pPr>
        <w:spacing w:after="0" w:line="130" w:lineRule="exact"/>
        <w:rPr>
          <w:sz w:val="20"/>
          <w:szCs w:val="20"/>
          <w:color w:val="auto"/>
        </w:rPr>
      </w:pPr>
    </w:p>
    <w:p>
      <w:pPr>
        <w:ind w:left="1420" w:right="339" w:firstLine="337"/>
        <w:spacing w:after="0" w:line="255" w:lineRule="auto"/>
        <w:rPr>
          <w:sz w:val="20"/>
          <w:szCs w:val="20"/>
          <w:color w:val="auto"/>
        </w:rPr>
      </w:pPr>
      <w:r>
        <w:rPr>
          <w:rFonts w:ascii="Times New Roman" w:cs="Times New Roman" w:eastAsia="Times New Roman" w:hAnsi="Times New Roman"/>
          <w:sz w:val="14"/>
          <w:szCs w:val="14"/>
          <w:color w:val="auto"/>
        </w:rPr>
        <w:t>If so indicated in the applicable prospectus supplement, we or any selling shareholder may authorize agents and underwriters to solicit offers by certain institutions to purchase securities from us or any selling shareholder at the public offering price set forth in the applicable prospectus supplement pursuant to delayed delivery contracts providing for payment and delivery on the date or dates stated in the applicable prospectus supplement. Such delayed delivery contracts will be subject only to those conditions set forth in the applicable prospectus supplement.</w:t>
      </w:r>
    </w:p>
    <w:p>
      <w:pPr>
        <w:spacing w:after="0" w:line="143" w:lineRule="exact"/>
        <w:rPr>
          <w:sz w:val="20"/>
          <w:szCs w:val="20"/>
          <w:color w:val="auto"/>
        </w:rPr>
      </w:pPr>
    </w:p>
    <w:p>
      <w:pPr>
        <w:ind w:left="1420" w:right="299" w:firstLine="337"/>
        <w:spacing w:after="0" w:line="277" w:lineRule="auto"/>
        <w:rPr>
          <w:sz w:val="20"/>
          <w:szCs w:val="20"/>
          <w:color w:val="auto"/>
        </w:rPr>
      </w:pPr>
      <w:r>
        <w:rPr>
          <w:rFonts w:ascii="Times New Roman" w:cs="Times New Roman" w:eastAsia="Times New Roman" w:hAnsi="Times New Roman"/>
          <w:sz w:val="13"/>
          <w:szCs w:val="13"/>
          <w:color w:val="auto"/>
        </w:rPr>
        <w:t>Agents, underwriters and dealers may be entitled under relevant agreements with the Company or Fiserv Funding or any selling shareholder to indemnification by us against certain liabilities, including liabilities under the Securities Act, or to contribution with respect to payments which such agents, underwriters and dealers may be required to make in respect thereof. The terms and conditions of any indemnification or contribution will be described in the applicable prospectus supplement. The Company may pay all expenses incurred with respect to the registration of the shares of common stock owned by any selling shareholders, other than underwriting fees, discounts or commissions, which will be borne by the selling shareholders.</w:t>
      </w:r>
    </w:p>
    <w:p>
      <w:pPr>
        <w:spacing w:after="0" w:line="130" w:lineRule="exact"/>
        <w:rPr>
          <w:sz w:val="20"/>
          <w:szCs w:val="20"/>
          <w:color w:val="auto"/>
        </w:rPr>
      </w:pPr>
    </w:p>
    <w:p>
      <w:pPr>
        <w:ind w:left="1420" w:right="919" w:firstLine="337"/>
        <w:spacing w:after="0" w:line="273" w:lineRule="auto"/>
        <w:rPr>
          <w:sz w:val="20"/>
          <w:szCs w:val="20"/>
          <w:color w:val="auto"/>
        </w:rPr>
      </w:pPr>
      <w:r>
        <w:rPr>
          <w:rFonts w:ascii="Times New Roman" w:cs="Times New Roman" w:eastAsia="Times New Roman" w:hAnsi="Times New Roman"/>
          <w:sz w:val="14"/>
          <w:szCs w:val="14"/>
          <w:color w:val="auto"/>
        </w:rPr>
        <w:t>The Company or any selling shareholder may also sell shares of the Company’s common stock through various arrangements involving mandatorily or optionally exchangeable securities, and this prospectus may be delivered in connection with those sales.</w:t>
      </w:r>
    </w:p>
    <w:p>
      <w:pPr>
        <w:spacing w:after="0" w:line="130" w:lineRule="exact"/>
        <w:rPr>
          <w:sz w:val="20"/>
          <w:szCs w:val="20"/>
          <w:color w:val="auto"/>
        </w:rPr>
      </w:pPr>
    </w:p>
    <w:p>
      <w:pPr>
        <w:ind w:left="1420" w:right="319" w:firstLine="337"/>
        <w:spacing w:after="0" w:line="250" w:lineRule="auto"/>
        <w:rPr>
          <w:sz w:val="20"/>
          <w:szCs w:val="20"/>
          <w:color w:val="auto"/>
        </w:rPr>
      </w:pPr>
      <w:r>
        <w:rPr>
          <w:rFonts w:ascii="Times New Roman" w:cs="Times New Roman" w:eastAsia="Times New Roman" w:hAnsi="Times New Roman"/>
          <w:sz w:val="14"/>
          <w:szCs w:val="14"/>
          <w:color w:val="auto"/>
        </w:rPr>
        <w:t>The Company, Fiserv Funding or any selling shareholder may enter into derivative, sale or forward sale transactions with third parties, or sell securities not covered by this prospectus to third parties in privately negotiated transactions. If the applicable prospectus supplement indicates, in connection with those transactions, the third parties may sell securities covered by this prospectus and the applicable prospectus supplement, including in short sale transactions and by issuing securities not covered by this prospectus but convertible into, or exchangeable for or representing beneficial interests in such securities covered by this prospectus, or the return of which is derived in whole or in part from the value of such securities. The third parties may use securities received under derivative, sale or forward sale transactions, or securities pledged by us or any selling shareholder or borrowed from us, any selling shareholder or others to settle those sales or to close out any related open borrowings of stock, and may use securities received from us or any selling shareholder in settlement of those transactions to close out any related open borrowings of stock. The third party in such sale transactions will be an underwriter and will be identified in the applicable prospectus supplement (or a post-effective amendment).</w:t>
      </w:r>
    </w:p>
    <w:p>
      <w:pPr>
        <w:spacing w:after="0" w:line="145" w:lineRule="exact"/>
        <w:rPr>
          <w:sz w:val="20"/>
          <w:szCs w:val="20"/>
          <w:color w:val="auto"/>
        </w:rPr>
      </w:pPr>
    </w:p>
    <w:p>
      <w:pPr>
        <w:ind w:left="1420" w:right="319" w:firstLine="337"/>
        <w:spacing w:after="0" w:line="273" w:lineRule="auto"/>
        <w:rPr>
          <w:sz w:val="20"/>
          <w:szCs w:val="20"/>
          <w:color w:val="auto"/>
        </w:rPr>
      </w:pPr>
      <w:r>
        <w:rPr>
          <w:rFonts w:ascii="Times New Roman" w:cs="Times New Roman" w:eastAsia="Times New Roman" w:hAnsi="Times New Roman"/>
          <w:sz w:val="13"/>
          <w:szCs w:val="13"/>
          <w:color w:val="auto"/>
        </w:rPr>
        <w:t>Additionally, any selling shareholder may engage in hedging transactions with broker-dealers in connection with distributions of shares or otherwise. In those transactions, broker-dealers may engage in short sales of shares in the course of hedging the positions they assume with such selling shareholder. Any selling shareholder also may sell shares short and redeliver shares to close out such short positions. Any selling shareholder may also enter into option or other transactions with broker-dealers which require the delivery of shares to the broker-dealer. The broker-dealer may then resell or otherwise transfer such shares pursuant to this prospectus. Any selling shareholder also may loan or pledge shares, and the borrower or pledgee may sell or otherwise transfer the shares so loaned or pledged pursuant to this prospectus. Such borrower or pledgee also may transfer those shares to investors in our securities or the selling shareholder’s securities or in connection with the offering of other securities not covered by this prospectus.</w:t>
      </w:r>
    </w:p>
    <w:p>
      <w:pPr>
        <w:spacing w:after="0" w:line="133" w:lineRule="exact"/>
        <w:rPr>
          <w:sz w:val="20"/>
          <w:szCs w:val="20"/>
          <w:color w:val="auto"/>
        </w:rPr>
      </w:pPr>
    </w:p>
    <w:p>
      <w:pPr>
        <w:ind w:left="1420" w:right="539" w:firstLine="337"/>
        <w:spacing w:after="0" w:line="255" w:lineRule="auto"/>
        <w:rPr>
          <w:sz w:val="20"/>
          <w:szCs w:val="20"/>
          <w:color w:val="auto"/>
        </w:rPr>
      </w:pPr>
      <w:r>
        <w:rPr>
          <w:rFonts w:ascii="Times New Roman" w:cs="Times New Roman" w:eastAsia="Times New Roman" w:hAnsi="Times New Roman"/>
          <w:sz w:val="14"/>
          <w:szCs w:val="14"/>
          <w:color w:val="auto"/>
        </w:rPr>
        <w:t>Underwriters, broker-dealers or agents may receive compensation in the form of commissions, discounts or concessions from us or any selling shareholder. Underwriters, broker-dealers or agents may also receive compensation from the purchasers of shares for whom they act as agents or to whom they sell as principals, or both. Compensation as to a particular underwriter, broker-dealer or agent will be in amounts to be negotiated in connection with transactions involving shares and might be in excess of customary commissions. In effecting</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1"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sales, broker-dealers engaged by us or any selling shareholder may arrange for other broker-dealers to participate in the resales.</w:t>
      </w:r>
    </w:p>
    <w:p>
      <w:pPr>
        <w:spacing w:after="0" w:line="170" w:lineRule="exact"/>
        <w:rPr>
          <w:sz w:val="20"/>
          <w:szCs w:val="20"/>
          <w:color w:val="auto"/>
        </w:rPr>
      </w:pPr>
    </w:p>
    <w:p>
      <w:pPr>
        <w:ind w:left="1420" w:right="319" w:firstLine="337"/>
        <w:spacing w:after="0" w:line="255" w:lineRule="auto"/>
        <w:rPr>
          <w:sz w:val="20"/>
          <w:szCs w:val="20"/>
          <w:color w:val="auto"/>
        </w:rPr>
      </w:pPr>
      <w:r>
        <w:rPr>
          <w:rFonts w:ascii="Times New Roman" w:cs="Times New Roman" w:eastAsia="Times New Roman" w:hAnsi="Times New Roman"/>
          <w:sz w:val="14"/>
          <w:szCs w:val="14"/>
          <w:color w:val="auto"/>
        </w:rPr>
        <w:t>Any securities offered other than common stock will be a new issue and, other than the common stock, which is listed on the New York Stock Exchange, will have no established trading market. We may elect to list any series of securities on an exchange, and in the case of the common stock, on any additional exchange, but, unless otherwise specified in the applicable prospectus supplement, we shall not be obligated to do so. No assurance can be given as to the liquidity of the trading market for any of the securities.</w:t>
      </w:r>
    </w:p>
    <w:p>
      <w:pPr>
        <w:spacing w:after="0" w:line="143" w:lineRule="exact"/>
        <w:rPr>
          <w:sz w:val="20"/>
          <w:szCs w:val="20"/>
          <w:color w:val="auto"/>
        </w:rPr>
      </w:pPr>
    </w:p>
    <w:p>
      <w:pPr>
        <w:ind w:left="1420" w:right="779" w:firstLine="337"/>
        <w:spacing w:after="0" w:line="273" w:lineRule="auto"/>
        <w:rPr>
          <w:sz w:val="20"/>
          <w:szCs w:val="20"/>
          <w:color w:val="auto"/>
        </w:rPr>
      </w:pPr>
      <w:r>
        <w:rPr>
          <w:rFonts w:ascii="Times New Roman" w:cs="Times New Roman" w:eastAsia="Times New Roman" w:hAnsi="Times New Roman"/>
          <w:sz w:val="14"/>
          <w:szCs w:val="14"/>
          <w:color w:val="auto"/>
        </w:rPr>
        <w:t>Agents, underwriters and dealers may engage in transactions with, or perform services for, the Company, its subsidiaries (including Fiserv Funding), or any selling shareholder in the ordinary course of business.</w:t>
      </w:r>
    </w:p>
    <w:p>
      <w:pPr>
        <w:spacing w:after="0" w:line="130" w:lineRule="exact"/>
        <w:rPr>
          <w:sz w:val="20"/>
          <w:szCs w:val="20"/>
          <w:color w:val="auto"/>
        </w:rPr>
      </w:pPr>
    </w:p>
    <w:p>
      <w:pPr>
        <w:ind w:left="1420" w:right="299" w:firstLine="337"/>
        <w:spacing w:after="0" w:line="250" w:lineRule="auto"/>
        <w:rPr>
          <w:sz w:val="20"/>
          <w:szCs w:val="20"/>
          <w:color w:val="auto"/>
        </w:rPr>
      </w:pPr>
      <w:r>
        <w:rPr>
          <w:rFonts w:ascii="Times New Roman" w:cs="Times New Roman" w:eastAsia="Times New Roman" w:hAnsi="Times New Roman"/>
          <w:sz w:val="14"/>
          <w:szCs w:val="14"/>
          <w:color w:val="auto"/>
        </w:rPr>
        <w:t>Any underwriter may engage in overallotment, stabilizing transactions, short covering transactions and penalty bids in accordance with Regulation M under the Securities Exchange Act of 1934, as amended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 activities at any time. An underwriter may carry out these transactions on the New York Stock Exchange, in the over-the-counter market or otherwise.</w:t>
      </w:r>
    </w:p>
    <w:p>
      <w:pPr>
        <w:spacing w:after="0" w:line="14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The place and time of delivery for securities will be set forth in the accompanying prospectus supplement for such securities.</w:t>
      </w:r>
    </w:p>
    <w:p>
      <w:pPr>
        <w:spacing w:after="0" w:line="11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1"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4" w:lineRule="exact"/>
        <w:rPr>
          <w:sz w:val="20"/>
          <w:szCs w:val="20"/>
          <w:color w:val="auto"/>
        </w:rPr>
      </w:pPr>
    </w:p>
    <w:p>
      <w:pPr>
        <w:ind w:left="1420" w:right="319" w:firstLine="337"/>
        <w:spacing w:after="0" w:line="255"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We also filed a registration statement on Form S-3, including exhibits, under the Securities Act with respect to the securities offered by this prospectus. This prospectus is a part of the registration statement, but does not contain all of the information included in the registration statement or the exhibits. The SEC maintains a website, www.sec.gov, that contains reports, proxy and information statements and other information regarding issuers that file electronically with the SEC.</w:t>
      </w:r>
    </w:p>
    <w:p>
      <w:pPr>
        <w:spacing w:after="0" w:line="14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We are “incorporating by reference” specified documents that we file with the SEC, which means:</w:t>
      </w:r>
    </w:p>
    <w:p>
      <w:pPr>
        <w:spacing w:after="0" w:line="98" w:lineRule="exact"/>
        <w:rPr>
          <w:sz w:val="20"/>
          <w:szCs w:val="20"/>
          <w:color w:val="auto"/>
        </w:rPr>
      </w:pPr>
    </w:p>
    <w:p>
      <w:pPr>
        <w:ind w:left="2160" w:hanging="322"/>
        <w:spacing w:after="0"/>
        <w:tabs>
          <w:tab w:leader="none" w:pos="21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documents are considered part of this prospectus;</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disclosing important information to you by referring you to those documents; and</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we file with the SEC will automatically update and supersede information contained in this prospectus.</w:t>
      </w:r>
    </w:p>
    <w:p>
      <w:pPr>
        <w:spacing w:after="0" w:line="170" w:lineRule="exact"/>
        <w:rPr>
          <w:sz w:val="20"/>
          <w:szCs w:val="20"/>
          <w:color w:val="auto"/>
        </w:rPr>
      </w:pPr>
    </w:p>
    <w:p>
      <w:pPr>
        <w:ind w:left="1420" w:right="399" w:firstLine="337"/>
        <w:spacing w:after="0" w:line="273" w:lineRule="auto"/>
        <w:rPr>
          <w:sz w:val="20"/>
          <w:szCs w:val="20"/>
          <w:color w:val="auto"/>
        </w:rPr>
      </w:pPr>
      <w:r>
        <w:rPr>
          <w:rFonts w:ascii="Times New Roman" w:cs="Times New Roman" w:eastAsia="Times New Roman" w:hAnsi="Times New Roman"/>
          <w:sz w:val="14"/>
          <w:szCs w:val="14"/>
          <w:color w:val="auto"/>
        </w:rPr>
        <w:t>We incorporate by reference the documents listed below and any future filings we make with the SEC under Sections 13(a), 13(c), 14 or 15(d) of the Exchange Act after the date of this prospectus and before the end of the offering of the securities pursuant to this prospectus:</w:t>
      </w:r>
    </w:p>
    <w:p>
      <w:pPr>
        <w:spacing w:after="0" w:line="58" w:lineRule="exact"/>
        <w:rPr>
          <w:sz w:val="20"/>
          <w:szCs w:val="20"/>
          <w:color w:val="auto"/>
        </w:rPr>
      </w:pPr>
    </w:p>
    <w:p>
      <w:pPr>
        <w:ind w:left="2160" w:hanging="322"/>
        <w:spacing w:after="0"/>
        <w:tabs>
          <w:tab w:leader="none" w:pos="21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113">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2024;</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as filed with the SEC on </w:t>
      </w:r>
      <w:hyperlink r:id="rId114">
        <w:r>
          <w:rPr>
            <w:rFonts w:ascii="Times New Roman" w:cs="Times New Roman" w:eastAsia="Times New Roman" w:hAnsi="Times New Roman"/>
            <w:sz w:val="14"/>
            <w:szCs w:val="14"/>
            <w:u w:val="single" w:color="auto"/>
            <w:color w:val="0000EE"/>
          </w:rPr>
          <w:t>January 23, 2025</w:t>
        </w:r>
      </w:hyperlink>
      <w:r>
        <w:rPr>
          <w:rFonts w:ascii="Times New Roman" w:cs="Times New Roman" w:eastAsia="Times New Roman" w:hAnsi="Times New Roman"/>
          <w:sz w:val="14"/>
          <w:szCs w:val="14"/>
          <w:color w:val="auto"/>
        </w:rPr>
        <w:t xml:space="preserve">, </w:t>
      </w:r>
      <w:hyperlink r:id="rId115">
        <w:r>
          <w:rPr>
            <w:rFonts w:ascii="Times New Roman" w:cs="Times New Roman" w:eastAsia="Times New Roman" w:hAnsi="Times New Roman"/>
            <w:sz w:val="14"/>
            <w:szCs w:val="14"/>
            <w:u w:val="single" w:color="auto"/>
            <w:color w:val="0000EE"/>
          </w:rPr>
          <w:t>March 17,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116">
        <w:r>
          <w:rPr>
            <w:rFonts w:ascii="Times New Roman" w:cs="Times New Roman" w:eastAsia="Times New Roman" w:hAnsi="Times New Roman"/>
            <w:sz w:val="14"/>
            <w:szCs w:val="14"/>
            <w:u w:val="single" w:color="auto"/>
            <w:color w:val="0000EE"/>
          </w:rPr>
          <w:t>April 2, 2025</w:t>
        </w:r>
      </w:hyperlink>
      <w:r>
        <w:rPr>
          <w:rFonts w:ascii="Times New Roman" w:cs="Times New Roman" w:eastAsia="Times New Roman" w:hAnsi="Times New Roman"/>
          <w:sz w:val="14"/>
          <w:szCs w:val="14"/>
          <w:color w:val="auto"/>
        </w:rPr>
        <w:t>; and</w:t>
      </w:r>
    </w:p>
    <w:p>
      <w:pPr>
        <w:spacing w:after="0" w:line="97" w:lineRule="exact"/>
        <w:rPr>
          <w:rFonts w:ascii="Times New Roman" w:cs="Times New Roman" w:eastAsia="Times New Roman" w:hAnsi="Times New Roman"/>
          <w:sz w:val="14"/>
          <w:szCs w:val="14"/>
          <w:color w:val="auto"/>
        </w:rPr>
      </w:pPr>
    </w:p>
    <w:p>
      <w:pPr>
        <w:ind w:left="2160" w:right="339" w:hanging="322"/>
        <w:spacing w:after="0" w:line="273" w:lineRule="auto"/>
        <w:tabs>
          <w:tab w:leader="none" w:pos="21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in the </w:t>
      </w:r>
      <w:hyperlink r:id="rId117">
        <w:r>
          <w:rPr>
            <w:rFonts w:ascii="Times New Roman" w:cs="Times New Roman" w:eastAsia="Times New Roman" w:hAnsi="Times New Roman"/>
            <w:sz w:val="14"/>
            <w:szCs w:val="14"/>
            <w:u w:val="single" w:color="auto"/>
            <w:color w:val="0000EE"/>
          </w:rPr>
          <w:t>Definitive Proxy Statement</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our 2025 annual meeting filed with the SEC on April 2, 2025 that is incorporated by reference into our Annual Report on </w:t>
      </w:r>
      <w:hyperlink r:id="rId113">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2024.</w:t>
      </w:r>
    </w:p>
    <w:p>
      <w:pPr>
        <w:spacing w:after="0" w:line="130" w:lineRule="exact"/>
        <w:rPr>
          <w:rFonts w:ascii="Times New Roman" w:cs="Times New Roman" w:eastAsia="Times New Roman" w:hAnsi="Times New Roman"/>
          <w:sz w:val="14"/>
          <w:szCs w:val="14"/>
          <w:color w:val="auto"/>
        </w:rPr>
      </w:pPr>
    </w:p>
    <w:p>
      <w:pPr>
        <w:ind w:left="1420" w:right="559"/>
        <w:spacing w:after="0" w:line="273" w:lineRule="auto"/>
        <w:rPr>
          <w:sz w:val="20"/>
          <w:szCs w:val="20"/>
          <w:color w:val="auto"/>
        </w:rPr>
      </w:pPr>
      <w:r>
        <w:rPr>
          <w:rFonts w:ascii="Times New Roman" w:cs="Times New Roman" w:eastAsia="Times New Roman" w:hAnsi="Times New Roman"/>
          <w:sz w:val="14"/>
          <w:szCs w:val="14"/>
          <w:color w:val="auto"/>
        </w:rPr>
        <w:t>Notwithstanding the foregoing, documents or portions thereof containing information furnished under Items 2.02 and 7.01 of any Current Report on Form 8-K, including the related exhibits under Item 9.01, are not incorporated by reference in this prospectus.</w:t>
      </w:r>
    </w:p>
    <w:p>
      <w:pPr>
        <w:spacing w:after="0" w:line="130" w:lineRule="exact"/>
        <w:rPr>
          <w:rFonts w:ascii="Times New Roman" w:cs="Times New Roman" w:eastAsia="Times New Roman" w:hAnsi="Times New Roman"/>
          <w:sz w:val="14"/>
          <w:szCs w:val="14"/>
          <w:color w:val="auto"/>
        </w:rPr>
      </w:pPr>
    </w:p>
    <w:p>
      <w:pPr>
        <w:ind w:left="1760"/>
        <w:spacing w:after="0"/>
        <w:rPr>
          <w:sz w:val="20"/>
          <w:szCs w:val="20"/>
          <w:color w:val="auto"/>
        </w:rPr>
      </w:pPr>
      <w:r>
        <w:rPr>
          <w:rFonts w:ascii="Times New Roman" w:cs="Times New Roman" w:eastAsia="Times New Roman" w:hAnsi="Times New Roman"/>
          <w:sz w:val="14"/>
          <w:szCs w:val="14"/>
          <w:color w:val="auto"/>
        </w:rPr>
        <w:t>You may request a copy of any of these filings, at no cost, by request directed to us at the following address or telephone number:</w:t>
      </w:r>
    </w:p>
    <w:p>
      <w:pPr>
        <w:spacing w:after="0" w:line="87"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Fiserv, Inc.</w:t>
      </w:r>
    </w:p>
    <w:p>
      <w:pPr>
        <w:spacing w:after="0" w:line="18"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600 N. Vel R. Phillips Avenue</w:t>
      </w:r>
    </w:p>
    <w:p>
      <w:pPr>
        <w:spacing w:after="0" w:line="4"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Milwaukee, Wisconsin 53203</w:t>
      </w:r>
    </w:p>
    <w:p>
      <w:pPr>
        <w:spacing w:after="0" w:line="4"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(262) 879-5000</w:t>
      </w:r>
    </w:p>
    <w:p>
      <w:pPr>
        <w:spacing w:after="0" w:line="4"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Attention: Secretary</w:t>
      </w:r>
    </w:p>
    <w:p>
      <w:pPr>
        <w:spacing w:after="0" w:line="157" w:lineRule="exact"/>
        <w:rPr>
          <w:rFonts w:ascii="Times New Roman" w:cs="Times New Roman" w:eastAsia="Times New Roman" w:hAnsi="Times New Roman"/>
          <w:sz w:val="14"/>
          <w:szCs w:val="14"/>
          <w:color w:val="auto"/>
        </w:rPr>
      </w:pPr>
    </w:p>
    <w:p>
      <w:pPr>
        <w:jc w:val="both"/>
        <w:ind w:left="1420" w:right="339" w:firstLine="337"/>
        <w:spacing w:after="0" w:line="273" w:lineRule="auto"/>
        <w:rPr>
          <w:sz w:val="20"/>
          <w:szCs w:val="20"/>
          <w:color w:val="auto"/>
        </w:rPr>
      </w:pPr>
      <w:r>
        <w:rPr>
          <w:rFonts w:ascii="Times New Roman" w:cs="Times New Roman" w:eastAsia="Times New Roman" w:hAnsi="Times New Roman"/>
          <w:sz w:val="14"/>
          <w:szCs w:val="14"/>
          <w:color w:val="auto"/>
        </w:rPr>
        <w:t>You can also find these filings on our website at www.fiserv.com. We are not incorporating the information on our website other than these filings into this prospectus.</w:t>
      </w:r>
    </w:p>
    <w:p>
      <w:pPr>
        <w:spacing w:after="0" w:line="130" w:lineRule="exact"/>
        <w:rPr>
          <w:rFonts w:ascii="Times New Roman" w:cs="Times New Roman" w:eastAsia="Times New Roman" w:hAnsi="Times New Roman"/>
          <w:sz w:val="14"/>
          <w:szCs w:val="14"/>
          <w:color w:val="auto"/>
        </w:rPr>
      </w:pPr>
    </w:p>
    <w:p>
      <w:pPr>
        <w:jc w:val="both"/>
        <w:ind w:left="1420" w:right="359" w:firstLine="337"/>
        <w:spacing w:after="0" w:line="259" w:lineRule="auto"/>
        <w:rPr>
          <w:sz w:val="20"/>
          <w:szCs w:val="20"/>
          <w:color w:val="auto"/>
        </w:rPr>
      </w:pPr>
      <w:r>
        <w:rPr>
          <w:rFonts w:ascii="Times New Roman" w:cs="Times New Roman" w:eastAsia="Times New Roman" w:hAnsi="Times New Roman"/>
          <w:sz w:val="14"/>
          <w:szCs w:val="14"/>
          <w:color w:val="auto"/>
        </w:rPr>
        <w:t>You should not assume that the information in this prospectus or any prospectus supplement, as well as the information we file or previously filed with the SEC that we incorporate by reference in this prospectus or any prospectus supplement, is accurate as of any date other than the respective date of such documents. Our business, financial condition, results of operations and prospects may have changed since that date.</w:t>
      </w:r>
    </w:p>
    <w:p>
      <w:pPr>
        <w:spacing w:after="0" w:line="89"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81"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4" w:lineRule="exact"/>
        <w:rPr>
          <w:sz w:val="20"/>
          <w:szCs w:val="20"/>
          <w:color w:val="auto"/>
        </w:rPr>
      </w:pPr>
    </w:p>
    <w:p>
      <w:pPr>
        <w:ind w:left="1420" w:right="339" w:firstLine="337"/>
        <w:spacing w:after="0" w:line="277" w:lineRule="auto"/>
        <w:rPr>
          <w:sz w:val="20"/>
          <w:szCs w:val="20"/>
          <w:color w:val="auto"/>
        </w:rPr>
      </w:pPr>
      <w:r>
        <w:rPr>
          <w:rFonts w:ascii="Times New Roman" w:cs="Times New Roman" w:eastAsia="Times New Roman" w:hAnsi="Times New Roman"/>
          <w:sz w:val="13"/>
          <w:szCs w:val="13"/>
          <w:color w:val="auto"/>
        </w:rPr>
        <w:t>The validity of the securities offered by this prospectus will be passed upon for us by Foley &amp; Lardner LLP, Sullivan &amp; Cromwell, LLP, DLA Piper Ireland LLP, and Eric Nelson, the Company’s SVP, General Counsel and Secretary. The validity of the securities offered by this prospectus will be passed upon for any underwriters or agents by counsel named in the applicable prospectus supplement. The opinions of counsel may be conditioned upon and may be subject to assumptions regarding future action required to be taken by us and any underwriters, dealers or agents in connection with the issuance of any securities. The opinions of counsel may be subject to other conditions and assumptions, as indicated in the prospectus supplement.</w:t>
      </w:r>
    </w:p>
    <w:p>
      <w:pPr>
        <w:spacing w:after="0" w:line="29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4" w:lineRule="exact"/>
        <w:rPr>
          <w:sz w:val="20"/>
          <w:szCs w:val="20"/>
          <w:color w:val="auto"/>
        </w:rPr>
      </w:pPr>
    </w:p>
    <w:p>
      <w:pPr>
        <w:ind w:left="1420" w:right="339" w:firstLine="337"/>
        <w:spacing w:after="0" w:line="255" w:lineRule="auto"/>
        <w:rPr>
          <w:sz w:val="20"/>
          <w:szCs w:val="20"/>
          <w:color w:val="auto"/>
        </w:rPr>
      </w:pPr>
      <w:r>
        <w:rPr>
          <w:rFonts w:ascii="Times New Roman" w:cs="Times New Roman" w:eastAsia="Times New Roman" w:hAnsi="Times New Roman"/>
          <w:sz w:val="14"/>
          <w:szCs w:val="14"/>
          <w:color w:val="auto"/>
        </w:rPr>
        <w:t>The financial statements of Fiserv, Inc. incorporated by reference in this prospectus by reference to Fiserv, Inc.’s Annual Report on Form 10-K for the year ended December 31, 2024, and the effectiveness of Fiserv,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81"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908050</wp:posOffset>
            </wp:positionH>
            <wp:positionV relativeFrom="paragraph">
              <wp:posOffset>184150</wp:posOffset>
            </wp:positionV>
            <wp:extent cx="5358765" cy="133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5358765" cy="13335"/>
                    </a:xfrm>
                    <a:prstGeom prst="rect">
                      <a:avLst/>
                    </a:prstGeom>
                    <a:noFill/>
                  </pic:spPr>
                </pic:pic>
              </a:graphicData>
            </a:graphic>
          </wp:anchor>
        </w:drawing>
        <w:drawing>
          <wp:anchor simplePos="0" relativeHeight="251657728" behindDoc="1" locked="0" layoutInCell="0" allowOverlap="1">
            <wp:simplePos x="0" y="0"/>
            <wp:positionH relativeFrom="column">
              <wp:posOffset>908050</wp:posOffset>
            </wp:positionH>
            <wp:positionV relativeFrom="paragraph">
              <wp:posOffset>223520</wp:posOffset>
            </wp:positionV>
            <wp:extent cx="5358765"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5358765" cy="635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264160</wp:posOffset>
            </wp:positionV>
            <wp:extent cx="702945" cy="3543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02945" cy="354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9"/>
          <w:szCs w:val="19"/>
          <w:b w:val="1"/>
          <w:bCs w:val="1"/>
          <w:color w:val="auto"/>
        </w:rPr>
        <w:t>€500,000,000 3.750% Senior Notes due 2030</w:t>
      </w:r>
    </w:p>
    <w:p>
      <w:pPr>
        <w:spacing w:after="0" w:line="3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9"/>
          <w:szCs w:val="19"/>
          <w:b w:val="1"/>
          <w:bCs w:val="1"/>
          <w:color w:val="auto"/>
        </w:rPr>
        <w:t>€500,000,000 4.250% Senior Notes due 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659765</wp:posOffset>
            </wp:positionV>
            <wp:extent cx="112268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180340</wp:posOffset>
            </wp:positionV>
            <wp:extent cx="112268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i w:val="1"/>
          <w:iCs w:val="1"/>
          <w:color w:val="auto"/>
        </w:rPr>
        <w:t>Joint Book-Running Managers</w:t>
      </w:r>
    </w:p>
    <w:p>
      <w:pPr>
        <w:spacing w:after="0" w:line="7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Citigroup</w:t>
      </w:r>
    </w:p>
    <w:p>
      <w:pPr>
        <w:spacing w:after="0" w:line="3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J.P. Morgan</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TD Securities</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Wells Fargo Securities</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BofA Securities</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MUFG</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PNC Capital Markets LLC</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Truist Securities</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US Bancorp</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Santander</w:t>
      </w:r>
    </w:p>
    <w:p>
      <w:pPr>
        <w:spacing w:after="0" w:line="1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i w:val="1"/>
          <w:iCs w:val="1"/>
          <w:color w:val="auto"/>
        </w:rPr>
        <w:t>Co-Managers</w:t>
      </w:r>
    </w:p>
    <w:p>
      <w:pPr>
        <w:spacing w:after="0" w:line="7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BBVA</w:t>
      </w:r>
    </w:p>
    <w:p>
      <w:pPr>
        <w:spacing w:after="0" w:line="3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Capital One Securities</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Citizens Capital Markets</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Deutsche Bank</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Fifth Third Securities</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Lloyds Securities</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NatWest</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Scotiabank</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UniCredit</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Huntington Capital Markets</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KeyBanc Capital Markets</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Regions Securities LLC</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FNB America Securities LLC</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Siebert Williams Shank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659765</wp:posOffset>
            </wp:positionV>
            <wp:extent cx="112268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b w:val="1"/>
          <w:bCs w:val="1"/>
          <w:color w:val="auto"/>
        </w:rPr>
        <w:t>June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908050</wp:posOffset>
            </wp:positionH>
            <wp:positionV relativeFrom="paragraph">
              <wp:posOffset>144780</wp:posOffset>
            </wp:positionV>
            <wp:extent cx="5358765"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5358765" cy="6350"/>
                    </a:xfrm>
                    <a:prstGeom prst="rect">
                      <a:avLst/>
                    </a:prstGeom>
                    <a:noFill/>
                  </pic:spPr>
                </pic:pic>
              </a:graphicData>
            </a:graphic>
          </wp:anchor>
        </w:drawing>
        <w:drawing>
          <wp:anchor simplePos="0" relativeHeight="251657728" behindDoc="1" locked="0" layoutInCell="0" allowOverlap="1">
            <wp:simplePos x="0" y="0"/>
            <wp:positionH relativeFrom="column">
              <wp:posOffset>908050</wp:posOffset>
            </wp:positionH>
            <wp:positionV relativeFrom="paragraph">
              <wp:posOffset>190500</wp:posOffset>
            </wp:positionV>
            <wp:extent cx="5358765" cy="133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5358765" cy="13335"/>
                    </a:xfrm>
                    <a:prstGeom prst="rect">
                      <a:avLst/>
                    </a:prstGeom>
                    <a:noFill/>
                  </pic:spPr>
                </pic:pic>
              </a:graphicData>
            </a:graphic>
          </wp:anchor>
        </w:drawing>
      </w:r>
    </w:p>
    <w:p>
      <w:pPr>
        <w:sectPr>
          <w:pgSz w:w="11900" w:h="16838" w:orient="portrait"/>
          <w:cols w:equalWidth="0" w:num="1">
            <w:col w:w="10159"/>
          </w:cols>
          <w:pgMar w:left="300" w:top="381" w:right="1440" w:bottom="1440" w:gutter="0" w:footer="0" w:header="0"/>
        </w:sectPr>
      </w:pPr>
    </w:p>
    <w:bookmarkStart w:id="84" w:name="page85"/>
    <w:bookmarkEnd w:id="84"/>
    <w:p>
      <w:pPr>
        <w:spacing w:after="0" w:line="45" w:lineRule="exact"/>
        <w:rPr>
          <w:sz w:val="20"/>
          <w:szCs w:val="20"/>
          <w:color w:val="auto"/>
        </w:rPr>
      </w:pPr>
    </w:p>
    <w:p>
      <w:pPr>
        <w:ind w:left="3520"/>
        <w:spacing w:after="0"/>
        <w:rPr>
          <w:sz w:val="20"/>
          <w:szCs w:val="20"/>
          <w:color w:val="auto"/>
        </w:rPr>
      </w:pPr>
      <w:r>
        <w:rPr>
          <w:rFonts w:ascii="Arial" w:cs="Arial" w:eastAsia="Arial" w:hAnsi="Arial"/>
          <w:sz w:val="28"/>
          <w:szCs w:val="28"/>
          <w:b w:val="1"/>
          <w:bCs w:val="1"/>
          <w:color w:val="auto"/>
        </w:rPr>
        <w:t>Calculation of Filing Fee Tables</w:t>
      </w:r>
    </w:p>
    <w:p>
      <w:pPr>
        <w:spacing w:after="0" w:line="164"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2"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FISERV INC</w:t>
      </w:r>
    </w:p>
    <w:p>
      <w:pPr>
        <w:spacing w:after="0" w:line="93" w:lineRule="exact"/>
        <w:rPr>
          <w:sz w:val="20"/>
          <w:szCs w:val="20"/>
          <w:color w:val="auto"/>
        </w:rPr>
      </w:pPr>
    </w:p>
    <w:tbl>
      <w:tblPr>
        <w:tblLayout w:type="fixed"/>
        <w:tblInd w:w="10" w:type="dxa"/>
        <w:tblCellMar>
          <w:top w:w="0" w:type="dxa"/>
          <w:left w:w="0" w:type="dxa"/>
          <w:bottom w:w="0" w:type="dxa"/>
          <w:right w:w="0" w:type="dxa"/>
        </w:tblCellMar>
      </w:tblPr>
      <w:tr>
        <w:trPr>
          <w:trHeight w:val="271"/>
        </w:trPr>
        <w:tc>
          <w:tcPr>
            <w:tcW w:w="40" w:type="dxa"/>
            <w:vAlign w:val="bottom"/>
            <w:tcBorders>
              <w:bottom w:val="single" w:sz="8" w:color="auto"/>
            </w:tcBorders>
          </w:tcPr>
          <w:p>
            <w:pPr>
              <w:spacing w:after="0"/>
              <w:rPr>
                <w:sz w:val="23"/>
                <w:szCs w:val="23"/>
                <w:color w:val="auto"/>
              </w:rPr>
            </w:pPr>
          </w:p>
        </w:tc>
        <w:tc>
          <w:tcPr>
            <w:tcW w:w="5040" w:type="dxa"/>
            <w:vAlign w:val="bottom"/>
            <w:tcBorders>
              <w:bottom w:val="single" w:sz="8" w:color="auto"/>
            </w:tcBorders>
            <w:gridSpan w:val="14"/>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w w:val="99"/>
              </w:rPr>
              <w:t>☐</w:t>
            </w:r>
            <w:r>
              <w:rPr>
                <w:rFonts w:ascii="Arial" w:cs="Arial" w:eastAsia="Arial" w:hAnsi="Arial"/>
                <w:sz w:val="17"/>
                <w:szCs w:val="17"/>
                <w:b w:val="1"/>
                <w:bCs w:val="1"/>
                <w:color w:val="auto"/>
                <w:w w:val="99"/>
              </w:rPr>
              <w:t>Not Applicable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Proposed</w:t>
            </w: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4"/>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4"/>
              </w:rPr>
              <w:t>Carry</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4"/>
              </w:rPr>
              <w:t>Carry</w:t>
            </w:r>
          </w:p>
        </w:tc>
        <w:tc>
          <w:tcPr>
            <w:tcW w:w="20" w:type="dxa"/>
            <w:vAlign w:val="bottom"/>
          </w:tcPr>
          <w:p>
            <w:pPr>
              <w:spacing w:after="0"/>
              <w:rPr>
                <w:sz w:val="8"/>
                <w:szCs w:val="8"/>
                <w:color w:val="auto"/>
              </w:rPr>
            </w:pPr>
          </w:p>
        </w:tc>
        <w:tc>
          <w:tcPr>
            <w:tcW w:w="7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Connection</w:t>
            </w: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restart"/>
            <w:shd w:val="clear" w:color="auto" w:fill="9ADAF6"/>
          </w:tcPr>
          <w:p>
            <w:pPr>
              <w:spacing w:after="0"/>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4"/>
                <w:szCs w:val="14"/>
                <w:color w:val="auto"/>
              </w:rPr>
            </w:pPr>
          </w:p>
        </w:tc>
        <w:tc>
          <w:tcPr>
            <w:tcW w:w="680" w:type="dxa"/>
            <w:vAlign w:val="bottom"/>
            <w:gridSpan w:val="2"/>
            <w:shd w:val="clear" w:color="auto" w:fill="9ADAF6"/>
          </w:tcPr>
          <w:p>
            <w:pPr>
              <w:ind w:left="20"/>
              <w:spacing w:after="0" w:line="166"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5"/>
              </w:rPr>
              <w:t>Calculation</w:t>
            </w:r>
          </w:p>
        </w:tc>
        <w:tc>
          <w:tcPr>
            <w:tcW w:w="20" w:type="dxa"/>
            <w:vAlign w:val="bottom"/>
          </w:tcPr>
          <w:p>
            <w:pPr>
              <w:spacing w:after="0"/>
              <w:rPr>
                <w:sz w:val="14"/>
                <w:szCs w:val="14"/>
                <w:color w:val="auto"/>
              </w:rPr>
            </w:pPr>
          </w:p>
        </w:tc>
        <w:tc>
          <w:tcPr>
            <w:tcW w:w="940" w:type="dxa"/>
            <w:vAlign w:val="bottom"/>
            <w:vMerge w:val="restart"/>
            <w:shd w:val="clear" w:color="auto" w:fill="9ADAF6"/>
          </w:tcPr>
          <w:p>
            <w:pPr>
              <w:jc w:val="right"/>
              <w:ind w:right="77"/>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4"/>
                <w:szCs w:val="14"/>
                <w:color w:val="auto"/>
              </w:rPr>
            </w:pPr>
          </w:p>
        </w:tc>
        <w:tc>
          <w:tcPr>
            <w:tcW w:w="130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6"/>
              </w:rPr>
              <w:t>Amount of</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restart"/>
            <w:shd w:val="clear" w:color="auto" w:fill="9ADAF6"/>
          </w:tcPr>
          <w:p>
            <w:pPr>
              <w:ind w:left="120"/>
              <w:spacing w:after="0"/>
              <w:rPr>
                <w:sz w:val="20"/>
                <w:szCs w:val="20"/>
                <w:color w:val="auto"/>
              </w:rPr>
            </w:pPr>
            <w:r>
              <w:rPr>
                <w:rFonts w:ascii="Arial" w:cs="Arial" w:eastAsia="Arial" w:hAnsi="Arial"/>
                <w:sz w:val="17"/>
                <w:szCs w:val="17"/>
                <w:b w:val="1"/>
                <w:bCs w:val="1"/>
                <w:color w:val="auto"/>
                <w:w w:val="96"/>
              </w:rPr>
              <w:t>Class</w:t>
            </w:r>
          </w:p>
        </w:tc>
        <w:tc>
          <w:tcPr>
            <w:tcW w:w="1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9"/>
                <w:szCs w:val="9"/>
                <w:color w:val="auto"/>
              </w:rPr>
            </w:pPr>
          </w:p>
        </w:tc>
        <w:tc>
          <w:tcPr>
            <w:tcW w:w="94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9"/>
                <w:szCs w:val="9"/>
                <w:color w:val="auto"/>
              </w:rPr>
            </w:pPr>
          </w:p>
        </w:tc>
        <w:tc>
          <w:tcPr>
            <w:tcW w:w="13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9"/>
                <w:szCs w:val="9"/>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9"/>
                <w:szCs w:val="9"/>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9"/>
                <w:szCs w:val="9"/>
                <w:color w:val="auto"/>
              </w:rPr>
            </w:pPr>
          </w:p>
        </w:tc>
        <w:tc>
          <w:tcPr>
            <w:tcW w:w="70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9"/>
                <w:szCs w:val="9"/>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4"/>
              </w:rPr>
              <w:t>Initial</w:t>
            </w:r>
          </w:p>
        </w:tc>
        <w:tc>
          <w:tcPr>
            <w:tcW w:w="20" w:type="dxa"/>
            <w:vAlign w:val="bottom"/>
          </w:tcPr>
          <w:p>
            <w:pPr>
              <w:spacing w:after="0"/>
              <w:rPr>
                <w:sz w:val="9"/>
                <w:szCs w:val="9"/>
                <w:color w:val="auto"/>
              </w:rPr>
            </w:pPr>
          </w:p>
        </w:tc>
        <w:tc>
          <w:tcPr>
            <w:tcW w:w="960" w:type="dxa"/>
            <w:vAlign w:val="bottom"/>
            <w:tcBorders>
              <w:right w:val="single" w:sz="8" w:color="auto"/>
            </w:tcBorders>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with</w:t>
            </w: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ind w:left="140"/>
              <w:spacing w:after="0" w:line="166"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4"/>
                <w:szCs w:val="14"/>
                <w:color w:val="auto"/>
              </w:rPr>
            </w:pPr>
          </w:p>
        </w:tc>
        <w:tc>
          <w:tcPr>
            <w:tcW w:w="580" w:type="dxa"/>
            <w:vAlign w:val="bottom"/>
            <w:vMerge w:val="continue"/>
            <w:shd w:val="clear" w:color="auto" w:fill="9ADAF6"/>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jc w:val="right"/>
              <w:spacing w:after="0" w:line="166"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ind w:left="180"/>
              <w:spacing w:after="0" w:line="186" w:lineRule="exact"/>
              <w:rPr>
                <w:sz w:val="20"/>
                <w:szCs w:val="20"/>
                <w:color w:val="auto"/>
              </w:rPr>
            </w:pPr>
            <w:r>
              <w:rPr>
                <w:rFonts w:ascii="Arial" w:cs="Arial" w:eastAsia="Arial" w:hAnsi="Arial"/>
                <w:sz w:val="17"/>
                <w:szCs w:val="17"/>
                <w:b w:val="1"/>
                <w:bCs w:val="1"/>
                <w:color w:val="auto"/>
              </w:rPr>
              <w:t>Title</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Forward</w:t>
            </w: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3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Securities</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to be</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9ADAF6"/>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9ADAF6"/>
          </w:tcPr>
          <w:p>
            <w:pPr>
              <w:spacing w:after="0"/>
              <w:rPr>
                <w:sz w:val="18"/>
                <w:szCs w:val="18"/>
                <w:color w:val="auto"/>
              </w:rPr>
            </w:pPr>
          </w:p>
        </w:tc>
        <w:tc>
          <w:tcPr>
            <w:tcW w:w="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38"/>
        </w:trPr>
        <w:tc>
          <w:tcPr>
            <w:tcW w:w="4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60" w:type="dxa"/>
            <w:vAlign w:val="bottom"/>
            <w:gridSpan w:val="5"/>
          </w:tcPr>
          <w:p>
            <w:pPr>
              <w:jc w:val="center"/>
              <w:ind w:right="57"/>
              <w:spacing w:after="0"/>
              <w:rPr>
                <w:sz w:val="20"/>
                <w:szCs w:val="20"/>
                <w:color w:val="auto"/>
              </w:rPr>
            </w:pPr>
            <w:r>
              <w:rPr>
                <w:rFonts w:ascii="Arial" w:cs="Arial" w:eastAsia="Arial" w:hAnsi="Arial"/>
                <w:sz w:val="17"/>
                <w:szCs w:val="17"/>
                <w:b w:val="1"/>
                <w:bCs w:val="1"/>
                <w:color w:val="auto"/>
                <w:w w:val="97"/>
              </w:rPr>
              <w:t>Newly Registered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w w:val="97"/>
              </w:rPr>
              <w:t>3.750%</w:t>
            </w: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Senior</w:t>
            </w: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86" w:lineRule="exact"/>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line="186"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8"/>
                <w:szCs w:val="8"/>
                <w:color w:val="auto"/>
              </w:rPr>
            </w:pPr>
          </w:p>
        </w:tc>
        <w:tc>
          <w:tcPr>
            <w:tcW w:w="580" w:type="dxa"/>
            <w:vAlign w:val="bottom"/>
            <w:vMerge w:val="restart"/>
            <w:shd w:val="clear" w:color="auto" w:fill="E7E7E2"/>
          </w:tcPr>
          <w:p>
            <w:pPr>
              <w:spacing w:after="0" w:line="186" w:lineRule="exact"/>
              <w:rPr>
                <w:sz w:val="20"/>
                <w:szCs w:val="20"/>
                <w:color w:val="auto"/>
              </w:rPr>
            </w:pPr>
            <w:r>
              <w:rPr>
                <w:rFonts w:ascii="Arial" w:cs="Arial" w:eastAsia="Arial" w:hAnsi="Arial"/>
                <w:sz w:val="17"/>
                <w:szCs w:val="17"/>
                <w:color w:val="auto"/>
              </w:rPr>
              <w:t>Notes</w:t>
            </w: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line="186" w:lineRule="exact"/>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right"/>
              <w:spacing w:after="0" w:line="186" w:lineRule="exact"/>
              <w:rPr>
                <w:sz w:val="20"/>
                <w:szCs w:val="20"/>
                <w:color w:val="auto"/>
              </w:rPr>
            </w:pPr>
            <w:r>
              <w:rPr>
                <w:rFonts w:ascii="Arial" w:cs="Arial" w:eastAsia="Arial" w:hAnsi="Arial"/>
                <w:sz w:val="17"/>
                <w:szCs w:val="17"/>
                <w:color w:val="auto"/>
                <w:w w:val="97"/>
              </w:rPr>
              <w:t>579,950,000</w:t>
            </w:r>
          </w:p>
        </w:tc>
        <w:tc>
          <w:tcPr>
            <w:tcW w:w="20" w:type="dxa"/>
            <w:vAlign w:val="bottom"/>
          </w:tcPr>
          <w:p>
            <w:pPr>
              <w:spacing w:after="0"/>
              <w:rPr>
                <w:sz w:val="8"/>
                <w:szCs w:val="8"/>
                <w:color w:val="auto"/>
              </w:rPr>
            </w:pPr>
          </w:p>
        </w:tc>
        <w:tc>
          <w:tcPr>
            <w:tcW w:w="800" w:type="dxa"/>
            <w:vAlign w:val="bottom"/>
            <w:vMerge w:val="restart"/>
            <w:shd w:val="clear" w:color="auto" w:fill="E7E7E2"/>
          </w:tcPr>
          <w:p>
            <w:pPr>
              <w:jc w:val="center"/>
              <w:spacing w:after="0" w:line="186" w:lineRule="exact"/>
              <w:rPr>
                <w:sz w:val="20"/>
                <w:szCs w:val="20"/>
                <w:color w:val="auto"/>
              </w:rPr>
            </w:pPr>
            <w:r>
              <w:rPr>
                <w:rFonts w:ascii="Arial" w:cs="Arial" w:eastAsia="Arial" w:hAnsi="Arial"/>
                <w:sz w:val="17"/>
                <w:szCs w:val="17"/>
                <w:color w:val="auto"/>
                <w:w w:val="97"/>
              </w:rPr>
              <w:t>$ 0.99936</w:t>
            </w:r>
          </w:p>
        </w:tc>
        <w:tc>
          <w:tcPr>
            <w:tcW w:w="20" w:type="dxa"/>
            <w:vAlign w:val="bottom"/>
          </w:tcPr>
          <w:p>
            <w:pPr>
              <w:spacing w:after="0"/>
              <w:rPr>
                <w:sz w:val="8"/>
                <w:szCs w:val="8"/>
                <w:color w:val="auto"/>
              </w:rPr>
            </w:pPr>
          </w:p>
        </w:tc>
        <w:tc>
          <w:tcPr>
            <w:tcW w:w="1300" w:type="dxa"/>
            <w:vAlign w:val="bottom"/>
            <w:vMerge w:val="restart"/>
            <w:shd w:val="clear" w:color="auto" w:fill="E7E7E2"/>
          </w:tcPr>
          <w:p>
            <w:pPr>
              <w:jc w:val="right"/>
              <w:spacing w:after="0" w:line="186" w:lineRule="exact"/>
              <w:rPr>
                <w:sz w:val="20"/>
                <w:szCs w:val="20"/>
                <w:color w:val="auto"/>
              </w:rPr>
            </w:pPr>
            <w:r>
              <w:rPr>
                <w:rFonts w:ascii="Arial" w:cs="Arial" w:eastAsia="Arial" w:hAnsi="Arial"/>
                <w:sz w:val="17"/>
                <w:szCs w:val="17"/>
                <w:color w:val="auto"/>
                <w:w w:val="96"/>
              </w:rPr>
              <w:t>$ 579,578,832.00</w:t>
            </w:r>
          </w:p>
        </w:tc>
        <w:tc>
          <w:tcPr>
            <w:tcW w:w="20" w:type="dxa"/>
            <w:vAlign w:val="bottom"/>
          </w:tcPr>
          <w:p>
            <w:pPr>
              <w:spacing w:after="0"/>
              <w:rPr>
                <w:sz w:val="8"/>
                <w:szCs w:val="8"/>
                <w:color w:val="auto"/>
              </w:rPr>
            </w:pPr>
          </w:p>
        </w:tc>
        <w:tc>
          <w:tcPr>
            <w:tcW w:w="820" w:type="dxa"/>
            <w:vAlign w:val="bottom"/>
            <w:vMerge w:val="restart"/>
            <w:shd w:val="clear" w:color="auto" w:fill="E7E7E2"/>
          </w:tcPr>
          <w:p>
            <w:pPr>
              <w:jc w:val="center"/>
              <w:spacing w:after="0" w:line="186" w:lineRule="exact"/>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8"/>
                <w:szCs w:val="8"/>
                <w:color w:val="auto"/>
              </w:rPr>
            </w:pPr>
          </w:p>
        </w:tc>
        <w:tc>
          <w:tcPr>
            <w:tcW w:w="980" w:type="dxa"/>
            <w:vAlign w:val="bottom"/>
            <w:vMerge w:val="restart"/>
            <w:shd w:val="clear" w:color="auto" w:fill="E7E7E2"/>
          </w:tcPr>
          <w:p>
            <w:pPr>
              <w:jc w:val="right"/>
              <w:spacing w:after="0" w:line="186" w:lineRule="exact"/>
              <w:rPr>
                <w:sz w:val="20"/>
                <w:szCs w:val="20"/>
                <w:color w:val="auto"/>
              </w:rPr>
            </w:pPr>
            <w:r>
              <w:rPr>
                <w:rFonts w:ascii="Arial" w:cs="Arial" w:eastAsia="Arial" w:hAnsi="Arial"/>
                <w:sz w:val="17"/>
                <w:szCs w:val="17"/>
                <w:color w:val="auto"/>
              </w:rPr>
              <w:t>$ 80,039.84</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vMerge w:val="continue"/>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vMerge w:val="restart"/>
            <w:shd w:val="clear" w:color="auto" w:fill="E7E7E2"/>
          </w:tcPr>
          <w:p>
            <w:pPr>
              <w:spacing w:after="0" w:line="186" w:lineRule="exact"/>
              <w:rPr>
                <w:sz w:val="20"/>
                <w:szCs w:val="20"/>
                <w:color w:val="auto"/>
              </w:rPr>
            </w:pPr>
            <w:r>
              <w:rPr>
                <w:rFonts w:ascii="Arial" w:cs="Arial" w:eastAsia="Arial" w:hAnsi="Arial"/>
                <w:sz w:val="17"/>
                <w:szCs w:val="17"/>
                <w:color w:val="auto"/>
              </w:rPr>
              <w:t>due</w:t>
            </w: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Borders>
              <w:left w:val="single" w:sz="8" w:color="auto"/>
            </w:tcBorders>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vMerge w:val="continue"/>
            <w:shd w:val="clear" w:color="auto" w:fill="E7E7E2"/>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E7E7E2"/>
          </w:tcPr>
          <w:p>
            <w:pPr>
              <w:spacing w:after="0"/>
              <w:rPr>
                <w:sz w:val="20"/>
                <w:szCs w:val="20"/>
                <w:color w:val="auto"/>
              </w:rPr>
            </w:pPr>
            <w:r>
              <w:rPr>
                <w:rFonts w:ascii="Arial" w:cs="Arial" w:eastAsia="Arial" w:hAnsi="Arial"/>
                <w:sz w:val="17"/>
                <w:szCs w:val="17"/>
                <w:color w:val="auto"/>
              </w:rPr>
              <w:t>2030</w:t>
            </w: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5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w w:val="97"/>
              </w:rPr>
              <w:t>4.250%</w:t>
            </w: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Senior</w:t>
            </w: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86" w:lineRule="exact"/>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line="186"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8"/>
                <w:szCs w:val="8"/>
                <w:color w:val="auto"/>
              </w:rPr>
            </w:pPr>
          </w:p>
        </w:tc>
        <w:tc>
          <w:tcPr>
            <w:tcW w:w="580" w:type="dxa"/>
            <w:vAlign w:val="bottom"/>
            <w:vMerge w:val="restart"/>
            <w:shd w:val="clear" w:color="auto" w:fill="E7E7E2"/>
          </w:tcPr>
          <w:p>
            <w:pPr>
              <w:spacing w:after="0" w:line="186" w:lineRule="exact"/>
              <w:rPr>
                <w:sz w:val="20"/>
                <w:szCs w:val="20"/>
                <w:color w:val="auto"/>
              </w:rPr>
            </w:pPr>
            <w:r>
              <w:rPr>
                <w:rFonts w:ascii="Arial" w:cs="Arial" w:eastAsia="Arial" w:hAnsi="Arial"/>
                <w:sz w:val="17"/>
                <w:szCs w:val="17"/>
                <w:color w:val="auto"/>
              </w:rPr>
              <w:t>Notes</w:t>
            </w: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line="186" w:lineRule="exact"/>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right"/>
              <w:spacing w:after="0" w:line="186" w:lineRule="exact"/>
              <w:rPr>
                <w:sz w:val="20"/>
                <w:szCs w:val="20"/>
                <w:color w:val="auto"/>
              </w:rPr>
            </w:pPr>
            <w:r>
              <w:rPr>
                <w:rFonts w:ascii="Arial" w:cs="Arial" w:eastAsia="Arial" w:hAnsi="Arial"/>
                <w:sz w:val="17"/>
                <w:szCs w:val="17"/>
                <w:color w:val="auto"/>
                <w:w w:val="97"/>
              </w:rPr>
              <w:t>579,950,000</w:t>
            </w:r>
          </w:p>
        </w:tc>
        <w:tc>
          <w:tcPr>
            <w:tcW w:w="20" w:type="dxa"/>
            <w:vAlign w:val="bottom"/>
          </w:tcPr>
          <w:p>
            <w:pPr>
              <w:spacing w:after="0"/>
              <w:rPr>
                <w:sz w:val="8"/>
                <w:szCs w:val="8"/>
                <w:color w:val="auto"/>
              </w:rPr>
            </w:pPr>
          </w:p>
        </w:tc>
        <w:tc>
          <w:tcPr>
            <w:tcW w:w="800" w:type="dxa"/>
            <w:vAlign w:val="bottom"/>
            <w:vMerge w:val="restart"/>
            <w:shd w:val="clear" w:color="auto" w:fill="E7E7E2"/>
          </w:tcPr>
          <w:p>
            <w:pPr>
              <w:jc w:val="center"/>
              <w:spacing w:after="0" w:line="186" w:lineRule="exact"/>
              <w:rPr>
                <w:sz w:val="20"/>
                <w:szCs w:val="20"/>
                <w:color w:val="auto"/>
              </w:rPr>
            </w:pPr>
            <w:r>
              <w:rPr>
                <w:rFonts w:ascii="Arial" w:cs="Arial" w:eastAsia="Arial" w:hAnsi="Arial"/>
                <w:sz w:val="17"/>
                <w:szCs w:val="17"/>
                <w:color w:val="auto"/>
                <w:w w:val="97"/>
              </w:rPr>
              <w:t>$ 0.99654</w:t>
            </w:r>
          </w:p>
        </w:tc>
        <w:tc>
          <w:tcPr>
            <w:tcW w:w="20" w:type="dxa"/>
            <w:vAlign w:val="bottom"/>
          </w:tcPr>
          <w:p>
            <w:pPr>
              <w:spacing w:after="0"/>
              <w:rPr>
                <w:sz w:val="8"/>
                <w:szCs w:val="8"/>
                <w:color w:val="auto"/>
              </w:rPr>
            </w:pPr>
          </w:p>
        </w:tc>
        <w:tc>
          <w:tcPr>
            <w:tcW w:w="1300" w:type="dxa"/>
            <w:vAlign w:val="bottom"/>
            <w:vMerge w:val="restart"/>
            <w:shd w:val="clear" w:color="auto" w:fill="E7E7E2"/>
          </w:tcPr>
          <w:p>
            <w:pPr>
              <w:jc w:val="right"/>
              <w:spacing w:after="0" w:line="186" w:lineRule="exact"/>
              <w:rPr>
                <w:sz w:val="20"/>
                <w:szCs w:val="20"/>
                <w:color w:val="auto"/>
              </w:rPr>
            </w:pPr>
            <w:r>
              <w:rPr>
                <w:rFonts w:ascii="Arial" w:cs="Arial" w:eastAsia="Arial" w:hAnsi="Arial"/>
                <w:sz w:val="17"/>
                <w:szCs w:val="17"/>
                <w:color w:val="auto"/>
                <w:w w:val="96"/>
              </w:rPr>
              <w:t>$ 577,943,373.00</w:t>
            </w:r>
          </w:p>
        </w:tc>
        <w:tc>
          <w:tcPr>
            <w:tcW w:w="20" w:type="dxa"/>
            <w:vAlign w:val="bottom"/>
          </w:tcPr>
          <w:p>
            <w:pPr>
              <w:spacing w:after="0"/>
              <w:rPr>
                <w:sz w:val="8"/>
                <w:szCs w:val="8"/>
                <w:color w:val="auto"/>
              </w:rPr>
            </w:pPr>
          </w:p>
        </w:tc>
        <w:tc>
          <w:tcPr>
            <w:tcW w:w="820" w:type="dxa"/>
            <w:vAlign w:val="bottom"/>
            <w:vMerge w:val="restart"/>
            <w:shd w:val="clear" w:color="auto" w:fill="E7E7E2"/>
          </w:tcPr>
          <w:p>
            <w:pPr>
              <w:jc w:val="center"/>
              <w:spacing w:after="0" w:line="186" w:lineRule="exact"/>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8"/>
                <w:szCs w:val="8"/>
                <w:color w:val="auto"/>
              </w:rPr>
            </w:pPr>
          </w:p>
        </w:tc>
        <w:tc>
          <w:tcPr>
            <w:tcW w:w="980" w:type="dxa"/>
            <w:vAlign w:val="bottom"/>
            <w:vMerge w:val="restart"/>
            <w:shd w:val="clear" w:color="auto" w:fill="E7E7E2"/>
          </w:tcPr>
          <w:p>
            <w:pPr>
              <w:jc w:val="right"/>
              <w:spacing w:after="0" w:line="186" w:lineRule="exact"/>
              <w:rPr>
                <w:sz w:val="20"/>
                <w:szCs w:val="20"/>
                <w:color w:val="auto"/>
              </w:rPr>
            </w:pPr>
            <w:r>
              <w:rPr>
                <w:rFonts w:ascii="Arial" w:cs="Arial" w:eastAsia="Arial" w:hAnsi="Arial"/>
                <w:sz w:val="17"/>
                <w:szCs w:val="17"/>
                <w:color w:val="auto"/>
              </w:rPr>
              <w:t>$ 79,813.98</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vMerge w:val="continue"/>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vMerge w:val="restart"/>
            <w:shd w:val="clear" w:color="auto" w:fill="E7E7E2"/>
          </w:tcPr>
          <w:p>
            <w:pPr>
              <w:spacing w:after="0" w:line="186" w:lineRule="exact"/>
              <w:rPr>
                <w:sz w:val="20"/>
                <w:szCs w:val="20"/>
                <w:color w:val="auto"/>
              </w:rPr>
            </w:pPr>
            <w:r>
              <w:rPr>
                <w:rFonts w:ascii="Arial" w:cs="Arial" w:eastAsia="Arial" w:hAnsi="Arial"/>
                <w:sz w:val="17"/>
                <w:szCs w:val="17"/>
                <w:color w:val="auto"/>
              </w:rPr>
              <w:t>due</w:t>
            </w: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Borders>
              <w:left w:val="single" w:sz="8" w:color="auto"/>
            </w:tcBorders>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vMerge w:val="continue"/>
            <w:shd w:val="clear" w:color="auto" w:fill="E7E7E2"/>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E7E7E2"/>
          </w:tcPr>
          <w:p>
            <w:pPr>
              <w:spacing w:after="0"/>
              <w:rPr>
                <w:sz w:val="20"/>
                <w:szCs w:val="20"/>
                <w:color w:val="auto"/>
              </w:rPr>
            </w:pPr>
            <w:r>
              <w:rPr>
                <w:rFonts w:ascii="Arial" w:cs="Arial" w:eastAsia="Arial" w:hAnsi="Arial"/>
                <w:sz w:val="17"/>
                <w:szCs w:val="17"/>
                <w:color w:val="auto"/>
              </w:rPr>
              <w:t>2034</w:t>
            </w: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w w:val="96"/>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60" w:type="dxa"/>
            <w:vAlign w:val="bottom"/>
            <w:gridSpan w:val="5"/>
          </w:tcPr>
          <w:p>
            <w:pPr>
              <w:jc w:val="center"/>
              <w:ind w:right="77"/>
              <w:spacing w:after="0"/>
              <w:rPr>
                <w:sz w:val="20"/>
                <w:szCs w:val="20"/>
                <w:color w:val="auto"/>
              </w:rPr>
            </w:pPr>
            <w:r>
              <w:rPr>
                <w:rFonts w:ascii="Arial" w:cs="Arial" w:eastAsia="Arial" w:hAnsi="Arial"/>
                <w:sz w:val="17"/>
                <w:szCs w:val="17"/>
                <w:b w:val="1"/>
                <w:bCs w:val="1"/>
                <w:color w:val="auto"/>
                <w:w w:val="96"/>
              </w:rPr>
              <w:t>Carry Forward Securities</w:t>
            </w: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w w:val="98"/>
              </w:rPr>
              <w:t>$ 159,853.82</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w w:val="98"/>
              </w:rPr>
              <w:t>1,157,522,205.00</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0" w:type="dxa"/>
            <w:vAlign w:val="bottom"/>
            <w:gridSpan w:val="5"/>
          </w:tcPr>
          <w:p>
            <w:pPr>
              <w:jc w:val="right"/>
              <w:spacing w:after="0"/>
              <w:rPr>
                <w:sz w:val="20"/>
                <w:szCs w:val="20"/>
                <w:color w:val="auto"/>
              </w:rPr>
            </w:pPr>
            <w:r>
              <w:rPr>
                <w:rFonts w:ascii="Arial" w:cs="Arial" w:eastAsia="Arial" w:hAnsi="Arial"/>
                <w:sz w:val="17"/>
                <w:szCs w:val="17"/>
                <w:color w:val="auto"/>
                <w:w w:val="95"/>
              </w:rPr>
              <w:t>Total Fees Previously Paid:</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8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8"/>
              </w:rPr>
              <w:t>$ 159,853.82</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4" w:lineRule="exact"/>
        <w:rPr>
          <w:sz w:val="20"/>
          <w:szCs w:val="20"/>
          <w:color w:val="auto"/>
        </w:rPr>
      </w:pPr>
    </w:p>
    <w:p>
      <w:pPr>
        <w:jc w:val="both"/>
        <w:ind w:left="200" w:right="320" w:hanging="166"/>
        <w:spacing w:after="0" w:line="223" w:lineRule="auto"/>
        <w:tabs>
          <w:tab w:leader="none" w:pos="200" w:val="left"/>
        </w:tabs>
        <w:numPr>
          <w:ilvl w:val="0"/>
          <w:numId w:val="58"/>
        </w:numPr>
        <w:rPr>
          <w:rFonts w:ascii="Arial" w:cs="Arial" w:eastAsia="Arial" w:hAnsi="Arial"/>
          <w:sz w:val="21"/>
          <w:szCs w:val="21"/>
          <w:color w:val="auto"/>
          <w:vertAlign w:val="superscript"/>
        </w:rPr>
      </w:pPr>
      <w:r>
        <w:rPr>
          <w:rFonts w:ascii="Arial" w:cs="Arial" w:eastAsia="Arial" w:hAnsi="Arial"/>
          <w:sz w:val="17"/>
          <w:szCs w:val="17"/>
          <w:color w:val="auto"/>
        </w:rPr>
        <w:t>(1) The prospectus supplement to which this Exhibit is attached is a final prospectus for the related offering. The maximum aggregate amount of that offering is EUR1,000,000,000. (2) The amount registered and maximum aggregate offering price has been calculated using the EUR/USD exchange rate of EUR1.00/$1.1599, as reported by Bloomberg, L.P. as of 12:00 pm New York City time on 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60960</wp:posOffset>
            </wp:positionV>
            <wp:extent cx="715010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7150100" cy="38735"/>
                    </a:xfrm>
                    <a:prstGeom prst="rect">
                      <a:avLst/>
                    </a:prstGeom>
                    <a:noFill/>
                  </pic:spPr>
                </pic:pic>
              </a:graphicData>
            </a:graphic>
          </wp:anchor>
        </w:drawing>
      </w:r>
    </w:p>
    <w:p>
      <w:pPr>
        <w:spacing w:after="0" w:line="220" w:lineRule="exact"/>
        <w:rPr>
          <w:sz w:val="20"/>
          <w:szCs w:val="20"/>
          <w:color w:val="auto"/>
        </w:rPr>
      </w:pPr>
    </w:p>
    <w:p>
      <w:pPr>
        <w:jc w:val="both"/>
        <w:ind w:left="200" w:right="320" w:hanging="166"/>
        <w:spacing w:after="0" w:line="223" w:lineRule="auto"/>
        <w:tabs>
          <w:tab w:leader="none" w:pos="200" w:val="left"/>
        </w:tabs>
        <w:numPr>
          <w:ilvl w:val="0"/>
          <w:numId w:val="59"/>
        </w:numPr>
        <w:rPr>
          <w:rFonts w:ascii="Arial" w:cs="Arial" w:eastAsia="Arial" w:hAnsi="Arial"/>
          <w:sz w:val="21"/>
          <w:szCs w:val="21"/>
          <w:color w:val="auto"/>
          <w:vertAlign w:val="superscript"/>
        </w:rPr>
      </w:pPr>
      <w:r>
        <w:rPr>
          <w:rFonts w:ascii="Arial" w:cs="Arial" w:eastAsia="Arial" w:hAnsi="Arial"/>
          <w:sz w:val="17"/>
          <w:szCs w:val="17"/>
          <w:color w:val="auto"/>
        </w:rPr>
        <w:t>(1) The prospectus supplement to which this Exhibit is attached is a final prospectus for the related offering. The maximum aggregate amount of that offering is EUR1,000,000,000. (2) The amount registered and maximum aggregate offering price has been calculated using the EUR/USD exchange rate of EUR1.00/$1.1599, as reported by Bloomberg, L.P. as of 12:00 pm New York City time on 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60960</wp:posOffset>
            </wp:positionV>
            <wp:extent cx="715010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150100" cy="3873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71"/>
        </w:trPr>
        <w:tc>
          <w:tcPr>
            <w:tcW w:w="40" w:type="dxa"/>
            <w:vAlign w:val="bottom"/>
            <w:tcBorders>
              <w:bottom w:val="single" w:sz="8" w:color="auto"/>
            </w:tcBorders>
          </w:tcPr>
          <w:p>
            <w:pPr>
              <w:spacing w:after="0"/>
              <w:rPr>
                <w:sz w:val="23"/>
                <w:szCs w:val="23"/>
                <w:color w:val="auto"/>
              </w:rPr>
            </w:pPr>
          </w:p>
        </w:tc>
        <w:tc>
          <w:tcPr>
            <w:tcW w:w="336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6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14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6"/>
                <w:szCs w:val="16"/>
                <w:color w:val="auto"/>
              </w:rPr>
            </w:pPr>
          </w:p>
        </w:tc>
        <w:tc>
          <w:tcPr>
            <w:tcW w:w="900" w:type="dxa"/>
            <w:vAlign w:val="bottom"/>
            <w:tcBorders>
              <w:right w:val="single" w:sz="8" w:color="9ADAF6"/>
            </w:tcBorders>
            <w:gridSpan w:val="2"/>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0"/>
              </w:rPr>
              <w:t>Type</w:t>
            </w:r>
          </w:p>
        </w:tc>
        <w:tc>
          <w:tcPr>
            <w:tcW w:w="20" w:type="dxa"/>
            <w:vAlign w:val="bottom"/>
          </w:tcPr>
          <w:p>
            <w:pPr>
              <w:spacing w:after="0"/>
              <w:rPr>
                <w:sz w:val="16"/>
                <w:szCs w:val="16"/>
                <w:color w:val="auto"/>
              </w:rPr>
            </w:pPr>
          </w:p>
        </w:tc>
        <w:tc>
          <w:tcPr>
            <w:tcW w:w="900" w:type="dxa"/>
            <w:vAlign w:val="bottom"/>
            <w:tcBorders>
              <w:right w:val="single" w:sz="8" w:color="9ADAF6"/>
            </w:tcBorders>
            <w:gridSpan w:val="2"/>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4"/>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0" w:type="dxa"/>
            <w:vAlign w:val="bottom"/>
            <w:tcBorders>
              <w:left w:val="single" w:sz="8" w:color="9ADAF6"/>
            </w:tcBorders>
            <w:gridSpan w:val="3"/>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File</w:t>
            </w:r>
          </w:p>
        </w:tc>
        <w:tc>
          <w:tcPr>
            <w:tcW w:w="6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6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00" w:type="dxa"/>
            <w:vAlign w:val="bottom"/>
            <w:tcBorders>
              <w:right w:val="single" w:sz="8" w:color="9ADAF6"/>
            </w:tcBorders>
            <w:gridSpan w:val="2"/>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9"/>
              </w:rPr>
              <w:t>with</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0" w:type="dxa"/>
            <w:vAlign w:val="bottom"/>
            <w:tcBorders>
              <w:left w:val="single" w:sz="8" w:color="9ADAF6"/>
            </w:tcBorders>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shd w:val="clear" w:color="auto" w:fill="9ADAF6"/>
          </w:tcPr>
          <w:p>
            <w:pPr>
              <w:spacing w:after="0"/>
              <w:rPr>
                <w:sz w:val="8"/>
                <w:szCs w:val="8"/>
                <w:color w:val="auto"/>
              </w:rPr>
            </w:pPr>
          </w:p>
        </w:tc>
        <w:tc>
          <w:tcPr>
            <w:tcW w:w="6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Offset</w:t>
            </w: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right w:val="single" w:sz="8" w:color="9ADAF6"/>
            </w:tcBorders>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vMerge w:val="continue"/>
            <w:shd w:val="clear" w:color="auto" w:fill="9ADAF6"/>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42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left w:val="single" w:sz="8" w:color="9ADAF6"/>
            </w:tcBorders>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1320" w:type="dxa"/>
            <w:vAlign w:val="bottom"/>
            <w:shd w:val="clear" w:color="auto" w:fill="9ADAF6"/>
          </w:tcPr>
          <w:p>
            <w:pPr>
              <w:jc w:val="center"/>
              <w:ind w:right="197"/>
              <w:spacing w:after="0" w:line="166" w:lineRule="exact"/>
              <w:rPr>
                <w:sz w:val="20"/>
                <w:szCs w:val="20"/>
                <w:color w:val="auto"/>
              </w:rPr>
            </w:pPr>
            <w:r>
              <w:rPr>
                <w:rFonts w:ascii="Arial" w:cs="Arial" w:eastAsia="Arial" w:hAnsi="Arial"/>
                <w:sz w:val="17"/>
                <w:szCs w:val="17"/>
                <w:b w:val="1"/>
                <w:bCs w:val="1"/>
                <w:color w:val="auto"/>
                <w:w w:val="94"/>
              </w:rPr>
              <w:t>Name</w:t>
            </w: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76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6"/>
              </w:rPr>
              <w:t>Number</w:t>
            </w:r>
          </w:p>
        </w:tc>
        <w:tc>
          <w:tcPr>
            <w:tcW w:w="60" w:type="dxa"/>
            <w:vAlign w:val="bottom"/>
            <w:tcBorders>
              <w:right w:val="single" w:sz="8" w:color="9ADAF6"/>
            </w:tcBorders>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4"/>
                <w:szCs w:val="14"/>
                <w:color w:val="auto"/>
              </w:rPr>
            </w:pPr>
          </w:p>
        </w:tc>
        <w:tc>
          <w:tcPr>
            <w:tcW w:w="6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4"/>
                <w:szCs w:val="14"/>
                <w:color w:val="auto"/>
              </w:rPr>
            </w:pPr>
          </w:p>
        </w:tc>
        <w:tc>
          <w:tcPr>
            <w:tcW w:w="900" w:type="dxa"/>
            <w:vAlign w:val="bottom"/>
            <w:tcBorders>
              <w:right w:val="single" w:sz="8" w:color="9ADAF6"/>
            </w:tcBorders>
            <w:gridSpan w:val="2"/>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4"/>
                <w:szCs w:val="14"/>
                <w:color w:val="auto"/>
              </w:rPr>
            </w:pPr>
          </w:p>
        </w:tc>
        <w:tc>
          <w:tcPr>
            <w:tcW w:w="920" w:type="dxa"/>
            <w:vAlign w:val="bottom"/>
            <w:gridSpan w:val="3"/>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4"/>
                <w:szCs w:val="14"/>
                <w:color w:val="auto"/>
              </w:rPr>
            </w:pPr>
          </w:p>
        </w:tc>
        <w:tc>
          <w:tcPr>
            <w:tcW w:w="980" w:type="dxa"/>
            <w:vAlign w:val="bottom"/>
            <w:gridSpan w:val="3"/>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14"/>
                <w:szCs w:val="14"/>
                <w:color w:val="auto"/>
              </w:rPr>
            </w:pPr>
          </w:p>
        </w:tc>
        <w:tc>
          <w:tcPr>
            <w:tcW w:w="64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5"/>
              </w:rPr>
              <w:t>Fee</w:t>
            </w: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00" w:type="dxa"/>
            <w:vAlign w:val="bottom"/>
            <w:tcBorders>
              <w:right w:val="single" w:sz="8" w:color="9ADAF6"/>
            </w:tcBorders>
            <w:gridSpan w:val="2"/>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2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5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left w:val="single" w:sz="8" w:color="9ADAF6"/>
            </w:tcBorders>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3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9ADAF6"/>
          </w:tcPr>
          <w:p>
            <w:pPr>
              <w:spacing w:after="0" w:line="20" w:lineRule="exact"/>
              <w:rPr>
                <w:sz w:val="1"/>
                <w:szCs w:val="1"/>
                <w:color w:val="auto"/>
              </w:rPr>
            </w:pPr>
          </w:p>
        </w:tc>
        <w:tc>
          <w:tcPr>
            <w:tcW w:w="60" w:type="dxa"/>
            <w:vAlign w:val="bottom"/>
            <w:tcBorders>
              <w:right w:val="single" w:sz="8" w:color="9ADAF6"/>
            </w:tcBorders>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5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3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right w:val="single" w:sz="8" w:color="9ADAF6"/>
            </w:tcBorders>
            <w:gridSpan w:val="2"/>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vMerge w:val="continue"/>
            <w:shd w:val="clear" w:color="auto" w:fill="9ADAF6"/>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00" w:type="dxa"/>
            <w:vAlign w:val="bottom"/>
            <w:tcBorders>
              <w:right w:val="single" w:sz="8" w:color="9ADAF6"/>
            </w:tcBorders>
            <w:gridSpan w:val="2"/>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4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left w:val="single" w:sz="8" w:color="9ADAF6"/>
            </w:tcBorders>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3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60" w:type="dxa"/>
            <w:vAlign w:val="bottom"/>
            <w:tcBorders>
              <w:right w:val="single" w:sz="8" w:color="9ADAF6"/>
            </w:tcBorders>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140" w:type="dxa"/>
            <w:vAlign w:val="bottom"/>
            <w:tcBorders>
              <w:right w:val="single" w:sz="8" w:color="9ADAF6"/>
            </w:tcBorders>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10"/>
          </w:tcPr>
          <w:p>
            <w:pPr>
              <w:ind w:left="540"/>
              <w:spacing w:after="0"/>
              <w:rPr>
                <w:sz w:val="20"/>
                <w:szCs w:val="20"/>
                <w:color w:val="auto"/>
              </w:rPr>
            </w:pPr>
            <w:r>
              <w:rPr>
                <w:rFonts w:ascii="Arial" w:cs="Arial" w:eastAsia="Arial" w:hAnsi="Arial"/>
                <w:sz w:val="17"/>
                <w:szCs w:val="17"/>
                <w:b w:val="1"/>
                <w:bCs w:val="1"/>
                <w:color w:val="auto"/>
                <w:w w:val="99"/>
              </w:rPr>
              <w:t>Rules 457(b) and 0-11(a)(2)</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line="186"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6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14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lef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6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6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14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lef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4"/>
          </w:tcPr>
          <w:p>
            <w:pPr>
              <w:ind w:left="300"/>
              <w:spacing w:after="0"/>
              <w:rPr>
                <w:sz w:val="20"/>
                <w:szCs w:val="20"/>
                <w:color w:val="auto"/>
              </w:rPr>
            </w:pPr>
            <w:r>
              <w:rPr>
                <w:rFonts w:ascii="Arial" w:cs="Arial" w:eastAsia="Arial" w:hAnsi="Arial"/>
                <w:sz w:val="17"/>
                <w:szCs w:val="17"/>
                <w:b w:val="1"/>
                <w:bCs w:val="1"/>
                <w:color w:val="auto"/>
                <w:w w:val="98"/>
              </w:rPr>
              <w:t>Rule 457(p)</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line="186"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6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14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lef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6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6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14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lef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6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4"/>
            <w:shd w:val="clear" w:color="auto" w:fill="9ADAF6"/>
          </w:tcPr>
          <w:p>
            <w:pPr>
              <w:ind w:left="360"/>
              <w:spacing w:after="0" w:line="191" w:lineRule="exact"/>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6"/>
              </w:rPr>
              <w:t>Maximum Aggregate</w:t>
            </w:r>
          </w:p>
        </w:tc>
        <w:tc>
          <w:tcPr>
            <w:tcW w:w="14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660" w:type="dxa"/>
            <w:vAlign w:val="bottom"/>
            <w:gridSpan w:val="2"/>
            <w:vMerge w:val="restart"/>
            <w:shd w:val="clear" w:color="auto" w:fill="9ADAF6"/>
          </w:tcPr>
          <w:p>
            <w:pPr>
              <w:jc w:val="center"/>
              <w:ind w:right="137"/>
              <w:spacing w:after="0"/>
              <w:rPr>
                <w:sz w:val="20"/>
                <w:szCs w:val="20"/>
                <w:color w:val="auto"/>
              </w:rPr>
            </w:pPr>
            <w:r>
              <w:rPr>
                <w:rFonts w:ascii="Arial" w:cs="Arial" w:eastAsia="Arial" w:hAnsi="Arial"/>
                <w:sz w:val="17"/>
                <w:szCs w:val="17"/>
                <w:b w:val="1"/>
                <w:bCs w:val="1"/>
                <w:color w:val="auto"/>
                <w:w w:val="98"/>
              </w:rPr>
              <w:t>Initial</w:t>
            </w:r>
          </w:p>
        </w:tc>
        <w:tc>
          <w:tcPr>
            <w:tcW w:w="60" w:type="dxa"/>
            <w:vAlign w:val="bottom"/>
            <w:tcBorders>
              <w:left w:val="single" w:sz="8" w:color="9ADAF6"/>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4"/>
            <w:vMerge w:val="restart"/>
            <w:shd w:val="clear" w:color="auto" w:fill="9ADAF6"/>
          </w:tcPr>
          <w:p>
            <w:pPr>
              <w:ind w:left="380"/>
              <w:spacing w:after="0" w:line="186"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00" w:type="dxa"/>
            <w:vAlign w:val="bottom"/>
            <w:gridSpan w:val="3"/>
            <w:vMerge w:val="restart"/>
            <w:shd w:val="clear" w:color="auto" w:fill="9ADAF6"/>
          </w:tcPr>
          <w:p>
            <w:pPr>
              <w:jc w:val="center"/>
              <w:ind w:right="237"/>
              <w:spacing w:after="0" w:line="186" w:lineRule="exact"/>
              <w:rPr>
                <w:sz w:val="20"/>
                <w:szCs w:val="20"/>
                <w:color w:val="auto"/>
              </w:rPr>
            </w:pPr>
            <w:r>
              <w:rPr>
                <w:rFonts w:ascii="Arial" w:cs="Arial" w:eastAsia="Arial" w:hAnsi="Arial"/>
                <w:sz w:val="17"/>
                <w:szCs w:val="17"/>
                <w:b w:val="1"/>
                <w:bCs w:val="1"/>
                <w:color w:val="auto"/>
                <w:w w:val="97"/>
              </w:rPr>
              <w:t>Offering Price of</w:t>
            </w:r>
          </w:p>
        </w:tc>
        <w:tc>
          <w:tcPr>
            <w:tcW w:w="140" w:type="dxa"/>
            <w:vAlign w:val="bottom"/>
            <w:tcBorders>
              <w:right w:val="single" w:sz="8" w:color="9ADAF6"/>
            </w:tcBorders>
          </w:tcPr>
          <w:p>
            <w:pPr>
              <w:spacing w:after="0"/>
              <w:rPr>
                <w:sz w:val="8"/>
                <w:szCs w:val="8"/>
                <w:color w:val="auto"/>
              </w:rPr>
            </w:pPr>
          </w:p>
        </w:tc>
        <w:tc>
          <w:tcPr>
            <w:tcW w:w="540" w:type="dxa"/>
            <w:vAlign w:val="bottom"/>
            <w:gridSpan w:val="2"/>
            <w:vMerge w:val="restart"/>
            <w:shd w:val="clear" w:color="auto" w:fill="9ADAF6"/>
          </w:tcPr>
          <w:p>
            <w:pPr>
              <w:spacing w:after="0" w:line="186"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660" w:type="dxa"/>
            <w:vAlign w:val="bottom"/>
            <w:gridSpan w:val="2"/>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restart"/>
            <w:shd w:val="clear" w:color="auto" w:fill="9ADAF6"/>
          </w:tcPr>
          <w:p>
            <w:pPr>
              <w:ind w:left="260"/>
              <w:spacing w:after="0" w:line="186" w:lineRule="exact"/>
              <w:rPr>
                <w:sz w:val="20"/>
                <w:szCs w:val="20"/>
                <w:color w:val="auto"/>
              </w:rPr>
            </w:pPr>
            <w:r>
              <w:rPr>
                <w:rFonts w:ascii="Arial" w:cs="Arial" w:eastAsia="Arial" w:hAnsi="Arial"/>
                <w:sz w:val="17"/>
                <w:szCs w:val="17"/>
                <w:b w:val="1"/>
                <w:bCs w:val="1"/>
                <w:color w:val="auto"/>
                <w:w w:val="91"/>
              </w:rPr>
              <w:t>Security Type</w:t>
            </w:r>
          </w:p>
        </w:tc>
        <w:tc>
          <w:tcPr>
            <w:tcW w:w="26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40" w:type="dxa"/>
            <w:vAlign w:val="bottom"/>
            <w:gridSpan w:val="5"/>
            <w:vMerge w:val="restart"/>
            <w:shd w:val="clear" w:color="auto" w:fill="9ADAF6"/>
          </w:tcPr>
          <w:p>
            <w:pPr>
              <w:ind w:left="640"/>
              <w:spacing w:after="0" w:line="186" w:lineRule="exact"/>
              <w:rPr>
                <w:sz w:val="20"/>
                <w:szCs w:val="20"/>
                <w:color w:val="auto"/>
              </w:rPr>
            </w:pPr>
            <w:r>
              <w:rPr>
                <w:rFonts w:ascii="Arial" w:cs="Arial" w:eastAsia="Arial" w:hAnsi="Arial"/>
                <w:sz w:val="17"/>
                <w:szCs w:val="17"/>
                <w:b w:val="1"/>
                <w:bCs w:val="1"/>
                <w:color w:val="auto"/>
              </w:rPr>
              <w:t>Security Class Title</w:t>
            </w: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4"/>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00" w:type="dxa"/>
            <w:vAlign w:val="bottom"/>
            <w:gridSpan w:val="3"/>
            <w:vMerge w:val="continue"/>
            <w:shd w:val="clear" w:color="auto" w:fill="9ADAF6"/>
          </w:tcPr>
          <w:p>
            <w:pPr>
              <w:spacing w:after="0"/>
              <w:rPr>
                <w:sz w:val="8"/>
                <w:szCs w:val="8"/>
                <w:color w:val="auto"/>
              </w:rPr>
            </w:pPr>
          </w:p>
        </w:tc>
        <w:tc>
          <w:tcPr>
            <w:tcW w:w="140" w:type="dxa"/>
            <w:vAlign w:val="bottom"/>
            <w:tcBorders>
              <w:right w:val="single" w:sz="8" w:color="9ADAF6"/>
            </w:tcBorders>
          </w:tcPr>
          <w:p>
            <w:pPr>
              <w:spacing w:after="0"/>
              <w:rPr>
                <w:sz w:val="8"/>
                <w:szCs w:val="8"/>
                <w:color w:val="auto"/>
              </w:rPr>
            </w:pPr>
          </w:p>
        </w:tc>
        <w:tc>
          <w:tcPr>
            <w:tcW w:w="54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gridSpan w:val="3"/>
            <w:vMerge w:val="restart"/>
            <w:shd w:val="clear" w:color="auto" w:fill="9ADAF6"/>
          </w:tcPr>
          <w:p>
            <w:pPr>
              <w:ind w:left="100"/>
              <w:spacing w:after="0" w:line="186"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880" w:type="dxa"/>
            <w:vAlign w:val="bottom"/>
            <w:gridSpan w:val="3"/>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Effective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continue"/>
            <w:shd w:val="clear" w:color="auto" w:fill="9ADAF6"/>
          </w:tcPr>
          <w:p>
            <w:pPr>
              <w:spacing w:after="0"/>
              <w:rPr>
                <w:sz w:val="8"/>
                <w:szCs w:val="8"/>
                <w:color w:val="auto"/>
              </w:rPr>
            </w:pPr>
          </w:p>
        </w:tc>
        <w:tc>
          <w:tcPr>
            <w:tcW w:w="26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40" w:type="dxa"/>
            <w:vAlign w:val="bottom"/>
            <w:gridSpan w:val="5"/>
            <w:vMerge w:val="continue"/>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4"/>
            <w:vMerge w:val="restart"/>
            <w:shd w:val="clear" w:color="auto" w:fill="9ADAF6"/>
          </w:tcPr>
          <w:p>
            <w:pPr>
              <w:ind w:left="360"/>
              <w:spacing w:after="0" w:line="186"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Securities Previously</w:t>
            </w:r>
          </w:p>
        </w:tc>
        <w:tc>
          <w:tcPr>
            <w:tcW w:w="140" w:type="dxa"/>
            <w:vAlign w:val="bottom"/>
            <w:tcBorders>
              <w:right w:val="single" w:sz="8" w:color="9ADAF6"/>
            </w:tcBorders>
          </w:tcPr>
          <w:p>
            <w:pPr>
              <w:spacing w:after="0"/>
              <w:rPr>
                <w:sz w:val="8"/>
                <w:szCs w:val="8"/>
                <w:color w:val="auto"/>
              </w:rPr>
            </w:pPr>
          </w:p>
        </w:tc>
        <w:tc>
          <w:tcPr>
            <w:tcW w:w="540" w:type="dxa"/>
            <w:vAlign w:val="bottom"/>
            <w:gridSpan w:val="2"/>
            <w:vMerge w:val="restart"/>
            <w:shd w:val="clear" w:color="auto" w:fill="9ADAF6"/>
          </w:tcPr>
          <w:p>
            <w:pPr>
              <w:ind w:left="20"/>
              <w:spacing w:after="0" w:line="186"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gridSpan w:val="3"/>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4"/>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140" w:type="dxa"/>
            <w:vAlign w:val="bottom"/>
            <w:tcBorders>
              <w:right w:val="single" w:sz="8" w:color="9ADAF6"/>
            </w:tcBorders>
          </w:tcPr>
          <w:p>
            <w:pPr>
              <w:spacing w:after="0"/>
              <w:rPr>
                <w:sz w:val="8"/>
                <w:szCs w:val="8"/>
                <w:color w:val="auto"/>
              </w:rPr>
            </w:pPr>
          </w:p>
        </w:tc>
        <w:tc>
          <w:tcPr>
            <w:tcW w:w="54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40" w:type="dxa"/>
            <w:vAlign w:val="bottom"/>
            <w:vMerge w:val="restart"/>
            <w:shd w:val="clear" w:color="auto" w:fill="9ADAF6"/>
          </w:tcPr>
          <w:p>
            <w:pPr>
              <w:jc w:val="center"/>
              <w:ind w:right="157"/>
              <w:spacing w:after="0"/>
              <w:rPr>
                <w:sz w:val="20"/>
                <w:szCs w:val="20"/>
                <w:color w:val="auto"/>
              </w:rPr>
            </w:pPr>
            <w:r>
              <w:rPr>
                <w:rFonts w:ascii="Arial" w:cs="Arial" w:eastAsia="Arial" w:hAnsi="Arial"/>
                <w:sz w:val="17"/>
                <w:szCs w:val="17"/>
                <w:b w:val="1"/>
                <w:bCs w:val="1"/>
                <w:color w:val="auto"/>
                <w:w w:val="97"/>
              </w:rPr>
              <w:t>Date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60" w:type="dxa"/>
            <w:vAlign w:val="bottom"/>
            <w:tcBorders>
              <w:lef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60" w:type="dxa"/>
            <w:vAlign w:val="bottom"/>
            <w:tcBorders>
              <w:righ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w w:val="97"/>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00" w:type="dxa"/>
            <w:vAlign w:val="bottom"/>
            <w:gridSpan w:val="3"/>
            <w:vMerge w:val="restart"/>
            <w:shd w:val="clear" w:color="auto" w:fill="9ADAF6"/>
          </w:tcPr>
          <w:p>
            <w:pPr>
              <w:jc w:val="center"/>
              <w:ind w:right="237"/>
              <w:spacing w:after="0"/>
              <w:rPr>
                <w:sz w:val="20"/>
                <w:szCs w:val="20"/>
                <w:color w:val="auto"/>
              </w:rPr>
            </w:pPr>
            <w:r>
              <w:rPr>
                <w:rFonts w:ascii="Arial" w:cs="Arial" w:eastAsia="Arial" w:hAnsi="Arial"/>
                <w:sz w:val="17"/>
                <w:szCs w:val="17"/>
                <w:b w:val="1"/>
                <w:bCs w:val="1"/>
                <w:color w:val="auto"/>
                <w:w w:val="97"/>
              </w:rPr>
              <w:t>Registered</w:t>
            </w:r>
          </w:p>
        </w:tc>
        <w:tc>
          <w:tcPr>
            <w:tcW w:w="140" w:type="dxa"/>
            <w:vAlign w:val="bottom"/>
            <w:tcBorders>
              <w:right w:val="single" w:sz="8" w:color="9ADAF6"/>
            </w:tcBorders>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40" w:type="dxa"/>
            <w:vAlign w:val="bottom"/>
            <w:vMerge w:val="continue"/>
            <w:shd w:val="clear" w:color="auto" w:fill="9ADAF6"/>
          </w:tcPr>
          <w:p>
            <w:pPr>
              <w:spacing w:after="0"/>
              <w:rPr>
                <w:sz w:val="11"/>
                <w:szCs w:val="11"/>
                <w:color w:val="auto"/>
              </w:rPr>
            </w:pPr>
          </w:p>
        </w:tc>
        <w:tc>
          <w:tcPr>
            <w:tcW w:w="60" w:type="dxa"/>
            <w:vAlign w:val="bottom"/>
            <w:tcBorders>
              <w:left w:val="single" w:sz="8" w:color="9ADAF6"/>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tcBorders>
              <w:lef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6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4"/>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00" w:type="dxa"/>
            <w:vAlign w:val="bottom"/>
            <w:gridSpan w:val="3"/>
            <w:vMerge w:val="continue"/>
            <w:shd w:val="clear" w:color="auto" w:fill="9ADAF6"/>
          </w:tcPr>
          <w:p>
            <w:pPr>
              <w:spacing w:after="0"/>
              <w:rPr>
                <w:sz w:val="7"/>
                <w:szCs w:val="7"/>
                <w:color w:val="auto"/>
              </w:rPr>
            </w:pPr>
          </w:p>
        </w:tc>
        <w:tc>
          <w:tcPr>
            <w:tcW w:w="140" w:type="dxa"/>
            <w:vAlign w:val="bottom"/>
            <w:tcBorders>
              <w:right w:val="single" w:sz="8" w:color="9ADAF6"/>
            </w:tcBorders>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Narrative Disclosure</w:t>
      </w:r>
    </w:p>
    <w:p>
      <w:pPr>
        <w:spacing w:after="0" w:line="5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maximum aggregate offering price of the securities to which the prospectus relates is $1,157,522,205.00. The prospectus is a final prospectus for the</w:t>
      </w:r>
    </w:p>
    <w:p>
      <w:pPr>
        <w:sectPr>
          <w:pgSz w:w="11900" w:h="16884" w:orient="portrait"/>
          <w:cols w:equalWidth="0" w:num="1">
            <w:col w:w="11360"/>
          </w:cols>
          <w:pgMar w:left="300" w:top="141" w:right="239" w:bottom="0" w:gutter="0" w:footer="0" w:header="0"/>
        </w:sectPr>
      </w:pPr>
    </w:p>
    <w:bookmarkStart w:id="85" w:name="page86"/>
    <w:bookmarkEnd w:id="85"/>
    <w:p>
      <w:pPr>
        <w:jc w:val="center"/>
        <w:spacing w:after="0"/>
        <w:rPr>
          <w:sz w:val="20"/>
          <w:szCs w:val="20"/>
          <w:color w:val="auto"/>
        </w:rPr>
      </w:pPr>
      <w:r>
        <w:rPr>
          <w:rFonts w:ascii="Arial" w:cs="Arial" w:eastAsia="Arial" w:hAnsi="Arial"/>
          <w:sz w:val="16"/>
          <w:szCs w:val="16"/>
          <w:color w:val="auto"/>
        </w:rPr>
        <w:t>related offering.</w:t>
      </w:r>
    </w:p>
    <w:sectPr>
      <w:pgSz w:w="11900" w:h="16838" w:orient="portrait"/>
      <w:cols w:equalWidth="0" w:num="1">
        <w:col w:w="9019"/>
      </w:cols>
      <w:pgMar w:left="1440" w:top="1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1)"/>
      <w:numFmt w:val="decimal"/>
      <w:start w:val="1"/>
    </w:lvl>
  </w:abstractNum>
  <w:abstractNum w:abstractNumId="1">
    <w:nsid w:val="1E7FF521"/>
    <w:multiLevelType w:val="hybridMultilevel"/>
    <w:lvl w:ilvl="0">
      <w:lvlJc w:val="left"/>
      <w:lvlText w:val="(%1)"/>
      <w:numFmt w:val="lowerLetter"/>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1)"/>
      <w:numFmt w:val="decimal"/>
      <w:start w:val="1"/>
    </w:lvl>
  </w:abstractNum>
  <w:abstractNum w:abstractNumId="9">
    <w:nsid w:val="419AC241"/>
    <w:multiLevelType w:val="hybridMultilevel"/>
    <w:lvl w:ilvl="0">
      <w:lvlJc w:val="left"/>
      <w:lvlText w:val="(%1)"/>
      <w:numFmt w:val="decimal"/>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1)"/>
      <w:numFmt w:val="decimal"/>
      <w:start w:val="1"/>
    </w:lvl>
  </w:abstractNum>
  <w:abstractNum w:abstractNumId="15">
    <w:nsid w:val="7724C67E"/>
    <w:multiLevelType w:val="hybridMultilevel"/>
    <w:lvl w:ilvl="0">
      <w:lvlJc w:val="left"/>
      <w:lvlText w:val="(%1)"/>
      <w:numFmt w:val="decimal"/>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1)"/>
      <w:numFmt w:val="decimal"/>
      <w:start w:val="62"/>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1"/>
      <w:numFmt w:val="lowerLetter"/>
      <w:start w:val="1"/>
    </w:lvl>
    <w:lvl w:ilvl="1">
      <w:lvlJc w:val="left"/>
      <w:lvlText w:val="(%2)"/>
      <w:numFmt w:val="lowerLetter"/>
      <w:start w:val="1"/>
    </w:lvl>
  </w:abstractNum>
  <w:abstractNum w:abstractNumId="21">
    <w:nsid w:val="580BD78F"/>
    <w:multiLevelType w:val="hybridMultilevel"/>
    <w:lvl w:ilvl="0">
      <w:lvlJc w:val="left"/>
      <w:lvlText w:val="(%1)"/>
      <w:numFmt w:val="lowerLetter"/>
      <w:start w:val="61"/>
    </w:lvl>
    <w:lvl w:ilvl="1">
      <w:lvlJc w:val="left"/>
      <w:lvlText w:val="(%2)"/>
      <w:numFmt w:val="lowerLetter"/>
      <w:start w:val="5"/>
    </w:lvl>
  </w:abstractNum>
  <w:abstractNum w:abstractNumId="22">
    <w:nsid w:val="153EA438"/>
    <w:multiLevelType w:val="hybridMultilevel"/>
    <w:lvl w:ilvl="0">
      <w:lvlJc w:val="left"/>
      <w:lvlText w:val="(%1)"/>
      <w:numFmt w:val="lowerLetter"/>
      <w:start w:val="7"/>
    </w:lvl>
  </w:abstractNum>
  <w:abstractNum w:abstractNumId="23">
    <w:nsid w:val="3855585C"/>
    <w:multiLevelType w:val="hybridMultilevel"/>
    <w:lvl w:ilvl="0">
      <w:lvlJc w:val="left"/>
      <w:lvlText w:val="(%1)"/>
      <w:numFmt w:val="lowerLetter"/>
      <w:start w:val="19"/>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lvl w:ilvl="1">
      <w:lvlJc w:val="left"/>
      <w:lvlText w:val="•"/>
      <w:numFmt w:val="bullet"/>
      <w:start w:val="1"/>
    </w:lvl>
  </w:abstractNum>
  <w:abstractNum w:abstractNumId="33">
    <w:nsid w:val="542289EC"/>
    <w:multiLevelType w:val="hybridMultilevel"/>
    <w:lvl w:ilvl="0">
      <w:lvlJc w:val="left"/>
      <w:lvlText w:val="(%1)"/>
      <w:numFmt w:val="lowerRoman"/>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1)"/>
      <w:numFmt w:val="lowerLetter"/>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1)"/>
      <w:numFmt w:val="decimal"/>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
      <w:numFmt w:val="bullet"/>
      <w:start w:val="1"/>
    </w:lvl>
    <w:lvl w:ilvl="1">
      <w:lvlJc w:val="left"/>
      <w:lvlText w:val="•"/>
      <w:numFmt w:val="bullet"/>
      <w:start w:val="1"/>
    </w:lvl>
  </w:abstractNum>
  <w:abstractNum w:abstractNumId="48">
    <w:nsid w:val="374A3FE6"/>
    <w:multiLevelType w:val="hybridMultilevel"/>
    <w:lvl w:ilvl="0">
      <w:lvlJc w:val="left"/>
      <w:lvlText w:val="(%1)"/>
      <w:numFmt w:val="decimal"/>
      <w:start w:val="1"/>
    </w:lvl>
  </w:abstractNum>
  <w:abstractNum w:abstractNumId="49">
    <w:nsid w:val="4F4EF005"/>
    <w:multiLevelType w:val="hybridMultilevel"/>
    <w:lvl w:ilvl="0">
      <w:lvlJc w:val="left"/>
      <w:lvlText w:val="(%1)"/>
      <w:numFmt w:val="decimal"/>
      <w:start w:val="2"/>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
      <w:numFmt w:val="bullet"/>
      <w:start w:val="1"/>
    </w:lvl>
  </w:abstractNum>
  <w:abstractNum w:abstractNumId="56">
    <w:nsid w:val="235BA861"/>
    <w:multiLevelType w:val="hybridMultilevel"/>
    <w:lvl w:ilvl="0">
      <w:lvlJc w:val="left"/>
      <w:lvlText w:val="•"/>
      <w:numFmt w:val="bullet"/>
      <w:start w:val="1"/>
    </w:lvl>
  </w:abstractNum>
  <w:abstractNum w:abstractNumId="57">
    <w:nsid w:val="47398C89"/>
    <w:multiLevelType w:val="hybridMultilevel"/>
    <w:lvl w:ilvl="0">
      <w:lvlJc w:val="left"/>
      <w:lvlText w:val="1"/>
      <w:numFmt w:val="bullet"/>
      <w:start w:val="1"/>
    </w:lvl>
  </w:abstractNum>
  <w:abstractNum w:abstractNumId="58">
    <w:nsid w:val="354FE9F9"/>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jpe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jpe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9" Type="http://schemas.openxmlformats.org/officeDocument/2006/relationships/hyperlink" Target="http://www.sec.gov/ix?doc=/Archives/edgar/data/0000798354/000079835426000009/fi-20251231.htm" TargetMode="External"/><Relationship Id="rId20" Type="http://schemas.openxmlformats.org/officeDocument/2006/relationships/hyperlink" Target="http://www.sec.gov/ix?doc=/Archives/edgar/data/0000798354/000079835426000018/fisv-20260331.htm" TargetMode="External"/><Relationship Id="rId21" Type="http://schemas.openxmlformats.org/officeDocument/2006/relationships/hyperlink" Target="http://www.sec.gov/ix?doc=/Archives/edgar/data/0000798354/000119312526060345/d38810d8k.htm" TargetMode="External"/><Relationship Id="rId22" Type="http://schemas.openxmlformats.org/officeDocument/2006/relationships/hyperlink" Target="http://www.sec.gov/ix?doc=/Archives/edgar/data/0000798354/000119312526237041/d140530d8k.htm" TargetMode="External"/><Relationship Id="rId23" Type="http://schemas.openxmlformats.org/officeDocument/2006/relationships/hyperlink" Target="http://www.sec.gov/ix?doc=/Archives/edgar/data/0000798354/000119312526270336/d153349d8k.htm" TargetMode="External"/><Relationship Id="rId24" Type="http://schemas.openxmlformats.org/officeDocument/2006/relationships/hyperlink" Target="http://www.sec.gov/ix?doc=/Archives/edgar/data/0000798354/000114036126013003/ny20062579x1_def14a.htm" TargetMode="External"/><Relationship Id="rId113" Type="http://schemas.openxmlformats.org/officeDocument/2006/relationships/hyperlink" Target="http://www.sec.gov/ix?doc=/Archives/edgar/data/0000798354/000079835425000047/fi-20241231.htm" TargetMode="External"/><Relationship Id="rId114" Type="http://schemas.openxmlformats.org/officeDocument/2006/relationships/hyperlink" Target="http://www.sec.gov/ix?doc=/Archives/edgar/data/798354/000119312525011514/d878275d8k.htm" TargetMode="External"/><Relationship Id="rId115" Type="http://schemas.openxmlformats.org/officeDocument/2006/relationships/hyperlink" Target="http://www.sec.gov/ix?doc=/Archives/edgar/data/0000798354/000119312525055674/d808558d8k.htm" TargetMode="External"/><Relationship Id="rId116" Type="http://schemas.openxmlformats.org/officeDocument/2006/relationships/hyperlink" Target="http://www.sec.gov/ix?doc=/Archives/edgar/data/0000798354/000119312525070953/d892958d8k.htm" TargetMode="External"/><Relationship Id="rId117" Type="http://schemas.openxmlformats.org/officeDocument/2006/relationships/hyperlink" Target="http://www.sec.gov/ix?doc=/Archives/edgar/data/0000798354/000114036125011869/ny20041471x1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2026-06-17T15:45:16Z</dcterms:created>
  <dcterms:modified xsi:type="dcterms:W3CDTF">2026-06-17T15:45:16Z</dcterms:modified>
</cp:coreProperties>
</file>