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p>
      <w:pPr>
        <w:jc w:val="center"/>
        <w:ind w:left="1660"/>
        <w:spacing w:after="0" w:line="238" w:lineRule="auto"/>
        <w:rPr>
          <w:sz w:val="20"/>
          <w:szCs w:val="20"/>
          <w:color w:val="auto"/>
        </w:rPr>
      </w:pPr>
      <w:r>
        <w:rPr>
          <w:rFonts w:ascii="Courier New" w:cs="Courier New" w:eastAsia="Courier New" w:hAnsi="Courier New"/>
          <w:sz w:val="18"/>
          <w:szCs w:val="18"/>
          <w:color w:val="auto"/>
        </w:rPr>
        <w:t>OMB APPROVAL</w:t>
      </w:r>
    </w:p>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2"/>
        </w:trPr>
        <w:tc>
          <w:tcPr>
            <w:tcW w:w="252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24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6"/>
              </w:rPr>
              <w:t>February 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average burden</w:t>
            </w:r>
          </w:p>
        </w:tc>
        <w:tc>
          <w:tcPr>
            <w:tcW w:w="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1"/>
              </w:rPr>
              <w:t>response...........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_)*</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Checkfree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$0.01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162813109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1"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(03-06)</w:t>
      </w:r>
    </w:p>
    <w:p>
      <w:pPr>
        <w:ind w:left="3380"/>
        <w:spacing w:after="0" w:line="238" w:lineRule="auto"/>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7"/>
              </w:rPr>
              <w:t>- -----------------------</w:t>
            </w:r>
          </w:p>
        </w:tc>
        <w:tc>
          <w:tcPr>
            <w:tcW w:w="1060" w:type="dxa"/>
            <w:vAlign w:val="bottom"/>
          </w:tcPr>
          <w:p>
            <w:pPr>
              <w:spacing w:after="0"/>
              <w:rPr>
                <w:sz w:val="17"/>
                <w:szCs w:val="17"/>
                <w:color w:val="auto"/>
              </w:rPr>
            </w:pPr>
          </w:p>
        </w:tc>
      </w:tr>
      <w:tr>
        <w:trPr>
          <w:trHeight w:val="203"/>
        </w:trPr>
        <w:tc>
          <w:tcPr>
            <w:tcW w:w="33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CUSIP No. 162813109</w:t>
            </w:r>
          </w:p>
        </w:tc>
        <w:tc>
          <w:tcPr>
            <w:tcW w:w="1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2"/>
              </w:rPr>
              <w:t>13G</w:t>
            </w:r>
          </w:p>
        </w:tc>
      </w:tr>
    </w:tbl>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640" w:hanging="527"/>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180" w:hanging="430"/>
        <w:spacing w:after="0" w:line="238" w:lineRule="auto"/>
        <w:tabs>
          <w:tab w:leader="none" w:pos="718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180" w:hanging="430"/>
        <w:spacing w:after="0" w:line="238" w:lineRule="auto"/>
        <w:tabs>
          <w:tab w:leader="none" w:pos="718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17"/>
                <w:szCs w:val="17"/>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5,582,798</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6,641,162</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6,641,162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7.5%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7 pages</w:t>
      </w:r>
    </w:p>
    <w:p>
      <w:pPr>
        <w:sectPr>
          <w:pgSz w:w="11900" w:h="16838" w:orient="portrait"/>
          <w:cols w:equalWidth="0" w:num="1">
            <w:col w:w="10219"/>
          </w:cols>
          <w:pgMar w:left="240" w:top="136" w:right="1440" w:bottom="1440" w:gutter="0" w:footer="0" w:header="0"/>
        </w:sectPr>
      </w:pPr>
    </w:p>
    <w:bookmarkStart w:id="2" w:name="page3"/>
    <w:bookmarkEnd w:id="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Checkfree Corporation</w:t>
      </w:r>
    </w:p>
    <w:p>
      <w:pPr>
        <w:spacing w:after="0" w:line="200" w:lineRule="exact"/>
        <w:rPr>
          <w:sz w:val="20"/>
          <w:szCs w:val="20"/>
          <w:color w:val="auto"/>
        </w:rPr>
      </w:pPr>
    </w:p>
    <w:p>
      <w:pPr>
        <w:sectPr>
          <w:pgSz w:w="11900" w:h="16838" w:orient="portrait"/>
          <w:cols w:equalWidth="0" w:num="2">
            <w:col w:w="1280" w:space="720"/>
            <w:col w:w="8219"/>
          </w:cols>
          <w:pgMar w:left="240" w:top="919"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Address of Issuer's Principal Executive Offices: 4411 East Jones Bridge Road Norcross, GA 30092</w:t>
      </w:r>
    </w:p>
    <w:p>
      <w:pPr>
        <w:spacing w:after="0" w:line="200" w:lineRule="exact"/>
        <w:rPr>
          <w:sz w:val="20"/>
          <w:szCs w:val="20"/>
          <w:color w:val="auto"/>
        </w:rPr>
      </w:pPr>
    </w:p>
    <w:p>
      <w:pPr>
        <w:sectPr>
          <w:pgSz w:w="11900" w:h="16838" w:orient="portrait"/>
          <w:cols w:equalWidth="0" w:num="2">
            <w:col w:w="1280" w:space="720"/>
            <w:col w:w="8219"/>
          </w:cols>
          <w:pgMar w:left="240" w:top="919"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Persons Filing: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Asset Management, L.P.</w:t>
      </w:r>
    </w:p>
    <w:p>
      <w:pPr>
        <w:spacing w:after="0" w:line="200" w:lineRule="exact"/>
        <w:rPr>
          <w:sz w:val="20"/>
          <w:szCs w:val="20"/>
          <w:color w:val="auto"/>
        </w:rPr>
      </w:pPr>
    </w:p>
    <w:p>
      <w:pPr>
        <w:sectPr>
          <w:pgSz w:w="11900" w:h="16838" w:orient="portrait"/>
          <w:cols w:equalWidth="0" w:num="2">
            <w:col w:w="1280" w:space="720"/>
            <w:col w:w="821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 Old Slip</w:t>
      </w:r>
    </w:p>
    <w:p>
      <w:pPr>
        <w:spacing w:after="0" w:line="238" w:lineRule="auto"/>
        <w:tabs>
          <w:tab w:leader="none" w:pos="1460" w:val="left"/>
        </w:tabs>
        <w:rPr>
          <w:sz w:val="20"/>
          <w:szCs w:val="20"/>
          <w:color w:val="auto"/>
        </w:rPr>
      </w:pPr>
      <w:r>
        <w:rPr>
          <w:rFonts w:ascii="Courier New" w:cs="Courier New" w:eastAsia="Courier New" w:hAnsi="Courier New"/>
          <w:sz w:val="18"/>
          <w:szCs w:val="18"/>
          <w:color w:val="auto"/>
        </w:rPr>
        <w:t>New York, NY</w:t>
        <w:tab/>
        <w:t>10005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none, Residence:</w:t>
      </w:r>
    </w:p>
    <w:p>
      <w:pPr>
        <w:spacing w:after="0" w:line="621" w:lineRule="exact"/>
        <w:rPr>
          <w:sz w:val="20"/>
          <w:szCs w:val="20"/>
          <w:color w:val="auto"/>
        </w:rPr>
      </w:pPr>
    </w:p>
    <w:p>
      <w:pPr>
        <w:sectPr>
          <w:pgSz w:w="11900" w:h="16838" w:orient="portrait"/>
          <w:cols w:equalWidth="0" w:num="3">
            <w:col w:w="1280" w:space="720"/>
            <w:col w:w="4220" w:space="220"/>
            <w:col w:w="377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ectPr>
          <w:pgSz w:w="11900" w:h="16838" w:orient="portrait"/>
          <w:cols w:equalWidth="0" w:num="2">
            <w:col w:w="1280" w:space="720"/>
            <w:col w:w="821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$0.01 par value</w:t>
      </w:r>
    </w:p>
    <w:p>
      <w:pPr>
        <w:spacing w:after="0" w:line="200" w:lineRule="exact"/>
        <w:rPr>
          <w:sz w:val="20"/>
          <w:szCs w:val="20"/>
          <w:color w:val="auto"/>
        </w:rPr>
      </w:pPr>
    </w:p>
    <w:p>
      <w:pPr>
        <w:sectPr>
          <w:pgSz w:w="11900" w:h="16838" w:orient="portrait"/>
          <w:cols w:equalWidth="0" w:num="2">
            <w:col w:w="1280" w:space="720"/>
            <w:col w:w="821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162813109</w:t>
      </w:r>
    </w:p>
    <w:p>
      <w:pPr>
        <w:spacing w:after="0" w:line="200" w:lineRule="exact"/>
        <w:rPr>
          <w:sz w:val="20"/>
          <w:szCs w:val="20"/>
          <w:color w:val="auto"/>
        </w:rPr>
      </w:pPr>
    </w:p>
    <w:p>
      <w:pPr>
        <w:sectPr>
          <w:pgSz w:w="11900" w:h="16838" w:orient="portrait"/>
          <w:cols w:equalWidth="0" w:num="2">
            <w:col w:w="1280" w:space="720"/>
            <w:col w:w="821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ind w:right="2319"/>
        <w:spacing w:after="0" w:line="290" w:lineRule="auto"/>
        <w:rPr>
          <w:sz w:val="20"/>
          <w:szCs w:val="20"/>
          <w:color w:val="auto"/>
        </w:rPr>
      </w:pPr>
      <w:r>
        <w:rPr>
          <w:rFonts w:ascii="Courier New" w:cs="Courier New" w:eastAsia="Courier New" w:hAnsi="Courier New"/>
          <w:sz w:val="16"/>
          <w:szCs w:val="16"/>
          <w:color w:val="auto"/>
        </w:rPr>
        <w:t>If this statement is filed pursuant to Rules 13d-1(b) or 13d-2(b) or (c), check whether the person filing is a :</w:t>
      </w:r>
    </w:p>
    <w:p>
      <w:pPr>
        <w:spacing w:after="0" w:line="170" w:lineRule="exact"/>
        <w:rPr>
          <w:sz w:val="20"/>
          <w:szCs w:val="20"/>
          <w:color w:val="auto"/>
        </w:rPr>
      </w:pPr>
    </w:p>
    <w:p>
      <w:pPr>
        <w:sectPr>
          <w:pgSz w:w="11900" w:h="16838" w:orient="portrait"/>
          <w:cols w:equalWidth="0" w:num="2">
            <w:col w:w="1280" w:space="720"/>
            <w:col w:w="8219"/>
          </w:cols>
          <w:pgMar w:left="240" w:top="919" w:right="1440" w:bottom="1440" w:gutter="0" w:footer="0" w:header="0"/>
          <w:type w:val="continuous"/>
        </w:sectPr>
      </w:pPr>
    </w:p>
    <w:p>
      <w:pPr>
        <w:ind w:left="2000" w:right="241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(a).[_]</w:t>
        <w:tab/>
        <w:t>Broker or dealer registered under Section 15 of the Act (15 U.S.C. 78o).</w:t>
      </w:r>
    </w:p>
    <w:p>
      <w:pPr>
        <w:spacing w:after="0" w:line="208" w:lineRule="exact"/>
        <w:rPr>
          <w:sz w:val="20"/>
          <w:szCs w:val="20"/>
          <w:color w:val="auto"/>
        </w:rPr>
      </w:pPr>
    </w:p>
    <w:p>
      <w:pPr>
        <w:ind w:left="2000" w:right="347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(b).[_]</w:t>
        <w:tab/>
        <w:t>Bank as defined in Section 3(a)(6) of the Act (15 U.S.C. 78c).</w:t>
      </w:r>
    </w:p>
    <w:p>
      <w:pPr>
        <w:spacing w:after="0" w:line="208" w:lineRule="exact"/>
        <w:rPr>
          <w:sz w:val="20"/>
          <w:szCs w:val="20"/>
          <w:color w:val="auto"/>
        </w:rPr>
      </w:pPr>
    </w:p>
    <w:p>
      <w:pPr>
        <w:ind w:left="2000" w:right="199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(c).[_]</w:t>
        <w:tab/>
        <w:t>Insurance company as defined in Section 3(a)(19) of the Act (15 U.S.C. 78c).</w:t>
      </w:r>
    </w:p>
    <w:p>
      <w:pPr>
        <w:spacing w:after="0" w:line="208" w:lineRule="exact"/>
        <w:rPr>
          <w:sz w:val="20"/>
          <w:szCs w:val="20"/>
          <w:color w:val="auto"/>
        </w:rPr>
      </w:pPr>
    </w:p>
    <w:p>
      <w:pPr>
        <w:ind w:left="2000" w:right="2739" w:hanging="947"/>
        <w:spacing w:after="0" w:line="290" w:lineRule="auto"/>
        <w:tabs>
          <w:tab w:leader="none" w:pos="1980" w:val="left"/>
        </w:tabs>
        <w:rPr>
          <w:sz w:val="20"/>
          <w:szCs w:val="20"/>
          <w:color w:val="auto"/>
        </w:rPr>
      </w:pPr>
      <w:r>
        <w:rPr>
          <w:rFonts w:ascii="Courier New" w:cs="Courier New" w:eastAsia="Courier New" w:hAnsi="Courier New"/>
          <w:sz w:val="18"/>
          <w:szCs w:val="18"/>
          <w:color w:val="auto"/>
        </w:rPr>
        <w:t>(d).[_]</w:t>
      </w:r>
      <w:r>
        <w:rPr>
          <w:sz w:val="20"/>
          <w:szCs w:val="20"/>
          <w:color w:val="auto"/>
        </w:rPr>
        <w:tab/>
      </w:r>
      <w:r>
        <w:rPr>
          <w:rFonts w:ascii="Courier New" w:cs="Courier New" w:eastAsia="Courier New" w:hAnsi="Courier New"/>
          <w:sz w:val="16"/>
          <w:szCs w:val="16"/>
          <w:color w:val="auto"/>
        </w:rPr>
        <w:t>Investment company registered under Section 8 of the Investment Company Act of 1940 (15 U.S.C. 80a-8).</w:t>
      </w:r>
    </w:p>
    <w:p>
      <w:pPr>
        <w:spacing w:after="0" w:line="170" w:lineRule="exact"/>
        <w:rPr>
          <w:sz w:val="20"/>
          <w:szCs w:val="20"/>
          <w:color w:val="auto"/>
        </w:rPr>
      </w:pPr>
    </w:p>
    <w:p>
      <w:pPr>
        <w:ind w:left="2000" w:right="399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(e).[X]</w:t>
        <w:tab/>
        <w:t>An investment adviser in accordance with Rule 13d-1(b)(1)(ii)(E);</w:t>
      </w:r>
    </w:p>
    <w:p>
      <w:pPr>
        <w:spacing w:after="0" w:line="208" w:lineRule="exact"/>
        <w:rPr>
          <w:sz w:val="20"/>
          <w:szCs w:val="20"/>
          <w:color w:val="auto"/>
        </w:rPr>
      </w:pPr>
    </w:p>
    <w:p>
      <w:pPr>
        <w:ind w:left="2000" w:right="231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(f).[_]</w:t>
        <w:tab/>
        <w:t>An employee benefit plan or endowment fund in accordance with Rule 13d-1(b)(1)(ii)(F);</w:t>
      </w:r>
    </w:p>
    <w:p>
      <w:pPr>
        <w:spacing w:after="0" w:line="208" w:lineRule="exact"/>
        <w:rPr>
          <w:sz w:val="20"/>
          <w:szCs w:val="20"/>
          <w:color w:val="auto"/>
        </w:rPr>
      </w:pPr>
    </w:p>
    <w:p>
      <w:pPr>
        <w:ind w:left="2000" w:right="231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(g).[_]</w:t>
        <w:tab/>
        <w:t>A parent holding company or control person in accordance with Rule 13d-1(b)(1)(ii)(G);</w:t>
      </w:r>
    </w:p>
    <w:p>
      <w:pPr>
        <w:spacing w:after="0" w:line="208" w:lineRule="exact"/>
        <w:rPr>
          <w:sz w:val="20"/>
          <w:szCs w:val="20"/>
          <w:color w:val="auto"/>
        </w:rPr>
      </w:pPr>
    </w:p>
    <w:p>
      <w:pPr>
        <w:ind w:left="2000" w:right="241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(h).[_]</w:t>
        <w:tab/>
        <w:t>A savings association as defined in Section 3(b) of the Federal Deposit Insurance Act (12 U.S.C. 1813);</w:t>
      </w:r>
    </w:p>
    <w:p>
      <w:pPr>
        <w:spacing w:after="0" w:line="208" w:lineRule="exact"/>
        <w:rPr>
          <w:sz w:val="20"/>
          <w:szCs w:val="20"/>
          <w:color w:val="auto"/>
        </w:rPr>
      </w:pPr>
    </w:p>
    <w:p>
      <w:pPr>
        <w:ind w:left="2000" w:right="2319" w:hanging="947"/>
        <w:spacing w:after="0" w:line="236" w:lineRule="auto"/>
        <w:tabs>
          <w:tab w:leader="none" w:pos="1980" w:val="left"/>
        </w:tabs>
        <w:rPr>
          <w:sz w:val="20"/>
          <w:szCs w:val="20"/>
          <w:color w:val="auto"/>
        </w:rPr>
      </w:pPr>
      <w:r>
        <w:rPr>
          <w:rFonts w:ascii="Courier New" w:cs="Courier New" w:eastAsia="Courier New" w:hAnsi="Courier New"/>
          <w:sz w:val="18"/>
          <w:szCs w:val="18"/>
          <w:color w:val="auto"/>
        </w:rPr>
        <w:t>(i).[_]</w:t>
        <w:tab/>
        <w:t>A church plan that is excluded from the definition of an investment company under Section 3(c)(14) of the Investment Company Act of 1940 (15 U.S.C. 80a-3);</w:t>
      </w:r>
    </w:p>
    <w:p>
      <w:pPr>
        <w:spacing w:after="0" w:line="203"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(j).[_]</w:t>
      </w:r>
      <w:r>
        <w:rPr>
          <w:sz w:val="20"/>
          <w:szCs w:val="20"/>
          <w:color w:val="auto"/>
        </w:rPr>
        <w:tab/>
      </w:r>
      <w:r>
        <w:rPr>
          <w:rFonts w:ascii="Courier New" w:cs="Courier New" w:eastAsia="Courier New" w:hAnsi="Courier New"/>
          <w:sz w:val="16"/>
          <w:szCs w:val="16"/>
          <w:color w:val="auto"/>
        </w:rPr>
        <w:t>Group, in accordance with Rule 13d-1(b)(1)(ii)(J).</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7 pages</w:t>
      </w:r>
    </w:p>
    <w:p>
      <w:pPr>
        <w:sectPr>
          <w:pgSz w:w="11900" w:h="16838" w:orient="portrait"/>
          <w:cols w:equalWidth="0" w:num="1">
            <w:col w:w="10219"/>
          </w:cols>
          <w:pgMar w:left="240" w:top="919"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rPr>
              <w:t>Ownership. *</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w w:val="99"/>
              </w:rPr>
              <w:t>Amount beneficially</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owned:</w:t>
            </w:r>
          </w:p>
        </w:tc>
        <w:tc>
          <w:tcPr>
            <w:tcW w:w="3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See the response(s)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Item  9</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attached cover page(s).</w:t>
            </w: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See the response(s)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Item 11</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attached cover page(s).</w:t>
            </w: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w w:val="99"/>
              </w:rPr>
              <w:t>Number of shares as</w:t>
            </w:r>
          </w:p>
        </w:tc>
        <w:tc>
          <w:tcPr>
            <w:tcW w:w="1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to which such</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person has:</w:t>
            </w:r>
          </w:p>
        </w:tc>
      </w:tr>
    </w:tbl>
    <w:p>
      <w:pPr>
        <w:spacing w:after="0" w:line="207" w:lineRule="exact"/>
        <w:rPr>
          <w:sz w:val="20"/>
          <w:szCs w:val="20"/>
          <w:color w:val="auto"/>
        </w:rPr>
      </w:pPr>
    </w:p>
    <w:p>
      <w:pPr>
        <w:jc w:val="both"/>
        <w:ind w:left="2960" w:right="1779" w:hanging="947"/>
        <w:spacing w:after="0" w:line="290" w:lineRule="auto"/>
        <w:tabs>
          <w:tab w:leader="none" w:pos="29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 See the response(s) to Item 5 on the attached cover page(s).</w:t>
      </w:r>
    </w:p>
    <w:p>
      <w:pPr>
        <w:spacing w:after="0" w:line="170" w:lineRule="exact"/>
        <w:rPr>
          <w:sz w:val="20"/>
          <w:szCs w:val="20"/>
          <w:color w:val="auto"/>
        </w:rPr>
      </w:pPr>
    </w:p>
    <w:p>
      <w:pPr>
        <w:jc w:val="both"/>
        <w:ind w:left="2960" w:right="1779" w:hanging="947"/>
        <w:spacing w:after="0" w:line="290" w:lineRule="auto"/>
        <w:tabs>
          <w:tab w:leader="none" w:pos="29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spacing w:after="0" w:line="170" w:lineRule="exact"/>
        <w:rPr>
          <w:sz w:val="20"/>
          <w:szCs w:val="20"/>
          <w:color w:val="auto"/>
        </w:rPr>
      </w:pPr>
    </w:p>
    <w:p>
      <w:pPr>
        <w:jc w:val="both"/>
        <w:ind w:left="2960" w:right="1779" w:hanging="947"/>
        <w:spacing w:after="0" w:line="236" w:lineRule="auto"/>
        <w:tabs>
          <w:tab w:leader="none" w:pos="2940" w:val="left"/>
        </w:tabs>
        <w:rPr>
          <w:sz w:val="20"/>
          <w:szCs w:val="20"/>
          <w:color w:val="auto"/>
        </w:rPr>
      </w:pPr>
      <w:r>
        <w:rPr>
          <w:rFonts w:ascii="Courier New" w:cs="Courier New" w:eastAsia="Courier New" w:hAnsi="Courier New"/>
          <w:sz w:val="18"/>
          <w:szCs w:val="18"/>
          <w:color w:val="auto"/>
        </w:rPr>
        <w:t>(iii).</w:t>
      </w:r>
      <w:r>
        <w:rPr>
          <w:sz w:val="20"/>
          <w:szCs w:val="20"/>
          <w:color w:val="auto"/>
        </w:rPr>
        <w:tab/>
      </w:r>
      <w:r>
        <w:rPr>
          <w:rFonts w:ascii="Courier New" w:cs="Courier New" w:eastAsia="Courier New" w:hAnsi="Courier New"/>
          <w:sz w:val="18"/>
          <w:szCs w:val="18"/>
          <w:color w:val="auto"/>
        </w:rPr>
        <w:t>Sole power to dispose or to direct the disposition of: See the response(s) to Item 7 on the attached cover page(s).</w:t>
      </w:r>
    </w:p>
    <w:p>
      <w:pPr>
        <w:spacing w:after="0" w:line="209" w:lineRule="exact"/>
        <w:rPr>
          <w:sz w:val="20"/>
          <w:szCs w:val="20"/>
          <w:color w:val="auto"/>
        </w:rPr>
      </w:pPr>
    </w:p>
    <w:p>
      <w:pPr>
        <w:jc w:val="both"/>
        <w:ind w:left="2960" w:right="1779" w:hanging="947"/>
        <w:spacing w:after="0" w:line="236" w:lineRule="auto"/>
        <w:tabs>
          <w:tab w:leader="none" w:pos="29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000" w:right="2319" w:hanging="2001"/>
        <w:spacing w:after="0" w:line="235"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ind w:left="3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both"/>
        <w:ind w:left="2000" w:right="1779" w:hanging="2001"/>
        <w:spacing w:after="0" w:line="236" w:lineRule="auto"/>
        <w:tabs>
          <w:tab w:leader="none" w:pos="19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46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Certification.</w:t>
            </w: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780" w:type="dxa"/>
            <w:vAlign w:val="bottom"/>
            <w:gridSpan w:val="2"/>
          </w:tcPr>
          <w:p>
            <w:pPr>
              <w:ind w:left="560"/>
              <w:spacing w:after="0" w:line="203" w:lineRule="exact"/>
              <w:rPr>
                <w:sz w:val="20"/>
                <w:szCs w:val="20"/>
                <w:color w:val="auto"/>
              </w:rPr>
            </w:pPr>
            <w:r>
              <w:rPr>
                <w:rFonts w:ascii="Courier New" w:cs="Courier New" w:eastAsia="Courier New" w:hAnsi="Courier New"/>
                <w:sz w:val="18"/>
                <w:szCs w:val="18"/>
                <w:color w:val="auto"/>
              </w:rPr>
              <w:t>By signing</w:t>
            </w:r>
          </w:p>
        </w:tc>
        <w:tc>
          <w:tcPr>
            <w:tcW w:w="5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below I certify that, to the best of my knowledge</w:t>
            </w:r>
          </w:p>
        </w:tc>
      </w:tr>
      <w:tr>
        <w:trPr>
          <w:trHeight w:val="203"/>
        </w:trPr>
        <w:tc>
          <w:tcPr>
            <w:tcW w:w="1440" w:type="dxa"/>
            <w:vAlign w:val="bottom"/>
          </w:tcPr>
          <w:p>
            <w:pPr>
              <w:spacing w:after="0"/>
              <w:rPr>
                <w:sz w:val="17"/>
                <w:szCs w:val="17"/>
                <w:color w:val="auto"/>
              </w:rPr>
            </w:pPr>
          </w:p>
        </w:tc>
        <w:tc>
          <w:tcPr>
            <w:tcW w:w="1780" w:type="dxa"/>
            <w:vAlign w:val="bottom"/>
            <w:gridSpan w:val="2"/>
          </w:tcPr>
          <w:p>
            <w:pPr>
              <w:ind w:left="560"/>
              <w:spacing w:after="0" w:line="203" w:lineRule="exact"/>
              <w:rPr>
                <w:sz w:val="20"/>
                <w:szCs w:val="20"/>
                <w:color w:val="auto"/>
              </w:rPr>
            </w:pPr>
            <w:r>
              <w:rPr>
                <w:rFonts w:ascii="Courier New" w:cs="Courier New" w:eastAsia="Courier New" w:hAnsi="Courier New"/>
                <w:sz w:val="18"/>
                <w:szCs w:val="18"/>
                <w:color w:val="auto"/>
              </w:rPr>
              <w:t>and belief,</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w:t>
            </w:r>
          </w:p>
        </w:tc>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referred to above were acquired</w:t>
            </w:r>
          </w:p>
        </w:tc>
      </w:tr>
      <w:tr>
        <w:trPr>
          <w:trHeight w:val="203"/>
        </w:trPr>
        <w:tc>
          <w:tcPr>
            <w:tcW w:w="1440" w:type="dxa"/>
            <w:vAlign w:val="bottom"/>
          </w:tcPr>
          <w:p>
            <w:pPr>
              <w:spacing w:after="0"/>
              <w:rPr>
                <w:sz w:val="17"/>
                <w:szCs w:val="17"/>
                <w:color w:val="auto"/>
              </w:rPr>
            </w:pPr>
          </w:p>
        </w:tc>
        <w:tc>
          <w:tcPr>
            <w:tcW w:w="358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w w:val="99"/>
              </w:rPr>
              <w:t>and are held in the ordinary</w:t>
            </w: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course of business and were not</w:t>
            </w:r>
          </w:p>
        </w:tc>
      </w:tr>
      <w:tr>
        <w:trPr>
          <w:trHeight w:val="203"/>
        </w:trPr>
        <w:tc>
          <w:tcPr>
            <w:tcW w:w="1440" w:type="dxa"/>
            <w:vAlign w:val="bottom"/>
          </w:tcPr>
          <w:p>
            <w:pPr>
              <w:spacing w:after="0"/>
              <w:rPr>
                <w:sz w:val="17"/>
                <w:szCs w:val="17"/>
                <w:color w:val="auto"/>
              </w:rPr>
            </w:pPr>
          </w:p>
        </w:tc>
        <w:tc>
          <w:tcPr>
            <w:tcW w:w="14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15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and are not</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held</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for the</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purpose  of or with the</w:t>
            </w:r>
          </w:p>
        </w:tc>
      </w:tr>
      <w:tr>
        <w:trPr>
          <w:trHeight w:val="203"/>
        </w:trPr>
        <w:tc>
          <w:tcPr>
            <w:tcW w:w="1440" w:type="dxa"/>
            <w:vAlign w:val="bottom"/>
          </w:tcPr>
          <w:p>
            <w:pPr>
              <w:spacing w:after="0"/>
              <w:rPr>
                <w:sz w:val="17"/>
                <w:szCs w:val="17"/>
                <w:color w:val="auto"/>
              </w:rPr>
            </w:pPr>
          </w:p>
        </w:tc>
        <w:tc>
          <w:tcPr>
            <w:tcW w:w="3000" w:type="dxa"/>
            <w:vAlign w:val="bottom"/>
            <w:gridSpan w:val="4"/>
          </w:tcPr>
          <w:p>
            <w:pPr>
              <w:ind w:left="560"/>
              <w:spacing w:after="0" w:line="203" w:lineRule="exact"/>
              <w:rPr>
                <w:sz w:val="20"/>
                <w:szCs w:val="20"/>
                <w:color w:val="auto"/>
              </w:rPr>
            </w:pPr>
            <w:r>
              <w:rPr>
                <w:rFonts w:ascii="Courier New" w:cs="Courier New" w:eastAsia="Courier New" w:hAnsi="Courier New"/>
                <w:sz w:val="18"/>
                <w:szCs w:val="18"/>
                <w:color w:val="auto"/>
              </w:rPr>
              <w:t>effect of changing or</w:t>
            </w: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influencing</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the control of the issuer</w:t>
            </w:r>
          </w:p>
        </w:tc>
      </w:tr>
      <w:tr>
        <w:trPr>
          <w:trHeight w:val="203"/>
        </w:trPr>
        <w:tc>
          <w:tcPr>
            <w:tcW w:w="1440" w:type="dxa"/>
            <w:vAlign w:val="bottom"/>
          </w:tcPr>
          <w:p>
            <w:pPr>
              <w:spacing w:after="0"/>
              <w:rPr>
                <w:sz w:val="17"/>
                <w:szCs w:val="17"/>
                <w:color w:val="auto"/>
              </w:rPr>
            </w:pPr>
          </w:p>
        </w:tc>
        <w:tc>
          <w:tcPr>
            <w:tcW w:w="14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of the</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securities</w:t>
            </w:r>
          </w:p>
        </w:tc>
        <w:tc>
          <w:tcPr>
            <w:tcW w:w="4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and were not acquired and are not held in</w:t>
            </w:r>
          </w:p>
        </w:tc>
      </w:tr>
      <w:tr>
        <w:trPr>
          <w:trHeight w:val="203"/>
        </w:trPr>
        <w:tc>
          <w:tcPr>
            <w:tcW w:w="1440" w:type="dxa"/>
            <w:vAlign w:val="bottom"/>
          </w:tcPr>
          <w:p>
            <w:pPr>
              <w:spacing w:after="0"/>
              <w:rPr>
                <w:sz w:val="17"/>
                <w:szCs w:val="17"/>
                <w:color w:val="auto"/>
              </w:rPr>
            </w:pPr>
          </w:p>
        </w:tc>
        <w:tc>
          <w:tcPr>
            <w:tcW w:w="7000" w:type="dxa"/>
            <w:vAlign w:val="bottom"/>
            <w:gridSpan w:val="7"/>
          </w:tcPr>
          <w:p>
            <w:pPr>
              <w:ind w:left="560"/>
              <w:spacing w:after="0" w:line="203" w:lineRule="exact"/>
              <w:rPr>
                <w:sz w:val="20"/>
                <w:szCs w:val="20"/>
                <w:color w:val="auto"/>
              </w:rPr>
            </w:pPr>
            <w:r>
              <w:rPr>
                <w:rFonts w:ascii="Courier New" w:cs="Courier New" w:eastAsia="Courier New" w:hAnsi="Courier New"/>
                <w:sz w:val="18"/>
                <w:szCs w:val="18"/>
                <w:color w:val="auto"/>
                <w:w w:val="97"/>
              </w:rPr>
              <w:t>connection with or as a participant in any transaction having</w:t>
            </w:r>
          </w:p>
        </w:tc>
      </w:tr>
      <w:tr>
        <w:trPr>
          <w:trHeight w:val="203"/>
        </w:trPr>
        <w:tc>
          <w:tcPr>
            <w:tcW w:w="1440" w:type="dxa"/>
            <w:vAlign w:val="bottom"/>
          </w:tcPr>
          <w:p>
            <w:pPr>
              <w:spacing w:after="0"/>
              <w:rPr>
                <w:sz w:val="17"/>
                <w:szCs w:val="17"/>
                <w:color w:val="auto"/>
              </w:rPr>
            </w:pPr>
          </w:p>
        </w:tc>
        <w:tc>
          <w:tcPr>
            <w:tcW w:w="3000" w:type="dxa"/>
            <w:vAlign w:val="bottom"/>
            <w:gridSpan w:val="4"/>
          </w:tcPr>
          <w:p>
            <w:pPr>
              <w:ind w:left="560"/>
              <w:spacing w:after="0" w:line="203" w:lineRule="exact"/>
              <w:rPr>
                <w:sz w:val="20"/>
                <w:szCs w:val="20"/>
                <w:color w:val="auto"/>
              </w:rPr>
            </w:pPr>
            <w:r>
              <w:rPr>
                <w:rFonts w:ascii="Courier New" w:cs="Courier New" w:eastAsia="Courier New" w:hAnsi="Courier New"/>
                <w:sz w:val="18"/>
                <w:szCs w:val="18"/>
                <w:color w:val="auto"/>
                <w:w w:val="97"/>
              </w:rPr>
              <w:t>that purpose or effect.</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40" w:type="dxa"/>
            <w:vAlign w:val="bottom"/>
          </w:tcPr>
          <w:p>
            <w:pPr>
              <w:spacing w:after="0"/>
              <w:rPr>
                <w:sz w:val="17"/>
                <w:szCs w:val="17"/>
                <w:color w:val="auto"/>
              </w:rPr>
            </w:pPr>
          </w:p>
        </w:tc>
      </w:tr>
    </w:tbl>
    <w:p>
      <w:pPr>
        <w:spacing w:after="0" w:line="20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right="1779" w:firstLine="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Securities and Exchange Commission ("SEC") Release No. 34-39538 (January 12, 1998), this filing reflects the securities beneficially owned by Goldman Sachs Asset Management, L.P. ("GSAM LP"). GSAM LP, an investment advisor, disclaims beneficial ownership of any securities managed, on GSAM LP's behalf, by third parties.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7 pages</w:t>
      </w:r>
    </w:p>
    <w:p>
      <w:pPr>
        <w:sectPr>
          <w:pgSz w:w="11900" w:h="16838" w:orient="portrait"/>
          <w:cols w:equalWidth="0" w:num="1">
            <w:col w:w="10219"/>
          </w:cols>
          <w:pgMar w:left="240" w:top="717" w:right="1440" w:bottom="1440"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280" w:right="303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 2007</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Lauren LoFaro</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Lauren LoFaro</w:t>
      </w: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7 pages</w:t>
      </w:r>
    </w:p>
    <w:p>
      <w:pPr>
        <w:sectPr>
          <w:pgSz w:w="11900" w:h="16838" w:orient="portrait"/>
          <w:cols w:equalWidth="0" w:num="1">
            <w:col w:w="10219"/>
          </w:cols>
          <w:pgMar w:left="240" w:top="1122" w:right="1440" w:bottom="1440" w:gutter="0" w:footer="0" w:header="0"/>
        </w:sectPr>
      </w:pPr>
    </w:p>
    <w:bookmarkStart w:id="5" w:name="page6"/>
    <w:bookmarkEnd w:id="5"/>
    <w:p>
      <w:pPr>
        <w:ind w:left="338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Exhibit</w:t>
      </w:r>
    </w:p>
    <w:p>
      <w:pPr>
        <w:spacing w:after="0"/>
        <w:tabs>
          <w:tab w:leader="none" w:pos="16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1480" w:right="1999" w:hanging="1474"/>
        <w:spacing w:after="0" w:line="235" w:lineRule="auto"/>
        <w:tabs>
          <w:tab w:leader="none" w:pos="14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Power of Attorney, dated December 19, 2006, relating to Goldman Sachs Asset Management, L.P.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6 of 7 pages</w:t>
      </w:r>
    </w:p>
    <w:p>
      <w:pPr>
        <w:sectPr>
          <w:pgSz w:w="11900" w:h="16838" w:orient="portrait"/>
          <w:cols w:equalWidth="0" w:num="1">
            <w:col w:w="10219"/>
          </w:cols>
          <w:pgMar w:left="240" w:top="1122" w:right="1440" w:bottom="1440" w:gutter="0" w:footer="0" w:header="0"/>
        </w:sectPr>
      </w:pPr>
    </w:p>
    <w:bookmarkStart w:id="6" w:name="page7"/>
    <w:bookmarkEnd w:id="6"/>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KNOW ALL PERSONS BY THESE PRESENTS that GOLDMAN SACHS ASSET MANAGEMENT, L.P. (the "Company") does hereby make, constitute and appoint each of Ronald L. Christopher and Lauren LoFaro, (and any other employee of The Goldman Sachs Group, Inc.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3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December 19, 2006.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Ellen R. Porges</w:t>
      </w:r>
    </w:p>
    <w:p>
      <w:pPr>
        <w:spacing w:after="0" w:line="238" w:lineRule="auto"/>
        <w:rPr>
          <w:sz w:val="20"/>
          <w:szCs w:val="20"/>
          <w:color w:val="auto"/>
        </w:rPr>
      </w:pPr>
      <w:r>
        <w:rPr>
          <w:rFonts w:ascii="Courier New" w:cs="Courier New" w:eastAsia="Courier New" w:hAnsi="Courier New"/>
          <w:sz w:val="18"/>
          <w:szCs w:val="18"/>
          <w:color w:val="auto"/>
        </w:rPr>
        <w:t>___________________________</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Ellen R. Porges</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Managing Director</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7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upperLetter"/>
      <w:start w:val="24"/>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7">
    <w:nsid w:val="66EF438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8">
    <w:nsid w:val="140E0F76"/>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9">
    <w:nsid w:val="3352255A"/>
    <w:multiLevelType w:val="hybridMultilevel"/>
    <w:lvl w:ilvl="0">
      <w:lvlJc w:val="left"/>
      <w:lvlText w:val="-"/>
      <w:numFmt w:val="bullet"/>
      <w:start w:val="1"/>
    </w:lvl>
    <w:lvl w:ilvl="1">
      <w:lvlJc w:val="left"/>
      <w:lvlText w:val="%2."/>
      <w:numFmt w:val="decimal"/>
      <w:start w:val="5"/>
    </w:lvl>
  </w:abstractNum>
  <w:abstractNum w:abstractNumId="10">
    <w:nsid w:val="109CF92E"/>
    <w:multiLevelType w:val="hybridMultilevel"/>
    <w:lvl w:ilvl="0">
      <w:lvlJc w:val="left"/>
      <w:lvlText w:val="-"/>
      <w:numFmt w:val="bullet"/>
      <w:start w:val="1"/>
    </w:lvl>
    <w:lvl w:ilvl="1">
      <w:lvlJc w:val="left"/>
      <w:lvlText w:val="%2."/>
      <w:numFmt w:val="decimal"/>
      <w:start w:val="9"/>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decimal"/>
      <w:start w:val="12"/>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2019-12-14T05:52:07Z</dcterms:created>
  <dcterms:modified xsi:type="dcterms:W3CDTF">2019-12-14T05:52:07Z</dcterms:modified>
</cp:coreProperties>
</file>