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20"/>
                <w:szCs w:val="20"/>
                <w:color w:val="auto"/>
              </w:rPr>
            </w:pPr>
            <w:r>
              <w:rPr>
                <w:rFonts w:ascii="Courier New" w:cs="Courier New" w:eastAsia="Courier New" w:hAnsi="Courier New"/>
                <w:sz w:val="18"/>
                <w:szCs w:val="18"/>
                <w:color w:val="auto"/>
              </w:rPr>
              <w:t>File No. 333-00913</w:t>
            </w:r>
          </w:p>
        </w:tc>
        <w:tc>
          <w:tcPr>
            <w:tcW w:w="3280" w:type="dxa"/>
            <w:vAlign w:val="bottom"/>
          </w:tcPr>
          <w:p>
            <w:pPr>
              <w:spacing w:after="0"/>
              <w:rPr>
                <w:sz w:val="17"/>
                <w:szCs w:val="17"/>
                <w:color w:val="auto"/>
              </w:rPr>
            </w:pPr>
          </w:p>
        </w:tc>
      </w:tr>
      <w:tr>
        <w:trPr>
          <w:trHeight w:val="203"/>
        </w:trPr>
        <w:tc>
          <w:tcPr>
            <w:tcW w:w="83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SECURITIES AND EXCHANGE COMMISSION</w:t>
            </w:r>
          </w:p>
        </w:tc>
      </w:tr>
      <w:tr>
        <w:trPr>
          <w:trHeight w:val="203"/>
        </w:trPr>
        <w:tc>
          <w:tcPr>
            <w:tcW w:w="83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Washington, D.C.  20549</w:t>
            </w:r>
          </w:p>
        </w:tc>
      </w:tr>
      <w:tr>
        <w:trPr>
          <w:trHeight w:val="203"/>
        </w:trPr>
        <w:tc>
          <w:tcPr>
            <w:tcW w:w="83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w:t>
            </w:r>
          </w:p>
        </w:tc>
      </w:tr>
      <w:tr>
        <w:trPr>
          <w:trHeight w:val="203"/>
        </w:trPr>
        <w:tc>
          <w:tcPr>
            <w:tcW w:w="5060" w:type="dxa"/>
            <w:vAlign w:val="bottom"/>
          </w:tcPr>
          <w:p>
            <w:pPr>
              <w:jc w:val="center"/>
              <w:ind w:left="3192"/>
              <w:spacing w:after="0" w:line="203" w:lineRule="exact"/>
              <w:rPr>
                <w:sz w:val="20"/>
                <w:szCs w:val="20"/>
                <w:color w:val="auto"/>
              </w:rPr>
            </w:pPr>
            <w:r>
              <w:rPr>
                <w:rFonts w:ascii="Courier New" w:cs="Courier New" w:eastAsia="Courier New" w:hAnsi="Courier New"/>
                <w:sz w:val="18"/>
                <w:szCs w:val="18"/>
                <w:color w:val="auto"/>
                <w:w w:val="97"/>
              </w:rPr>
              <w:t>AMENDMENT NO. 1</w:t>
            </w:r>
          </w:p>
        </w:tc>
        <w:tc>
          <w:tcPr>
            <w:tcW w:w="3280" w:type="dxa"/>
            <w:vAlign w:val="bottom"/>
          </w:tcPr>
          <w:p>
            <w:pPr>
              <w:spacing w:after="0"/>
              <w:rPr>
                <w:sz w:val="17"/>
                <w:szCs w:val="17"/>
                <w:color w:val="auto"/>
              </w:rPr>
            </w:pPr>
          </w:p>
        </w:tc>
      </w:tr>
      <w:tr>
        <w:trPr>
          <w:trHeight w:val="203"/>
        </w:trPr>
        <w:tc>
          <w:tcPr>
            <w:tcW w:w="5060" w:type="dxa"/>
            <w:vAlign w:val="bottom"/>
          </w:tcPr>
          <w:p>
            <w:pPr>
              <w:jc w:val="center"/>
              <w:ind w:left="3292"/>
              <w:spacing w:after="0" w:line="203" w:lineRule="exact"/>
              <w:rPr>
                <w:sz w:val="20"/>
                <w:szCs w:val="20"/>
                <w:color w:val="auto"/>
              </w:rPr>
            </w:pPr>
            <w:r>
              <w:rPr>
                <w:rFonts w:ascii="Courier New" w:cs="Courier New" w:eastAsia="Courier New" w:hAnsi="Courier New"/>
                <w:sz w:val="18"/>
                <w:szCs w:val="18"/>
                <w:color w:val="auto"/>
                <w:w w:val="92"/>
              </w:rPr>
              <w:t>TO</w:t>
            </w:r>
          </w:p>
        </w:tc>
        <w:tc>
          <w:tcPr>
            <w:tcW w:w="3280" w:type="dxa"/>
            <w:vAlign w:val="bottom"/>
          </w:tcPr>
          <w:p>
            <w:pPr>
              <w:spacing w:after="0"/>
              <w:rPr>
                <w:sz w:val="17"/>
                <w:szCs w:val="17"/>
                <w:color w:val="auto"/>
              </w:rPr>
            </w:pPr>
          </w:p>
        </w:tc>
      </w:tr>
      <w:tr>
        <w:trPr>
          <w:trHeight w:val="203"/>
        </w:trPr>
        <w:tc>
          <w:tcPr>
            <w:tcW w:w="5060" w:type="dxa"/>
            <w:vAlign w:val="bottom"/>
          </w:tcPr>
          <w:p>
            <w:pPr>
              <w:jc w:val="center"/>
              <w:ind w:left="3292"/>
              <w:spacing w:after="0" w:line="203" w:lineRule="exact"/>
              <w:rPr>
                <w:sz w:val="20"/>
                <w:szCs w:val="20"/>
                <w:color w:val="auto"/>
              </w:rPr>
            </w:pPr>
            <w:r>
              <w:rPr>
                <w:rFonts w:ascii="Courier New" w:cs="Courier New" w:eastAsia="Courier New" w:hAnsi="Courier New"/>
                <w:sz w:val="18"/>
                <w:szCs w:val="18"/>
                <w:color w:val="auto"/>
                <w:w w:val="97"/>
              </w:rPr>
              <w:t>FORM S-3</w:t>
            </w:r>
          </w:p>
        </w:tc>
        <w:tc>
          <w:tcPr>
            <w:tcW w:w="3280" w:type="dxa"/>
            <w:vAlign w:val="bottom"/>
          </w:tcPr>
          <w:p>
            <w:pPr>
              <w:spacing w:after="0"/>
              <w:rPr>
                <w:sz w:val="17"/>
                <w:szCs w:val="17"/>
                <w:color w:val="auto"/>
              </w:rPr>
            </w:pPr>
          </w:p>
        </w:tc>
      </w:tr>
      <w:tr>
        <w:trPr>
          <w:trHeight w:val="203"/>
        </w:trPr>
        <w:tc>
          <w:tcPr>
            <w:tcW w:w="83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REGISTRATION STATEMENT</w:t>
            </w:r>
          </w:p>
        </w:tc>
      </w:tr>
      <w:tr>
        <w:trPr>
          <w:trHeight w:val="203"/>
        </w:trPr>
        <w:tc>
          <w:tcPr>
            <w:tcW w:w="5060" w:type="dxa"/>
            <w:vAlign w:val="bottom"/>
          </w:tcPr>
          <w:p>
            <w:pPr>
              <w:jc w:val="center"/>
              <w:ind w:left="3192"/>
              <w:spacing w:after="0" w:line="203" w:lineRule="exact"/>
              <w:rPr>
                <w:sz w:val="20"/>
                <w:szCs w:val="20"/>
                <w:color w:val="auto"/>
              </w:rPr>
            </w:pPr>
            <w:r>
              <w:rPr>
                <w:rFonts w:ascii="Courier New" w:cs="Courier New" w:eastAsia="Courier New" w:hAnsi="Courier New"/>
                <w:sz w:val="18"/>
                <w:szCs w:val="18"/>
                <w:color w:val="auto"/>
                <w:w w:val="99"/>
              </w:rPr>
              <w:t>UNDER</w:t>
            </w:r>
          </w:p>
        </w:tc>
        <w:tc>
          <w:tcPr>
            <w:tcW w:w="3280" w:type="dxa"/>
            <w:vAlign w:val="bottom"/>
          </w:tcPr>
          <w:p>
            <w:pPr>
              <w:spacing w:after="0"/>
              <w:rPr>
                <w:sz w:val="17"/>
                <w:szCs w:val="17"/>
                <w:color w:val="auto"/>
              </w:rPr>
            </w:pPr>
          </w:p>
        </w:tc>
      </w:tr>
      <w:tr>
        <w:trPr>
          <w:trHeight w:val="203"/>
        </w:trPr>
        <w:tc>
          <w:tcPr>
            <w:tcW w:w="83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THE SECURITIES ACT OF 1933</w:t>
            </w:r>
          </w:p>
        </w:tc>
      </w:tr>
      <w:tr>
        <w:trPr>
          <w:trHeight w:val="203"/>
        </w:trPr>
        <w:tc>
          <w:tcPr>
            <w:tcW w:w="83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w:t>
            </w:r>
          </w:p>
        </w:tc>
      </w:tr>
      <w:tr>
        <w:trPr>
          <w:trHeight w:val="203"/>
        </w:trPr>
        <w:tc>
          <w:tcPr>
            <w:tcW w:w="5060" w:type="dxa"/>
            <w:vAlign w:val="bottom"/>
          </w:tcPr>
          <w:p>
            <w:pPr>
              <w:jc w:val="center"/>
              <w:ind w:left="3292"/>
              <w:spacing w:after="0" w:line="203" w:lineRule="exact"/>
              <w:rPr>
                <w:sz w:val="20"/>
                <w:szCs w:val="20"/>
                <w:color w:val="auto"/>
              </w:rPr>
            </w:pPr>
            <w:r>
              <w:rPr>
                <w:rFonts w:ascii="Courier New" w:cs="Courier New" w:eastAsia="Courier New" w:hAnsi="Courier New"/>
                <w:sz w:val="18"/>
                <w:szCs w:val="18"/>
                <w:color w:val="auto"/>
                <w:w w:val="98"/>
              </w:rPr>
              <w:t>FIserv, Inc.</w:t>
            </w:r>
          </w:p>
        </w:tc>
        <w:tc>
          <w:tcPr>
            <w:tcW w:w="3280" w:type="dxa"/>
            <w:vAlign w:val="bottom"/>
          </w:tcPr>
          <w:p>
            <w:pPr>
              <w:spacing w:after="0"/>
              <w:rPr>
                <w:sz w:val="17"/>
                <w:szCs w:val="17"/>
                <w:color w:val="auto"/>
              </w:rPr>
            </w:pPr>
          </w:p>
        </w:tc>
      </w:tr>
      <w:tr>
        <w:trPr>
          <w:trHeight w:val="203"/>
        </w:trPr>
        <w:tc>
          <w:tcPr>
            <w:tcW w:w="83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r>
      <w:tr>
        <w:trPr>
          <w:trHeight w:val="203"/>
        </w:trPr>
        <w:tc>
          <w:tcPr>
            <w:tcW w:w="506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Wisconsin</w:t>
            </w:r>
          </w:p>
        </w:tc>
        <w:tc>
          <w:tcPr>
            <w:tcW w:w="32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39-1506125</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 of jurisdiction of incorporation or</w:t>
            </w:r>
          </w:p>
        </w:tc>
        <w:tc>
          <w:tcPr>
            <w:tcW w:w="3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(I.R.S. employer identification</w:t>
            </w:r>
          </w:p>
        </w:tc>
      </w:tr>
      <w:tr>
        <w:trPr>
          <w:trHeight w:val="203"/>
        </w:trPr>
        <w:tc>
          <w:tcPr>
            <w:tcW w:w="506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organization)</w:t>
            </w:r>
          </w:p>
        </w:tc>
        <w:tc>
          <w:tcPr>
            <w:tcW w:w="328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number)</w:t>
            </w:r>
          </w:p>
        </w:tc>
      </w:tr>
      <w:tr>
        <w:trPr>
          <w:trHeight w:val="203"/>
        </w:trPr>
        <w:tc>
          <w:tcPr>
            <w:tcW w:w="5060" w:type="dxa"/>
            <w:vAlign w:val="bottom"/>
          </w:tcPr>
          <w:p>
            <w:pPr>
              <w:jc w:val="center"/>
              <w:ind w:left="3292"/>
              <w:spacing w:after="0" w:line="203" w:lineRule="exact"/>
              <w:rPr>
                <w:sz w:val="20"/>
                <w:szCs w:val="20"/>
                <w:color w:val="auto"/>
              </w:rPr>
            </w:pPr>
            <w:r>
              <w:rPr>
                <w:rFonts w:ascii="Courier New" w:cs="Courier New" w:eastAsia="Courier New" w:hAnsi="Courier New"/>
                <w:sz w:val="18"/>
                <w:szCs w:val="18"/>
                <w:color w:val="auto"/>
                <w:w w:val="97"/>
              </w:rPr>
              <w:t>255 FIserv Drive</w:t>
            </w:r>
          </w:p>
        </w:tc>
        <w:tc>
          <w:tcPr>
            <w:tcW w:w="3280" w:type="dxa"/>
            <w:vAlign w:val="bottom"/>
          </w:tcPr>
          <w:p>
            <w:pPr>
              <w:spacing w:after="0"/>
              <w:rPr>
                <w:sz w:val="17"/>
                <w:szCs w:val="17"/>
                <w:color w:val="auto"/>
              </w:rPr>
            </w:pPr>
          </w:p>
        </w:tc>
      </w:tr>
      <w:tr>
        <w:trPr>
          <w:trHeight w:val="203"/>
        </w:trPr>
        <w:tc>
          <w:tcPr>
            <w:tcW w:w="506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Brookfield, Wisconsin</w:t>
            </w:r>
          </w:p>
        </w:tc>
        <w:tc>
          <w:tcPr>
            <w:tcW w:w="328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53045</w:t>
            </w:r>
          </w:p>
        </w:tc>
      </w:tr>
      <w:tr>
        <w:trPr>
          <w:trHeight w:val="203"/>
        </w:trPr>
        <w:tc>
          <w:tcPr>
            <w:tcW w:w="5060" w:type="dxa"/>
            <w:vAlign w:val="bottom"/>
          </w:tcPr>
          <w:p>
            <w:pPr>
              <w:jc w:val="center"/>
              <w:ind w:left="3292"/>
              <w:spacing w:after="0" w:line="203" w:lineRule="exact"/>
              <w:rPr>
                <w:sz w:val="20"/>
                <w:szCs w:val="20"/>
                <w:color w:val="auto"/>
              </w:rPr>
            </w:pPr>
            <w:r>
              <w:rPr>
                <w:rFonts w:ascii="Courier New" w:cs="Courier New" w:eastAsia="Courier New" w:hAnsi="Courier New"/>
                <w:sz w:val="18"/>
                <w:szCs w:val="18"/>
                <w:color w:val="auto"/>
                <w:w w:val="97"/>
              </w:rPr>
              <w:t>(414) 879-5000</w:t>
            </w:r>
          </w:p>
        </w:tc>
        <w:tc>
          <w:tcPr>
            <w:tcW w:w="3280" w:type="dxa"/>
            <w:vAlign w:val="bottom"/>
          </w:tcPr>
          <w:p>
            <w:pPr>
              <w:spacing w:after="0"/>
              <w:rPr>
                <w:sz w:val="17"/>
                <w:szCs w:val="17"/>
                <w:color w:val="auto"/>
              </w:rPr>
            </w:pPr>
          </w:p>
        </w:tc>
      </w:tr>
      <w:tr>
        <w:trPr>
          <w:trHeight w:val="203"/>
        </w:trPr>
        <w:tc>
          <w:tcPr>
            <w:tcW w:w="83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(Address, including zip code, and telephone number, including area code, of</w:t>
            </w:r>
          </w:p>
        </w:tc>
      </w:tr>
      <w:tr>
        <w:trPr>
          <w:trHeight w:val="203"/>
        </w:trPr>
        <w:tc>
          <w:tcPr>
            <w:tcW w:w="83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Registrant's principal executive offices)</w:t>
            </w:r>
          </w:p>
        </w:tc>
      </w:tr>
      <w:tr>
        <w:trPr>
          <w:trHeight w:val="203"/>
        </w:trPr>
        <w:tc>
          <w:tcPr>
            <w:tcW w:w="5060" w:type="dxa"/>
            <w:vAlign w:val="bottom"/>
          </w:tcPr>
          <w:p>
            <w:pPr>
              <w:jc w:val="center"/>
              <w:ind w:left="3192"/>
              <w:spacing w:after="0" w:line="203" w:lineRule="exact"/>
              <w:rPr>
                <w:sz w:val="20"/>
                <w:szCs w:val="20"/>
                <w:color w:val="auto"/>
              </w:rPr>
            </w:pPr>
            <w:r>
              <w:rPr>
                <w:rFonts w:ascii="Courier New" w:cs="Courier New" w:eastAsia="Courier New" w:hAnsi="Courier New"/>
                <w:sz w:val="18"/>
                <w:szCs w:val="18"/>
                <w:color w:val="auto"/>
                <w:w w:val="96"/>
              </w:rPr>
              <w:t>KENNETH R. JENSEN</w:t>
            </w:r>
          </w:p>
        </w:tc>
        <w:tc>
          <w:tcPr>
            <w:tcW w:w="3280" w:type="dxa"/>
            <w:vAlign w:val="bottom"/>
          </w:tcPr>
          <w:p>
            <w:pPr>
              <w:spacing w:after="0"/>
              <w:rPr>
                <w:sz w:val="17"/>
                <w:szCs w:val="17"/>
                <w:color w:val="auto"/>
              </w:rPr>
            </w:pPr>
          </w:p>
        </w:tc>
      </w:tr>
      <w:tr>
        <w:trPr>
          <w:trHeight w:val="203"/>
        </w:trPr>
        <w:tc>
          <w:tcPr>
            <w:tcW w:w="83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Senior Executive Vice President</w:t>
            </w:r>
          </w:p>
        </w:tc>
      </w:tr>
      <w:tr>
        <w:trPr>
          <w:trHeight w:val="203"/>
        </w:trPr>
        <w:tc>
          <w:tcPr>
            <w:tcW w:w="5060" w:type="dxa"/>
            <w:vAlign w:val="bottom"/>
          </w:tcPr>
          <w:p>
            <w:pPr>
              <w:jc w:val="center"/>
              <w:ind w:left="3292"/>
              <w:spacing w:after="0" w:line="203" w:lineRule="exact"/>
              <w:rPr>
                <w:sz w:val="20"/>
                <w:szCs w:val="20"/>
                <w:color w:val="auto"/>
              </w:rPr>
            </w:pPr>
            <w:r>
              <w:rPr>
                <w:rFonts w:ascii="Courier New" w:cs="Courier New" w:eastAsia="Courier New" w:hAnsi="Courier New"/>
                <w:sz w:val="18"/>
                <w:szCs w:val="18"/>
                <w:color w:val="auto"/>
                <w:w w:val="98"/>
              </w:rPr>
              <w:t>FIserv, Inc.</w:t>
            </w:r>
          </w:p>
        </w:tc>
        <w:tc>
          <w:tcPr>
            <w:tcW w:w="3280" w:type="dxa"/>
            <w:vAlign w:val="bottom"/>
          </w:tcPr>
          <w:p>
            <w:pPr>
              <w:spacing w:after="0"/>
              <w:rPr>
                <w:sz w:val="17"/>
                <w:szCs w:val="17"/>
                <w:color w:val="auto"/>
              </w:rPr>
            </w:pPr>
          </w:p>
        </w:tc>
      </w:tr>
      <w:tr>
        <w:trPr>
          <w:trHeight w:val="203"/>
        </w:trPr>
        <w:tc>
          <w:tcPr>
            <w:tcW w:w="5060" w:type="dxa"/>
            <w:vAlign w:val="bottom"/>
          </w:tcPr>
          <w:p>
            <w:pPr>
              <w:jc w:val="center"/>
              <w:ind w:left="3292"/>
              <w:spacing w:after="0" w:line="203" w:lineRule="exact"/>
              <w:rPr>
                <w:sz w:val="20"/>
                <w:szCs w:val="20"/>
                <w:color w:val="auto"/>
              </w:rPr>
            </w:pPr>
            <w:r>
              <w:rPr>
                <w:rFonts w:ascii="Courier New" w:cs="Courier New" w:eastAsia="Courier New" w:hAnsi="Courier New"/>
                <w:sz w:val="18"/>
                <w:szCs w:val="18"/>
                <w:color w:val="auto"/>
                <w:w w:val="97"/>
              </w:rPr>
              <w:t>255 FIserv Drive</w:t>
            </w:r>
          </w:p>
        </w:tc>
        <w:tc>
          <w:tcPr>
            <w:tcW w:w="3280" w:type="dxa"/>
            <w:vAlign w:val="bottom"/>
          </w:tcPr>
          <w:p>
            <w:pPr>
              <w:spacing w:after="0"/>
              <w:rPr>
                <w:sz w:val="17"/>
                <w:szCs w:val="17"/>
                <w:color w:val="auto"/>
              </w:rPr>
            </w:pPr>
          </w:p>
        </w:tc>
      </w:tr>
      <w:tr>
        <w:trPr>
          <w:trHeight w:val="203"/>
        </w:trPr>
        <w:tc>
          <w:tcPr>
            <w:tcW w:w="506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Brookfield, Wisconsin</w:t>
            </w:r>
          </w:p>
        </w:tc>
        <w:tc>
          <w:tcPr>
            <w:tcW w:w="328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53045</w:t>
            </w:r>
          </w:p>
        </w:tc>
      </w:tr>
      <w:tr>
        <w:trPr>
          <w:trHeight w:val="203"/>
        </w:trPr>
        <w:tc>
          <w:tcPr>
            <w:tcW w:w="5060" w:type="dxa"/>
            <w:vAlign w:val="bottom"/>
          </w:tcPr>
          <w:p>
            <w:pPr>
              <w:jc w:val="center"/>
              <w:ind w:left="3292"/>
              <w:spacing w:after="0" w:line="203" w:lineRule="exact"/>
              <w:rPr>
                <w:sz w:val="20"/>
                <w:szCs w:val="20"/>
                <w:color w:val="auto"/>
              </w:rPr>
            </w:pPr>
            <w:r>
              <w:rPr>
                <w:rFonts w:ascii="Courier New" w:cs="Courier New" w:eastAsia="Courier New" w:hAnsi="Courier New"/>
                <w:sz w:val="18"/>
                <w:szCs w:val="18"/>
                <w:color w:val="auto"/>
                <w:w w:val="97"/>
              </w:rPr>
              <w:t>(414) 879-5000</w:t>
            </w:r>
          </w:p>
        </w:tc>
        <w:tc>
          <w:tcPr>
            <w:tcW w:w="3280" w:type="dxa"/>
            <w:vAlign w:val="bottom"/>
          </w:tcPr>
          <w:p>
            <w:pPr>
              <w:spacing w:after="0"/>
              <w:rPr>
                <w:sz w:val="17"/>
                <w:szCs w:val="17"/>
                <w:color w:val="auto"/>
              </w:rPr>
            </w:pPr>
          </w:p>
        </w:tc>
      </w:tr>
    </w:tbl>
    <w:p>
      <w:pPr>
        <w:spacing w:after="0" w:line="4" w:lineRule="exact"/>
        <w:rPr>
          <w:sz w:val="24"/>
          <w:szCs w:val="24"/>
          <w:color w:val="auto"/>
        </w:rPr>
      </w:pPr>
    </w:p>
    <w:p>
      <w:pPr>
        <w:jc w:val="center"/>
        <w:ind w:left="260" w:right="100"/>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ind w:left="2000"/>
        <w:spacing w:after="0"/>
        <w:rPr>
          <w:sz w:val="20"/>
          <w:szCs w:val="20"/>
          <w:color w:val="auto"/>
        </w:rPr>
      </w:pPr>
      <w:r>
        <w:rPr>
          <w:rFonts w:ascii="Courier New" w:cs="Courier New" w:eastAsia="Courier New" w:hAnsi="Courier New"/>
          <w:sz w:val="18"/>
          <w:szCs w:val="18"/>
          <w:color w:val="auto"/>
        </w:rPr>
        <w:t>_________________________________________</w:t>
      </w:r>
    </w:p>
    <w:p>
      <w:pPr>
        <w:spacing w:after="0" w:line="4" w:lineRule="exact"/>
        <w:rPr>
          <w:sz w:val="24"/>
          <w:szCs w:val="24"/>
          <w:color w:val="auto"/>
        </w:rPr>
      </w:pPr>
    </w:p>
    <w:p>
      <w:pPr>
        <w:jc w:val="both"/>
        <w:ind w:right="2099"/>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6" w:lineRule="exact"/>
        <w:rPr>
          <w:sz w:val="24"/>
          <w:szCs w:val="24"/>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9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CALCULATION OF REGISTRATION FEE</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10"/>
        </w:trPr>
        <w:tc>
          <w:tcPr>
            <w:tcW w:w="3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Proposed</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Proposed</w:t>
            </w:r>
          </w:p>
        </w:tc>
        <w:tc>
          <w:tcPr>
            <w:tcW w:w="132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Maximum</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Maximum</w:t>
            </w:r>
          </w:p>
        </w:tc>
        <w:tc>
          <w:tcPr>
            <w:tcW w:w="132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Offering</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Aggregate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30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Title of Shares</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be</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Price Per</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Offering</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30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to be Registered</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Registered</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Share (1)</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Price</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Fee (2)</w:t>
            </w:r>
          </w:p>
        </w:tc>
      </w:tr>
      <w:tr>
        <w:trPr>
          <w:trHeight w:val="405"/>
        </w:trPr>
        <w:tc>
          <w:tcPr>
            <w:tcW w:w="3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Common Stock, $.01 par value</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153,096</w:t>
            </w:r>
          </w:p>
        </w:tc>
        <w:tc>
          <w:tcPr>
            <w:tcW w:w="15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$25.375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$3,884,811</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$1,339.59</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099" w:firstLine="8"/>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pursuant to Rule 457 solely for the purpose of calculating the registration fee.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(2)Of this amount, $762.03 has previously been paid.</w:t>
      </w:r>
    </w:p>
    <w:p>
      <w:pPr>
        <w:ind w:left="2320"/>
        <w:spacing w:after="0"/>
        <w:rPr>
          <w:sz w:val="20"/>
          <w:szCs w:val="20"/>
          <w:color w:val="auto"/>
        </w:rPr>
      </w:pPr>
      <w:r>
        <w:rPr>
          <w:rFonts w:ascii="Courier New" w:cs="Courier New" w:eastAsia="Courier New" w:hAnsi="Courier New"/>
          <w:sz w:val="18"/>
          <w:szCs w:val="18"/>
          <w:color w:val="auto"/>
        </w:rPr>
        <w:t>_________________________________________</w:t>
      </w:r>
    </w:p>
    <w:p>
      <w:pPr>
        <w:spacing w:after="0" w:line="3"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153,096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FIserv,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Financial Data Services Company</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This Prospectus may be used in connection with the distribution of up to 153,096 shares of FIserv, Inc. Common Stock, $.01 par value (the "Shares"), proposed to be disposed of from time to time by the Selling Shareholders named herein. See "Selling Shareholders". The Company will not receive any of the proceeds from the sale of the Shares. The expenses of the registration of which this Prospectus forms a part will be paid by the Company. The Common Stock of</w:t>
      </w:r>
    </w:p>
    <w:p>
      <w:pPr>
        <w:sectPr>
          <w:pgSz w:w="11900" w:h="16876" w:orient="portrait"/>
          <w:cols w:equalWidth="0" w:num="1">
            <w:col w:w="10219"/>
          </w:cols>
          <w:pgMar w:left="240" w:top="244" w:right="1440" w:bottom="0" w:gutter="0" w:footer="0" w:header="0"/>
        </w:sectPr>
      </w:pPr>
    </w:p>
    <w:bookmarkStart w:id="1" w:name="page2"/>
    <w:bookmarkEnd w:id="1"/>
    <w:p>
      <w:pPr>
        <w:ind w:right="1779"/>
        <w:spacing w:after="0" w:line="236" w:lineRule="auto"/>
        <w:rPr>
          <w:sz w:val="20"/>
          <w:szCs w:val="20"/>
          <w:color w:val="auto"/>
        </w:rPr>
      </w:pPr>
      <w:r>
        <w:rPr>
          <w:rFonts w:ascii="Courier New" w:cs="Courier New" w:eastAsia="Courier New" w:hAnsi="Courier New"/>
          <w:sz w:val="18"/>
          <w:szCs w:val="18"/>
          <w:color w:val="auto"/>
        </w:rPr>
        <w:t>the Company is traded in the NASDAQ National Market System under the symbol "FISV". On March 21, 1996, the reported closing sale price of the Common Stock as quoted on the NASDAQ National Market System was $26.50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7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distribution of the Shares by the Selling Shareholders may be effected from time to time in one or more transactions (which may involve block transactions) in the over-the-counter market, on the NASDAQ National Market System (or any exchange on which the Common Stock may then be listed), in negotiated transactions or otherwise. Sales will be effected at such prices and for such consideration as may be obtainable from time to time. Commission expenses and brokerage fees, if any, will be paid individually by the Selling Shareholders. See "Plan of Distribution".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22,1996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79"/>
        <w:spacing w:after="0" w:line="268" w:lineRule="auto"/>
        <w:rPr>
          <w:sz w:val="20"/>
          <w:szCs w:val="20"/>
          <w:color w:val="auto"/>
        </w:rPr>
      </w:pPr>
      <w:r>
        <w:rPr>
          <w:rFonts w:ascii="Courier New" w:cs="Courier New" w:eastAsia="Courier New" w:hAnsi="Courier New"/>
          <w:sz w:val="16"/>
          <w:szCs w:val="16"/>
          <w:color w:val="auto"/>
        </w:rPr>
        <w:t>NO PERSON IS AUTHORIZED IN CONNECTION WITH THE OFFERING MADE HEREBY TO GIVE ANY INFORMATION OR TO MAKE ANY REPRESENTATION NOT CONTAINED IN OR INCORPORATED BY REFERENCE IN THIS PROSPECTUS, AND ANY SUCH INFORMATION OR REPRESENTATION NOT CONTAINED OR INCORPORATED BY REFERENCE HEREIN MUST NOT BE RELIED UPON AS HAVING BEEN AUTHORIZED BY THE COMPANY OR BY THE SELLING SHAREHOLDERS.  THIS PROSPECTUS DOES NOT CONSTITUTE AN OFFER TO SELL OR A SOLICITATION OF AN OFFER TO BUY BY ANY PERSON IN ANY JURISDICTION IN WHICH IT IS UNLAWFUL FOR SUCH PERSON TO MAKE SUCH AN OFFER OR SOLICITATION.  NEITHER THE DELIVERY OF THIS PROSPECTUS AT ANY TIME NOR ANY SALE MADE HEREUNDER SHALL UNDER ANY CIRCUMSTANCES IMPLY THAT THE INFORMATION HEREIN IS CORRECT AS OF ANY DATE SUBSEQUENT TO THE DATE HEREOF.</w:t>
      </w:r>
    </w:p>
    <w:p>
      <w:pPr>
        <w:ind w:left="3380"/>
        <w:spacing w:after="0" w:line="235" w:lineRule="auto"/>
        <w:rPr>
          <w:sz w:val="20"/>
          <w:szCs w:val="20"/>
          <w:color w:val="auto"/>
        </w:rPr>
      </w:pPr>
      <w:r>
        <w:rPr>
          <w:rFonts w:ascii="Courier New" w:cs="Courier New" w:eastAsia="Courier New" w:hAnsi="Courier New"/>
          <w:sz w:val="18"/>
          <w:szCs w:val="18"/>
          <w:color w:val="auto"/>
        </w:rPr>
        <w:t>_______________</w:t>
      </w: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There are hereby incorporated by reference in this Prospectus the Company's: (i) Annual Report on Form 10-K for the fiscal year ended December 31, 1995, filed with the Securities and Exchange Commission (the "Commission") on February 27, 1996; and (ii) all other reports filed pursuant to Section 13(a) or 15(d) of the Exchange Act since December 31, 1995.</w:t>
      </w:r>
    </w:p>
    <w:p>
      <w:pPr>
        <w:spacing w:after="0" w:line="209"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Securities Exchange Act of 1934, as amended (the "Exchange Act"), after the date of this Prospectus and prior to the termination of the offering of the Shares shall be deemed to be incorporated by reference herein and to be part hereof from the date of filing of such documents. Any statement contained in a document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hereby undertakes to provide without charge to each person to whom this Prospectus is delivered, upon the written or oral request of such person, a copy of any and all of the documents incorporated by reference in this Prospectus, other than exhibits to such documents (unless such exhibits are specifically incorporated by reference into the documents that this Prospectus incorporates). Written or oral requests for such copies should be directed to Mr. Charles W. Sprague, Secretary, FIserv, Inc., 255 FIserv Drive, Brookfield, Wisconsin 53045, telephone (414) 879-5000.</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headquarters are located at 255 FIserv Drive, Brookfield, Wisconsin 53045, telephone (414) 879-5000. FIserv was incorporated as a Delaware corporation in 1984, and reincorporated as a Wisconsin corporation in 1992. The terms "FIserv" and the "Company" as used herein mean FIserv, Inc. and, unless the context otherwise requires,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ind w:left="540"/>
        <w:spacing w:after="0"/>
        <w:tabs>
          <w:tab w:leader="none" w:pos="8320" w:val="left"/>
        </w:tabs>
        <w:rPr>
          <w:sz w:val="20"/>
          <w:szCs w:val="20"/>
          <w:color w:val="auto"/>
        </w:rPr>
      </w:pPr>
      <w:r>
        <w:rPr>
          <w:rFonts w:ascii="Courier New" w:cs="Courier New" w:eastAsia="Courier New" w:hAnsi="Courier New"/>
          <w:sz w:val="18"/>
          <w:szCs w:val="18"/>
          <w:color w:val="auto"/>
        </w:rPr>
        <w:t>FIserv, with operations in 65 cities, including London and Singapore, is</w:t>
      </w:r>
      <w:r>
        <w:rPr>
          <w:sz w:val="20"/>
          <w:szCs w:val="20"/>
          <w:color w:val="auto"/>
        </w:rPr>
        <w:tab/>
      </w:r>
      <w:r>
        <w:rPr>
          <w:rFonts w:ascii="Courier New" w:cs="Courier New" w:eastAsia="Courier New" w:hAnsi="Courier New"/>
          <w:sz w:val="16"/>
          <w:szCs w:val="16"/>
          <w:color w:val="auto"/>
        </w:rPr>
        <w:t>a</w:t>
      </w:r>
    </w:p>
    <w:p>
      <w:pPr>
        <w:sectPr>
          <w:pgSz w:w="11900" w:h="16838" w:orient="portrait"/>
          <w:cols w:equalWidth="0" w:num="1">
            <w:col w:w="10219"/>
          </w:cols>
          <w:pgMar w:left="240" w:top="142" w:right="1440" w:bottom="0" w:gutter="0" w:footer="0" w:header="0"/>
        </w:sectPr>
      </w:pPr>
    </w:p>
    <w:bookmarkStart w:id="2" w:name="page3"/>
    <w:bookmarkEnd w:id="2"/>
    <w:p>
      <w:pPr>
        <w:jc w:val="both"/>
        <w:ind w:right="1779"/>
        <w:spacing w:after="0" w:line="238" w:lineRule="auto"/>
        <w:rPr>
          <w:sz w:val="20"/>
          <w:szCs w:val="20"/>
          <w:color w:val="auto"/>
        </w:rPr>
      </w:pPr>
      <w:r>
        <w:rPr>
          <w:rFonts w:ascii="Courier New" w:cs="Courier New" w:eastAsia="Courier New" w:hAnsi="Courier New"/>
          <w:sz w:val="18"/>
          <w:szCs w:val="18"/>
          <w:color w:val="auto"/>
        </w:rPr>
        <w:t>leading independent provider of financial data processing systems and related information management services and products to banks, credit unions, mortgage banks, savings institutions and other financial intermediaries. These services and products are based primarily on proprietary software developed by FIserv and maintained on computers located at data processing centers throughout the United States. FIserv is ranked as the nation's leading data processing provider for banks and savings institutions in terms of total clients served and is ranked number two for credit unions and mortgage banks. FIserv directly supports account and transaction processing software systems for approximately 3,500 financial institutions; maintaining approximately 48 million service bureau accounts. FIserv delivers this account and transaction processing in all four of the traditional delivery modes: service bureau; facilities management; resource management; and in-house solutions. FIserv also provides electronic banking services, which include Automated Teller Machine ("ATM")/Electronic Funds Transfer ("EFT") services to financial institutions, and processing approximately 194 million ATM transactions annually, and check and share draft remittance and back-office processing to financial institutions, handling approximately over 3 billion prime pass items per year through its regional item processing centers located in over 34 cities nationwide. In addition, FIserv provides trust administration services for IRAs and other retirement plans, and furnishes microcomputer software to financial institutions for executive information and decision support systems. The total client base served by FIserv includes more than 5,000 financial institutions. FIserv believes that its focus on customer service and the contractual nature of its business, combined with its historical renewal experience, provide a high level of recurring 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Since FIserv's formation in</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1984, it has</w:t>
            </w:r>
          </w:p>
        </w:tc>
        <w:tc>
          <w:tcPr>
            <w:tcW w:w="258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expanded its operations</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through</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over 50  acquisitions and</w:t>
            </w:r>
          </w:p>
        </w:tc>
        <w:tc>
          <w:tcPr>
            <w:tcW w:w="2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internally through</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growth</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existing</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clients.</w:t>
            </w: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From 1988 to 1994,  FIserv's revenues increased</w:t>
            </w:r>
          </w:p>
        </w:tc>
        <w:tc>
          <w:tcPr>
            <w:tcW w:w="12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from $125</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million   to</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$579.8</w:t>
            </w:r>
          </w:p>
        </w:tc>
      </w:tr>
      <w:tr>
        <w:trPr>
          <w:trHeight w:val="203"/>
        </w:trPr>
        <w:tc>
          <w:tcPr>
            <w:tcW w:w="5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million, its operating income increased from $15.5</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million</w:t>
            </w:r>
          </w:p>
        </w:tc>
        <w:tc>
          <w:tcPr>
            <w:tcW w:w="1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to $74.3 million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its net income grew from</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$9.2 million to $40.4</w:t>
            </w:r>
          </w:p>
        </w:tc>
        <w:tc>
          <w:tcPr>
            <w:tcW w:w="12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million.</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During this</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period,</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income per common and common</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equivalent share</w:t>
            </w:r>
          </w:p>
        </w:tc>
        <w:tc>
          <w:tcPr>
            <w:tcW w:w="2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increased from $.33 to</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$.99.</w:t>
            </w:r>
          </w:p>
        </w:tc>
      </w:tr>
    </w:tbl>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Recent Developments. For the year ended December 31, 1995, FIserv's revenues were $703.4 million, a 21% increase over the $579.5 million reported in</w:t>
      </w:r>
    </w:p>
    <w:p>
      <w:pPr>
        <w:jc w:val="both"/>
        <w:ind w:right="1779"/>
        <w:spacing w:after="0" w:line="237" w:lineRule="auto"/>
        <w:rPr>
          <w:sz w:val="20"/>
          <w:szCs w:val="20"/>
          <w:color w:val="auto"/>
        </w:rPr>
      </w:pPr>
      <w:r>
        <w:rPr>
          <w:rFonts w:ascii="Courier New" w:cs="Courier New" w:eastAsia="Courier New" w:hAnsi="Courier New"/>
          <w:sz w:val="18"/>
          <w:szCs w:val="18"/>
          <w:color w:val="auto"/>
        </w:rPr>
        <w:t>1994. Giving effect to certain charges related to the acquisition of Information Technology, Inc. (``ITI''), the Company posted a net loss for t he year of $59.9 million or $1.36 per share for 1995, compared to net income of $40.4 million or $.99 per share for 1994.</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1995, FIserv's net loss includes a special, one-time, non-cash charge of $173 million related to the 1995 acquisition of ITI and FIserv's election to accelerate the amortization of the completed ITI Premier I software resulting in a pre-tax charge of $9.9 million. In total, these ITI charges were $182.9 million before income taxes and $109.6 million after income taxes ($2.49 per share).</w:t>
      </w:r>
    </w:p>
    <w:p>
      <w:pPr>
        <w:spacing w:after="0" w:line="210"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special, one-time, non-cash charge is based on an assessment by FIserv, in conjunction with an independent appraisal firm, of the purchased ITI Premier</w:t>
      </w:r>
    </w:p>
    <w:p>
      <w:pPr>
        <w:jc w:val="both"/>
        <w:ind w:right="177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research and development (''R&amp;D''). As a result of the assessment, as of the date of acquisition of ITI, the fair market value of the ITI Premier II software technology under development was determined to be $173 million. In accordance with accounting rules requiring the expensing of such R&amp;D, this amount was written off in 1995.</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foregoing financial information is derived from the Company's audited financial statements. Results for 1994 have been restated as a result of the acquisition by FIserv in August 1995 of Lincoln Holdings, Inc., accounted for as a pooling of interests.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left="540"/>
        <w:spacing w:after="0"/>
        <w:tabs>
          <w:tab w:leader="none" w:pos="1980" w:val="left"/>
          <w:tab w:leader="none" w:pos="3040" w:val="left"/>
          <w:tab w:leader="none" w:pos="4000" w:val="left"/>
          <w:tab w:leader="none" w:pos="5260" w:val="left"/>
          <w:tab w:leader="none" w:pos="6000" w:val="left"/>
          <w:tab w:leader="none" w:pos="7580" w:val="left"/>
          <w:tab w:leader="none" w:pos="8000" w:val="left"/>
        </w:tabs>
        <w:rPr>
          <w:sz w:val="20"/>
          <w:szCs w:val="20"/>
          <w:color w:val="auto"/>
        </w:rPr>
      </w:pPr>
      <w:r>
        <w:rPr>
          <w:rFonts w:ascii="Courier New" w:cs="Courier New" w:eastAsia="Courier New" w:hAnsi="Courier New"/>
          <w:sz w:val="18"/>
          <w:szCs w:val="18"/>
          <w:color w:val="auto"/>
        </w:rPr>
        <w:t>All proceeds</w:t>
        <w:tab/>
        <w:t>from the</w:t>
        <w:tab/>
        <w:t>sale of</w:t>
        <w:tab/>
        <w:t>the Shares</w:t>
        <w:tab/>
        <w:t>to be</w:t>
        <w:tab/>
        <w:t>sold pursuant</w:t>
        <w:tab/>
        <w:t>to</w:t>
      </w:r>
      <w:r>
        <w:rPr>
          <w:sz w:val="20"/>
          <w:szCs w:val="20"/>
          <w:color w:val="auto"/>
        </w:rPr>
        <w:tab/>
      </w:r>
      <w:r>
        <w:rPr>
          <w:rFonts w:ascii="Courier New" w:cs="Courier New" w:eastAsia="Courier New" w:hAnsi="Courier New"/>
          <w:sz w:val="16"/>
          <w:szCs w:val="16"/>
          <w:color w:val="auto"/>
        </w:rPr>
        <w:t>this</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Prospectus will be for the account of the Selling Shareholders. As a consequence, the Company will not receive any proceeds from the sale of the Shares offered by the Selling Shareholders.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has not paid cash dividends on its Common Stock. The Company intends to retain earnings for use in its business and, therefore, does not anticipate paying any cash dividends in the foreseeable future. The Company's existing long-term debt instruments contain provisions limiting the amount of cash dividends the Company can pay.</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information with respect to the number of shares of Common Stock beneficially owned by each of the Selling Shareholders.</w:t>
      </w:r>
    </w:p>
    <w:p>
      <w:pPr>
        <w:sectPr>
          <w:pgSz w:w="11900" w:h="16838" w:orient="portrait"/>
          <w:cols w:equalWidth="0" w:num="1">
            <w:col w:w="10219"/>
          </w:cols>
          <w:pgMar w:left="240" w:top="142"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22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tcPr>
          <w:p>
            <w:pPr>
              <w:spacing w:after="0"/>
              <w:rPr>
                <w:sz w:val="17"/>
                <w:szCs w:val="17"/>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Percent of</w:t>
            </w:r>
          </w:p>
        </w:tc>
      </w:tr>
      <w:tr>
        <w:trPr>
          <w:trHeight w:val="203"/>
        </w:trPr>
        <w:tc>
          <w:tcPr>
            <w:tcW w:w="2000" w:type="dxa"/>
            <w:vAlign w:val="bottom"/>
          </w:tcPr>
          <w:p>
            <w:pPr>
              <w:spacing w:after="0"/>
              <w:rPr>
                <w:sz w:val="17"/>
                <w:szCs w:val="17"/>
                <w:color w:val="auto"/>
              </w:rPr>
            </w:pP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48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000" w:type="dxa"/>
            <w:vAlign w:val="bottom"/>
          </w:tcPr>
          <w:p>
            <w:pPr>
              <w:spacing w:after="0"/>
              <w:rPr>
                <w:sz w:val="17"/>
                <w:szCs w:val="17"/>
                <w:color w:val="auto"/>
              </w:rPr>
            </w:pPr>
          </w:p>
        </w:tc>
        <w:tc>
          <w:tcPr>
            <w:tcW w:w="1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Beneficially</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2000" w:type="dxa"/>
            <w:vAlign w:val="bottom"/>
          </w:tcPr>
          <w:p>
            <w:pPr>
              <w:spacing w:after="0"/>
              <w:rPr>
                <w:sz w:val="17"/>
                <w:szCs w:val="17"/>
                <w:color w:val="auto"/>
              </w:rPr>
            </w:pPr>
          </w:p>
        </w:tc>
        <w:tc>
          <w:tcPr>
            <w:tcW w:w="1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Owned Prior to</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Registered</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Owned After</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After</w:t>
            </w:r>
          </w:p>
        </w:tc>
      </w:tr>
      <w:tr>
        <w:trPr>
          <w:trHeight w:val="203"/>
        </w:trPr>
        <w:tc>
          <w:tcPr>
            <w:tcW w:w="3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Selling Shareholder Offering (1)</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w:t>
            </w:r>
          </w:p>
        </w:tc>
        <w:tc>
          <w:tcPr>
            <w:tcW w:w="42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Offering (2)</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Robert H. Beriault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343,897</w:t>
            </w:r>
          </w:p>
        </w:tc>
        <w:tc>
          <w:tcPr>
            <w:tcW w:w="4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80,000</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263,897</w:t>
            </w:r>
          </w:p>
        </w:tc>
        <w:tc>
          <w:tcPr>
            <w:tcW w:w="420" w:type="dxa"/>
            <w:vAlign w:val="bottom"/>
          </w:tcPr>
          <w:p>
            <w:pPr>
              <w:spacing w:after="0"/>
              <w:rPr>
                <w:sz w:val="24"/>
                <w:szCs w:val="24"/>
                <w:color w:val="auto"/>
              </w:rPr>
            </w:pP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John H. Roath</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53,496</w:t>
            </w:r>
          </w:p>
        </w:tc>
        <w:tc>
          <w:tcPr>
            <w:tcW w:w="4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3,000</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50,496</w:t>
            </w:r>
          </w:p>
        </w:tc>
        <w:tc>
          <w:tcPr>
            <w:tcW w:w="420" w:type="dxa"/>
            <w:vAlign w:val="bottom"/>
          </w:tcPr>
          <w:p>
            <w:pPr>
              <w:spacing w:after="0"/>
              <w:rPr>
                <w:sz w:val="24"/>
                <w:szCs w:val="24"/>
                <w:color w:val="auto"/>
              </w:rPr>
            </w:pP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Garrett Wysocki</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37,315</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31,781</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6"/>
              </w:rPr>
              <w:t>(4)</w:t>
            </w: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George W. McGourty</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31,315</w:t>
            </w:r>
          </w:p>
        </w:tc>
        <w:tc>
          <w:tcPr>
            <w:tcW w:w="4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31,315</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420" w:type="dxa"/>
            <w:vAlign w:val="bottom"/>
          </w:tcPr>
          <w:p>
            <w:pPr>
              <w:spacing w:after="0"/>
              <w:rPr>
                <w:sz w:val="24"/>
                <w:szCs w:val="24"/>
                <w:color w:val="auto"/>
              </w:rPr>
            </w:pP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Roger W. Collins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7,000</w:t>
            </w:r>
          </w:p>
        </w:tc>
        <w:tc>
          <w:tcPr>
            <w:tcW w:w="4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7,000</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42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w:t>
            </w: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as of February 29, 1996.</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all shares registered herein are sold.</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Less than 1%.</w:t>
      </w:r>
    </w:p>
    <w:p>
      <w:pPr>
        <w:spacing w:after="0" w:line="4" w:lineRule="exact"/>
        <w:rPr>
          <w:rFonts w:ascii="Courier New" w:cs="Courier New" w:eastAsia="Courier New" w:hAnsi="Courier New"/>
          <w:sz w:val="18"/>
          <w:szCs w:val="18"/>
          <w:color w:val="auto"/>
        </w:rPr>
      </w:pPr>
    </w:p>
    <w:p>
      <w:pPr>
        <w:ind w:left="320" w:right="2099" w:hanging="316"/>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4Includes 5,534 shares that have been registered for sale in another continuing offering, but as of February 29, 1996 have not been sold by Mr. Wysocki.</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Shares may be sold from time to time by the Selling Shareholders or by pledgees, donees, transferees or other successors in interest. Such sales may be made in any one or more transactions (which may involve block transactions) in the over-the-counter market, on NASDAQ, and any exchange in which the Common Stock may then be listed, or otherwise in negotiated transactions or a combination of such methods of sale, at market prices prevailing at the time of sale, at prices related to such prevailing market prices or at negotiated prices. The Selling Shareholders may effect such transactions by selling Shares to or through broker-dealers, and such broker-dealers may sell the Shares as agent or may purchase such Shares as principal and resell them for their own</w:t>
      </w:r>
    </w:p>
    <w:p>
      <w:pPr>
        <w:spacing w:after="0" w:line="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account pursuant to this prospectus. Such broker-dealers may receive compensation in the form of underwriting discounts, concessions or commissions from the Selling Shareholders and/or purchasers of Shares from whom they may act as agent (which compensation may be in excess of customary commissions).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5"/>
          </w:tcPr>
          <w:p>
            <w:pPr>
              <w:ind w:left="540"/>
              <w:spacing w:after="0"/>
              <w:rPr>
                <w:sz w:val="20"/>
                <w:szCs w:val="20"/>
                <w:color w:val="auto"/>
              </w:rPr>
            </w:pPr>
            <w:r>
              <w:rPr>
                <w:rFonts w:ascii="Courier New" w:cs="Courier New" w:eastAsia="Courier New" w:hAnsi="Courier New"/>
                <w:sz w:val="18"/>
                <w:szCs w:val="18"/>
                <w:color w:val="auto"/>
              </w:rPr>
              <w:t>The Company  has  informed  the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Selling</w:t>
            </w:r>
          </w:p>
        </w:tc>
        <w:tc>
          <w:tcPr>
            <w:tcW w:w="19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Shareholders  that</w:t>
            </w:r>
          </w:p>
        </w:tc>
        <w:tc>
          <w:tcPr>
            <w:tcW w:w="9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the</w:t>
            </w:r>
          </w:p>
        </w:tc>
        <w:tc>
          <w:tcPr>
            <w:tcW w:w="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anti-</w:t>
            </w:r>
          </w:p>
        </w:tc>
      </w:tr>
      <w:tr>
        <w:trPr>
          <w:trHeight w:val="203"/>
        </w:trPr>
        <w:tc>
          <w:tcPr>
            <w:tcW w:w="59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7"/>
              </w:rPr>
              <w:t>manipulative rules under the  Securities Exchange Act of</w:t>
            </w:r>
          </w:p>
        </w:tc>
        <w:tc>
          <w:tcPr>
            <w:tcW w:w="14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1934 (Rules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10b-6</w:t>
            </w:r>
          </w:p>
        </w:tc>
        <w:tc>
          <w:tcPr>
            <w:tcW w:w="16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10b-7) may</w:t>
            </w:r>
          </w:p>
        </w:tc>
        <w:tc>
          <w:tcPr>
            <w:tcW w:w="25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apply to their sales of</w:t>
            </w:r>
          </w:p>
        </w:tc>
        <w:tc>
          <w:tcPr>
            <w:tcW w:w="22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Shares in the market.</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Also, the Company</w:t>
            </w:r>
          </w:p>
        </w:tc>
        <w:tc>
          <w:tcPr>
            <w:tcW w:w="16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has</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informed the Selling</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Shareholders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need</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for  delivery of</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copies of</w:t>
            </w:r>
          </w:p>
        </w:tc>
        <w:tc>
          <w:tcPr>
            <w:tcW w:w="16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Prospectus</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connection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 any</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sale</w:t>
            </w:r>
          </w:p>
        </w:tc>
        <w:tc>
          <w:tcPr>
            <w:tcW w:w="1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of securities</w:t>
            </w:r>
          </w:p>
        </w:tc>
        <w:tc>
          <w:tcPr>
            <w:tcW w:w="2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registered hereunder</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accordance</w:t>
            </w:r>
          </w:p>
        </w:tc>
        <w:tc>
          <w:tcPr>
            <w:tcW w:w="5840" w:type="dxa"/>
            <w:vAlign w:val="bottom"/>
            <w:gridSpan w:val="7"/>
          </w:tcPr>
          <w:p>
            <w:pPr>
              <w:ind w:left="40"/>
              <w:spacing w:after="0" w:line="203" w:lineRule="exact"/>
              <w:rPr>
                <w:sz w:val="20"/>
                <w:szCs w:val="20"/>
                <w:color w:val="auto"/>
              </w:rPr>
            </w:pPr>
            <w:r>
              <w:rPr>
                <w:rFonts w:ascii="Courier New" w:cs="Courier New" w:eastAsia="Courier New" w:hAnsi="Courier New"/>
                <w:sz w:val="18"/>
                <w:szCs w:val="18"/>
                <w:color w:val="auto"/>
              </w:rPr>
              <w:t>with applicable prospectus delivery requirements.</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21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In connection</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4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5"/>
              </w:rPr>
              <w:t>such sales,</w:t>
            </w:r>
          </w:p>
        </w:tc>
        <w:tc>
          <w:tcPr>
            <w:tcW w:w="900" w:type="dxa"/>
            <w:vAlign w:val="bottom"/>
          </w:tcPr>
          <w:p>
            <w:pPr>
              <w:ind w:left="200"/>
              <w:spacing w:after="0"/>
              <w:rPr>
                <w:sz w:val="20"/>
                <w:szCs w:val="20"/>
                <w:color w:val="auto"/>
              </w:rPr>
            </w:pPr>
            <w:r>
              <w:rPr>
                <w:rFonts w:ascii="Courier New" w:cs="Courier New" w:eastAsia="Courier New" w:hAnsi="Courier New"/>
                <w:sz w:val="18"/>
                <w:szCs w:val="18"/>
                <w:color w:val="auto"/>
              </w:rPr>
              <w:t>the</w:t>
            </w:r>
          </w:p>
        </w:tc>
        <w:tc>
          <w:tcPr>
            <w:tcW w:w="23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Selling Shareholders</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and</w:t>
            </w: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any</w:t>
            </w:r>
          </w:p>
        </w:tc>
      </w:tr>
    </w:tbl>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participating brokers and dealers may be deemed to be "underwriters" as defined in the Securities Act. In addition, any of the Shares that qualify for sale pursuant to Rule 144 may be sold under Rule 144 rather than pursuant to this Prospectus.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certain state securities, laws, if applicable, the Common Stock will not be sold in a particular state unless such securities have been registered or qualified for sale in such state or an exemption from registration or qualification is available and complied with.</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validity of the issuance of the shares of the Common Stock offered hereby will be passed upon for the Company by Charles W. Sprague, Esq., Executive Vice President, General Counsel and Secretary of the Company. Mr. Sprague beneficially owns 15,375 shares of FIserv Common Stock, which number includes vested but unexercised stock options.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financial statements incorporated by reference in this prospectus from the Company's Annual Report on Form 10-K for the year ended December 31, 1995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1" w:lineRule="exact"/>
        <w:rPr>
          <w:sz w:val="20"/>
          <w:szCs w:val="20"/>
          <w:color w:val="auto"/>
        </w:rPr>
      </w:pPr>
    </w:p>
    <w:p>
      <w:pPr>
        <w:ind w:left="540"/>
        <w:spacing w:after="0"/>
        <w:tabs>
          <w:tab w:leader="none" w:pos="3040" w:val="left"/>
          <w:tab w:leader="none" w:pos="5360" w:val="left"/>
          <w:tab w:leader="none" w:pos="7580" w:val="left"/>
        </w:tabs>
        <w:rPr>
          <w:sz w:val="20"/>
          <w:szCs w:val="20"/>
          <w:color w:val="auto"/>
        </w:rPr>
      </w:pPr>
      <w:r>
        <w:rPr>
          <w:rFonts w:ascii="Courier New" w:cs="Courier New" w:eastAsia="Courier New" w:hAnsi="Courier New"/>
          <w:sz w:val="18"/>
          <w:szCs w:val="18"/>
          <w:color w:val="auto"/>
        </w:rPr>
        <w:t>The Company is subject</w:t>
        <w:tab/>
        <w:t>to the informational</w:t>
        <w:tab/>
        <w:t>requirements of the</w:t>
      </w:r>
      <w:r>
        <w:rPr>
          <w:sz w:val="20"/>
          <w:szCs w:val="20"/>
          <w:color w:val="auto"/>
        </w:rPr>
        <w:tab/>
      </w:r>
      <w:r>
        <w:rPr>
          <w:rFonts w:ascii="Courier New" w:cs="Courier New" w:eastAsia="Courier New" w:hAnsi="Courier New"/>
          <w:sz w:val="16"/>
          <w:szCs w:val="16"/>
          <w:color w:val="auto"/>
        </w:rPr>
        <w:t>Exchange</w:t>
      </w:r>
    </w:p>
    <w:p>
      <w:pPr>
        <w:sectPr>
          <w:pgSz w:w="11900" w:h="16838" w:orient="portrait"/>
          <w:cols w:equalWidth="0" w:num="1">
            <w:col w:w="10219"/>
          </w:cols>
          <w:pgMar w:left="240" w:top="339" w:right="1440" w:bottom="0" w:gutter="0" w:footer="0" w:header="0"/>
        </w:sectPr>
      </w:pPr>
    </w:p>
    <w:bookmarkStart w:id="4" w:name="page5"/>
    <w:bookmarkEnd w:id="4"/>
    <w:p>
      <w:pPr>
        <w:spacing w:after="0"/>
        <w:tabs>
          <w:tab w:leader="none" w:pos="940" w:val="left"/>
          <w:tab w:leader="none" w:pos="1360" w:val="left"/>
          <w:tab w:leader="none" w:pos="3680" w:val="left"/>
          <w:tab w:leader="none" w:pos="4420" w:val="left"/>
          <w:tab w:leader="none" w:pos="6100" w:val="left"/>
          <w:tab w:leader="none" w:pos="7360" w:val="left"/>
          <w:tab w:leader="none" w:pos="7880" w:val="left"/>
        </w:tabs>
        <w:rPr>
          <w:sz w:val="20"/>
          <w:szCs w:val="20"/>
          <w:color w:val="auto"/>
        </w:rPr>
      </w:pPr>
      <w:r>
        <w:rPr>
          <w:rFonts w:ascii="Courier New" w:cs="Courier New" w:eastAsia="Courier New" w:hAnsi="Courier New"/>
          <w:sz w:val="18"/>
          <w:szCs w:val="18"/>
          <w:color w:val="auto"/>
        </w:rPr>
        <w:t>Act and</w:t>
        <w:tab/>
        <w:t>in</w:t>
        <w:tab/>
        <w:t>accordance therewith</w:t>
        <w:tab/>
        <w:t>files</w:t>
        <w:tab/>
        <w:t>reports, proxy</w:t>
        <w:tab/>
        <w:t>statements</w:t>
        <w:tab/>
        <w:t>and</w:t>
        <w:tab/>
        <w:t>other</w:t>
      </w:r>
    </w:p>
    <w:p>
      <w:pPr>
        <w:spacing w:after="0" w:line="4"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information with the Commission. This Prospectus does not contain all information set forth in the Registration Statement and the exhibits thereto which the Company has filed with the Commission under the Securities Act of 1933, as amended (the "Act"), and to which reference is hereby made. Such reports, proxy statements and other information filed by the Company with the Commission can be inspected and copied at the public reference facilities maintained by the Commission at 450 Fifth Street, N.W., Room 1024, Washington, D.C. 20549; Seven World Trade Center, 13th Floor, New York, New York 10048; and Northwestern Atrium Center, 500 West Madison Street, Suite 1400, Chicago, Illinois 60661. Copies of such material can be obtained at prescribed rates upon request from the Public Reference Section of the Commission at Room 1024 at 450 Fifth Street, N.W., Washington, D.C. 20549. The Company's registration statements, proxy statements and other information may also be inspected at the offices of the National Association of Securities Dealers, Inc., 1735 K Street, N.W., Washington, D.C. 20006.</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Prospectus constitutes a part of a Registration Statement on Form S-3 (together with all amendments thereto, the "Registration Statement") filed by the Company with the Commission under the Act. This Prospectus does not contain all of the information included in the Registration Statement, certain parts of which are omitted in accordance with the rules and regulations of the Commission. Reference is made to such Registration Statement and to the Exhibits relating thereto for further information with respect to the Company and the Common Stock offered hereby.</w:t>
      </w:r>
    </w:p>
    <w:p>
      <w:pPr>
        <w:spacing w:after="0" w:line="212"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No person is authorized to give any information or to make any representation, other than those contained in this Prospectus, and any information or representations not contained in this Prospectus must not be relied upon as having been authorized. This Prospectus does not constitute an offer to sell or solicitation of an offer to buy any securities other than the registered securities to which it relates. This Prospectus does not constitute an offer to sell or a solicitation of an offer to buy such securities under any</w:t>
      </w:r>
    </w:p>
    <w:p>
      <w:pPr>
        <w:spacing w:after="0" w:line="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circumstances where such offer of solicitation is unlawful. Neither the delivery of this Prospectus nor any sales made hereunder shall, under any circumstances, create any implication that there has been no change in the affairs of the Company since the date hereof or that the information contained herein is correct as of any time subsequent to its date.</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various expenses in connection with the sale and distribution of the securities being registered, other than underwriting discounts and commissions. All amounts shown are estimates except the Securities and Exchange Commission registration fee, the NASD filing fee and the NASDAQ listing fee.</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580" w:type="dxa"/>
            <w:vAlign w:val="bottom"/>
          </w:tcPr>
          <w:p>
            <w:pPr>
              <w:ind w:left="1360"/>
              <w:spacing w:after="0"/>
              <w:rPr>
                <w:sz w:val="20"/>
                <w:szCs w:val="20"/>
                <w:color w:val="auto"/>
              </w:rPr>
            </w:pPr>
            <w:r>
              <w:rPr>
                <w:rFonts w:ascii="Courier New" w:cs="Courier New" w:eastAsia="Courier New" w:hAnsi="Courier New"/>
                <w:sz w:val="18"/>
                <w:szCs w:val="18"/>
                <w:color w:val="auto"/>
              </w:rPr>
              <w:t>Item</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Amount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 registration fee</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$1,339.59</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NASD filing fee</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888.48</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NASDAQ listing fee</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 fees and expenses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fees and expenses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fees and expenses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771.93</w:t>
            </w:r>
          </w:p>
        </w:tc>
      </w:tr>
      <w:tr>
        <w:trPr>
          <w:trHeight w:val="203"/>
        </w:trPr>
        <w:tc>
          <w:tcPr>
            <w:tcW w:w="358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Total</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358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In general, the Wisconsin Business Corporation Law provides that a corporation shall indemnify directors and officers for all reasonable expenses incurred in connection with the successful defense of actions arising in connection with their service as directors and officers of the corporation. In other cases, the Wisconsin statute provides that the corporation shall indemnify a director or officer against liability unless the director or officer breached or failed to perform a duty owed to the corporation and such breach or failure meets certain specified criteria constituting, in general, some act of misconduct. In addition, the corporation may reimburse a director or officer for his expenses in defending against actions as they are incurred upon the director's or officer's written request accompanied by a written affirmation of his good faith belief that he has not breached or failed to perform his duties to the corporation and a written undertaking to repay amounts advanced if it is</w:t>
      </w:r>
    </w:p>
    <w:p>
      <w:pPr>
        <w:sectPr>
          <w:pgSz w:w="11900" w:h="16838" w:orient="portrait"/>
          <w:cols w:equalWidth="0" w:num="1">
            <w:col w:w="10219"/>
          </w:cols>
          <w:pgMar w:left="240" w:top="136" w:right="1440" w:bottom="0" w:gutter="0" w:footer="0" w:header="0"/>
        </w:sectPr>
      </w:pPr>
    </w:p>
    <w:bookmarkStart w:id="5" w:name="page6"/>
    <w:bookmarkEnd w:id="5"/>
    <w:p>
      <w:pPr>
        <w:jc w:val="both"/>
        <w:ind w:right="1779"/>
        <w:spacing w:after="0" w:line="237" w:lineRule="auto"/>
        <w:rPr>
          <w:sz w:val="20"/>
          <w:szCs w:val="20"/>
          <w:color w:val="auto"/>
        </w:rPr>
      </w:pPr>
      <w:r>
        <w:rPr>
          <w:rFonts w:ascii="Courier New" w:cs="Courier New" w:eastAsia="Courier New" w:hAnsi="Courier New"/>
          <w:sz w:val="18"/>
          <w:szCs w:val="18"/>
          <w:color w:val="auto"/>
        </w:rPr>
        <w:t>ultimately determined that indemnification is not required under the Wisconsin Business Corporation Law. A court of law may order that the corporation provide indemnification to a director or officer if it finds that the director or officer is entitled thereto under the applicable statutory provision or is</w:t>
      </w:r>
    </w:p>
    <w:p>
      <w:pPr>
        <w:spacing w:after="0" w:line="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fairly and reasonably entitled thereto in view of all the relevant circumstances, whether or not such indemnification is required under the applicable statutory provision.</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Wisconsin Business Corporation Law specifies various procedures pursuant to which a director or officer may establish his right to indemnification.</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Provided that it is not determined by or on behalf of the corporation that the director or officer breached or failed to perform a duty owed to the corporation and such breach or failure meets certain specified criteria constituting, in general, some act of misconduct, a Wisconsin corporation may provide additional rights to indemnification under its articles of incorporation or by-laws, by written agreement, by resolution of its board of directors or by a vote of the holders of a majority of its outstanding shares.</w:t>
      </w:r>
    </w:p>
    <w:p>
      <w:pPr>
        <w:spacing w:after="0" w:line="200" w:lineRule="exact"/>
        <w:rPr>
          <w:sz w:val="20"/>
          <w:szCs w:val="20"/>
          <w:color w:val="auto"/>
        </w:rPr>
      </w:pPr>
    </w:p>
    <w:p>
      <w:pPr>
        <w:spacing w:after="0" w:line="21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Registrant's By-laws provide for indemnification and advancement of expenses of directors and officers to the fullest extent provided by the Wisconsin Business Corporation Law. This provision is not exclusive of any other rights to indemnification or the advancement of expenses to which a director or officer may be entitled under any written agreement, resolution of directors, vote of shareholders, by law or otherwise.</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jc w:val="both"/>
        <w:ind w:left="540" w:right="1779" w:hanging="210"/>
        <w:spacing w:after="0" w:line="237" w:lineRule="auto"/>
        <w:rPr>
          <w:sz w:val="20"/>
          <w:szCs w:val="20"/>
          <w:color w:val="auto"/>
        </w:rPr>
      </w:pPr>
      <w:r>
        <w:rPr>
          <w:rFonts w:ascii="Courier New" w:cs="Courier New" w:eastAsia="Courier New" w:hAnsi="Courier New"/>
          <w:sz w:val="18"/>
          <w:szCs w:val="18"/>
          <w:color w:val="auto"/>
        </w:rPr>
        <w:t>2.1 Stock</w:t>
      </w:r>
      <w:r>
        <w:rPr>
          <w:sz w:val="20"/>
          <w:szCs w:val="20"/>
          <w:color w:val="auto"/>
        </w:rPr>
        <w:t xml:space="preserve"> </w:t>
      </w:r>
      <w:r>
        <w:rPr>
          <w:rFonts w:ascii="Courier New" w:cs="Courier New" w:eastAsia="Courier New" w:hAnsi="Courier New"/>
          <w:sz w:val="18"/>
          <w:szCs w:val="18"/>
          <w:color w:val="auto"/>
        </w:rPr>
        <w:t>Purchase Agreement, dated as of April 6, 1995, by and between FIserv, Inc. and Information Technology, Inc. (Filed as Exhibit 2.1 to the Company's Registration Statement on Form S-3, File No. 33-58709, and incorporated herein by reference)</w:t>
      </w:r>
    </w:p>
    <w:p>
      <w:pPr>
        <w:spacing w:after="0" w:line="207" w:lineRule="exact"/>
        <w:rPr>
          <w:sz w:val="20"/>
          <w:szCs w:val="20"/>
          <w:color w:val="auto"/>
        </w:rPr>
      </w:pPr>
    </w:p>
    <w:p>
      <w:pPr>
        <w:jc w:val="both"/>
        <w:ind w:left="540" w:right="1779" w:hanging="210"/>
        <w:spacing w:after="0" w:line="236" w:lineRule="auto"/>
        <w:rPr>
          <w:sz w:val="20"/>
          <w:szCs w:val="20"/>
          <w:color w:val="auto"/>
        </w:rPr>
      </w:pPr>
      <w:r>
        <w:rPr>
          <w:rFonts w:ascii="Courier New" w:cs="Courier New" w:eastAsia="Courier New" w:hAnsi="Courier New"/>
          <w:sz w:val="18"/>
          <w:szCs w:val="18"/>
          <w:color w:val="auto"/>
        </w:rPr>
        <w:t>3.1 Articles</w:t>
      </w:r>
      <w:r>
        <w:rPr>
          <w:sz w:val="20"/>
          <w:szCs w:val="20"/>
          <w:color w:val="auto"/>
        </w:rPr>
        <w:t xml:space="preserve"> </w:t>
      </w:r>
      <w:r>
        <w:rPr>
          <w:rFonts w:ascii="Courier New" w:cs="Courier New" w:eastAsia="Courier New" w:hAnsi="Courier New"/>
          <w:sz w:val="18"/>
          <w:szCs w:val="18"/>
          <w:color w:val="auto"/>
        </w:rPr>
        <w:t>of Incorporation, as amended (filed as Exhibit 3.1 to the Company's Registration Statement on Form S-4, File No. 33-62870, and incorporated herein by reference).</w:t>
      </w:r>
    </w:p>
    <w:p>
      <w:pPr>
        <w:spacing w:after="0" w:line="209" w:lineRule="exact"/>
        <w:rPr>
          <w:sz w:val="20"/>
          <w:szCs w:val="20"/>
          <w:color w:val="auto"/>
        </w:rPr>
      </w:pPr>
    </w:p>
    <w:p>
      <w:pPr>
        <w:jc w:val="both"/>
        <w:ind w:left="540" w:right="1779" w:hanging="315"/>
        <w:spacing w:after="0"/>
        <w:rPr>
          <w:sz w:val="20"/>
          <w:szCs w:val="20"/>
          <w:color w:val="auto"/>
        </w:rPr>
      </w:pPr>
      <w:r>
        <w:rPr>
          <w:rFonts w:ascii="Courier New" w:cs="Courier New" w:eastAsia="Courier New" w:hAnsi="Courier New"/>
          <w:sz w:val="18"/>
          <w:szCs w:val="18"/>
          <w:color w:val="auto"/>
        </w:rPr>
        <w:t>3.2 By-laws, (filed as Exhibit 3.2 to the Company's Registration Statement</w:t>
      </w:r>
      <w:r>
        <w:rPr>
          <w:sz w:val="20"/>
          <w:szCs w:val="20"/>
          <w:color w:val="auto"/>
        </w:rPr>
        <w:t xml:space="preserve"> </w:t>
      </w:r>
      <w:r>
        <w:rPr>
          <w:rFonts w:ascii="Courier New" w:cs="Courier New" w:eastAsia="Courier New" w:hAnsi="Courier New"/>
          <w:sz w:val="18"/>
          <w:szCs w:val="18"/>
          <w:color w:val="auto"/>
        </w:rPr>
        <w:t>on Form S-4, File No. 33-62870, and incorporated herein by reference).</w:t>
      </w:r>
    </w:p>
    <w:p>
      <w:pPr>
        <w:spacing w:after="0" w:line="200" w:lineRule="exact"/>
        <w:rPr>
          <w:sz w:val="20"/>
          <w:szCs w:val="20"/>
          <w:color w:val="auto"/>
        </w:rPr>
      </w:pPr>
    </w:p>
    <w:p>
      <w:pPr>
        <w:spacing w:after="0" w:line="204" w:lineRule="exact"/>
        <w:rPr>
          <w:sz w:val="20"/>
          <w:szCs w:val="20"/>
          <w:color w:val="auto"/>
        </w:rPr>
      </w:pPr>
    </w:p>
    <w:p>
      <w:pPr>
        <w:jc w:val="both"/>
        <w:ind w:left="540" w:right="1779" w:hanging="315"/>
        <w:spacing w:after="0" w:line="237" w:lineRule="auto"/>
        <w:tabs>
          <w:tab w:leader="none" w:pos="520" w:val="left"/>
        </w:tabs>
        <w:rPr>
          <w:sz w:val="20"/>
          <w:szCs w:val="20"/>
          <w:color w:val="auto"/>
        </w:rPr>
      </w:pPr>
      <w:r>
        <w:rPr>
          <w:rFonts w:ascii="Courier New" w:cs="Courier New" w:eastAsia="Courier New" w:hAnsi="Courier New"/>
          <w:sz w:val="18"/>
          <w:szCs w:val="18"/>
          <w:color w:val="auto"/>
        </w:rPr>
        <w:t>4.1</w:t>
        <w:tab/>
        <w:t>Credit Agreement dated as of May 17, 1995 among FIserv, Inc., the Lenders Party Thereto, First Bank National Association, as Co-Agent, and The Bank of New York, as Agent. (Not being filed herewith, but will be provided to the Commission upon its request, pursuant to Item 601(b) (4) (iii) (A) of Regulation S-K.)</w:t>
      </w:r>
    </w:p>
    <w:p>
      <w:pPr>
        <w:spacing w:after="0" w:line="209" w:lineRule="exact"/>
        <w:rPr>
          <w:sz w:val="20"/>
          <w:szCs w:val="20"/>
          <w:color w:val="auto"/>
        </w:rPr>
      </w:pPr>
    </w:p>
    <w:p>
      <w:pPr>
        <w:jc w:val="both"/>
        <w:ind w:left="540" w:right="1779" w:hanging="315"/>
        <w:spacing w:after="0" w:line="237" w:lineRule="auto"/>
        <w:tabs>
          <w:tab w:leader="none" w:pos="520" w:val="left"/>
        </w:tabs>
        <w:rPr>
          <w:sz w:val="20"/>
          <w:szCs w:val="20"/>
          <w:color w:val="auto"/>
        </w:rPr>
      </w:pPr>
      <w:r>
        <w:rPr>
          <w:rFonts w:ascii="Courier New" w:cs="Courier New" w:eastAsia="Courier New" w:hAnsi="Courier New"/>
          <w:sz w:val="18"/>
          <w:szCs w:val="18"/>
          <w:color w:val="auto"/>
        </w:rPr>
        <w:t>4.2</w:t>
        <w:tab/>
        <w:t>Note Purchase Agreement dated as of March 15, 1991, as amended, among FIserv, Inc., Aid Association for Lutherans, Northwestern National Life Insurance Company, Northern Life Insurance Company and The North Atlantic Life Insurance Company of America. (Not being filed herewith, but will be provided to the Commission upon its request, pursuant to Item 601(b) (4) (iii) (A) of Regulation S-K.)</w:t>
      </w:r>
    </w:p>
    <w:p>
      <w:pPr>
        <w:spacing w:after="0" w:line="210" w:lineRule="exact"/>
        <w:rPr>
          <w:sz w:val="20"/>
          <w:szCs w:val="20"/>
          <w:color w:val="auto"/>
        </w:rPr>
      </w:pPr>
    </w:p>
    <w:p>
      <w:pPr>
        <w:jc w:val="both"/>
        <w:ind w:left="540" w:right="1779" w:hanging="315"/>
        <w:spacing w:after="0" w:line="237" w:lineRule="auto"/>
        <w:tabs>
          <w:tab w:leader="none" w:pos="520" w:val="left"/>
        </w:tabs>
        <w:rPr>
          <w:sz w:val="20"/>
          <w:szCs w:val="20"/>
          <w:color w:val="auto"/>
        </w:rPr>
      </w:pPr>
      <w:r>
        <w:rPr>
          <w:rFonts w:ascii="Courier New" w:cs="Courier New" w:eastAsia="Courier New" w:hAnsi="Courier New"/>
          <w:sz w:val="18"/>
          <w:szCs w:val="18"/>
          <w:color w:val="auto"/>
        </w:rPr>
        <w:t>4.3</w:t>
        <w:tab/>
        <w:t>Note Purchase Agreement dated as of April 30, 1990, as amended, among FIserv, Inc. and Teachers Insurance and Annuity Association of America. (Not being filed herewith, but will be provided to the Commission upon its request, pursuant to Item 601(b) (4) (iii) (A) of Regulation S-K.)</w:t>
      </w:r>
    </w:p>
    <w:p>
      <w:pPr>
        <w:spacing w:after="0" w:line="207" w:lineRule="exact"/>
        <w:rPr>
          <w:sz w:val="20"/>
          <w:szCs w:val="20"/>
          <w:color w:val="auto"/>
        </w:rPr>
      </w:pPr>
    </w:p>
    <w:p>
      <w:pPr>
        <w:jc w:val="both"/>
        <w:ind w:left="540" w:right="1779" w:hanging="315"/>
        <w:spacing w:after="0" w:line="237" w:lineRule="auto"/>
        <w:tabs>
          <w:tab w:leader="none" w:pos="520" w:val="left"/>
        </w:tabs>
        <w:rPr>
          <w:sz w:val="20"/>
          <w:szCs w:val="20"/>
          <w:color w:val="auto"/>
        </w:rPr>
      </w:pPr>
      <w:r>
        <w:rPr>
          <w:rFonts w:ascii="Courier New" w:cs="Courier New" w:eastAsia="Courier New" w:hAnsi="Courier New"/>
          <w:sz w:val="18"/>
          <w:szCs w:val="18"/>
          <w:color w:val="auto"/>
        </w:rPr>
        <w:t>4.4</w:t>
        <w:tab/>
        <w:t>Note Purchase Agreement dated as of May 17, 1995 among FIserv, Inc., Teachers Insurance and Annuity Association of America, Massachusetts Mutual Life Insurance Company and Aid Association for Lutherans. (Not being filed herewith, but will be provided to the Commission upon its request, pursuant to Item 601(b) (4) (iii) (A) of Regulation S-K.)</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 Opinion of Charles W. Sprague, Esq.</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23.1 Manually signed Consent of Deloitte &amp; Touche LLP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23.2 Consent of Charles W. Sprague, Esq.(included in Exhibit 5.1 hereto).</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 Powers of Attorney.</w:t>
      </w:r>
    </w:p>
    <w:p>
      <w:pPr>
        <w:sectPr>
          <w:pgSz w:w="11900" w:h="16838" w:orient="portrait"/>
          <w:cols w:equalWidth="0" w:num="1">
            <w:col w:w="10219"/>
          </w:cols>
          <w:pgMar w:left="240" w:top="142" w:right="1440" w:bottom="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Registrant hereby undertakes to include any material information with respect to the plan of distribution not previously disclosed in the registration statement or any material change to such information in the information statement.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undersigned registrant hereby undertakes 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Act, each filing of the Registrant's annual report pursuant to Section 13(a) or 15(d) of the Securities Exchange Act of 1934, as amended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Act may be permitted to directors, officers and controlling persons of the Registrant pursuant to the provisions described in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Registrant hereby further undertakes that:</w:t>
      </w:r>
    </w:p>
    <w:p>
      <w:pPr>
        <w:spacing w:after="0" w:line="207" w:lineRule="exact"/>
        <w:rPr>
          <w:sz w:val="20"/>
          <w:szCs w:val="20"/>
          <w:color w:val="auto"/>
        </w:rPr>
      </w:pPr>
    </w:p>
    <w:p>
      <w:pPr>
        <w:jc w:val="both"/>
        <w:ind w:left="540" w:right="2319" w:hanging="5"/>
        <w:spacing w:after="0" w:line="272" w:lineRule="auto"/>
        <w:tabs>
          <w:tab w:leader="none" w:pos="106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185" w:lineRule="exact"/>
        <w:rPr>
          <w:rFonts w:ascii="Courier New" w:cs="Courier New" w:eastAsia="Courier New" w:hAnsi="Courier New"/>
          <w:sz w:val="16"/>
          <w:szCs w:val="16"/>
          <w:color w:val="auto"/>
        </w:rPr>
      </w:pPr>
    </w:p>
    <w:p>
      <w:pPr>
        <w:jc w:val="both"/>
        <w:ind w:left="540" w:right="2319" w:hanging="5"/>
        <w:spacing w:after="0" w:line="273" w:lineRule="auto"/>
        <w:tabs>
          <w:tab w:leader="none" w:pos="106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Amendment No. 1 to its Registration Statement to be signed on its behalf by the undersigned, thereunto duly authorized, in the City of Brookfield, State of Wisconsin, on the 22nd day of March 1996.</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FISERV, INC.</w:t>
      </w:r>
    </w:p>
    <w:p>
      <w:pPr>
        <w:spacing w:after="0" w:line="201"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tab/>
        <w:t>/S/ K.R. JENSEN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Kenneth R. Jensen,</w:t>
      </w:r>
    </w:p>
    <w:p>
      <w:pPr>
        <w:ind w:left="3160"/>
        <w:spacing w:after="0"/>
        <w:tabs>
          <w:tab w:leader="none" w:pos="5580" w:val="left"/>
        </w:tabs>
        <w:rPr>
          <w:sz w:val="20"/>
          <w:szCs w:val="20"/>
          <w:color w:val="auto"/>
        </w:rPr>
      </w:pPr>
      <w:r>
        <w:rPr>
          <w:rFonts w:ascii="Courier New" w:cs="Courier New" w:eastAsia="Courier New" w:hAnsi="Courier New"/>
          <w:sz w:val="18"/>
          <w:szCs w:val="18"/>
          <w:color w:val="auto"/>
        </w:rPr>
        <w:t>Senior Executive Vice</w:t>
      </w:r>
      <w:r>
        <w:rPr>
          <w:sz w:val="20"/>
          <w:szCs w:val="20"/>
          <w:color w:val="auto"/>
        </w:rPr>
        <w:tab/>
      </w:r>
      <w:r>
        <w:rPr>
          <w:rFonts w:ascii="Courier New" w:cs="Courier New" w:eastAsia="Courier New" w:hAnsi="Courier New"/>
          <w:sz w:val="16"/>
          <w:szCs w:val="16"/>
          <w:color w:val="auto"/>
        </w:rPr>
        <w:t>President</w:t>
      </w:r>
    </w:p>
    <w:p>
      <w:pPr>
        <w:ind w:left="3160"/>
        <w:spacing w:after="0" w:line="238" w:lineRule="auto"/>
        <w:rPr>
          <w:sz w:val="20"/>
          <w:szCs w:val="20"/>
          <w:color w:val="auto"/>
        </w:rPr>
      </w:pPr>
      <w:r>
        <w:rPr>
          <w:rFonts w:ascii="Courier New" w:cs="Courier New" w:eastAsia="Courier New" w:hAnsi="Courier New"/>
          <w:sz w:val="18"/>
          <w:szCs w:val="18"/>
          <w:color w:val="auto"/>
        </w:rPr>
        <w:t>and Treasurer</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Chairman of the Board and</w:t>
            </w:r>
          </w:p>
        </w:tc>
        <w:tc>
          <w:tcPr>
            <w:tcW w:w="1200" w:type="dxa"/>
            <w:vAlign w:val="bottom"/>
          </w:tcPr>
          <w:p>
            <w:pPr>
              <w:ind w:left="200"/>
              <w:spacing w:after="0"/>
              <w:rPr>
                <w:sz w:val="20"/>
                <w:szCs w:val="20"/>
                <w:color w:val="auto"/>
              </w:rPr>
            </w:pPr>
            <w:r>
              <w:rPr>
                <w:rFonts w:ascii="Courier New" w:cs="Courier New" w:eastAsia="Courier New" w:hAnsi="Courier New"/>
                <w:sz w:val="18"/>
                <w:szCs w:val="18"/>
                <w:color w:val="auto"/>
              </w:rPr>
              <w:t>March 22,</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__________________</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(George D. Dalton)</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19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President and Director</w:t>
            </w:r>
          </w:p>
        </w:tc>
        <w:tc>
          <w:tcPr>
            <w:tcW w:w="1200" w:type="dxa"/>
            <w:vAlign w:val="bottom"/>
          </w:tcPr>
          <w:p>
            <w:pPr>
              <w:ind w:left="200"/>
              <w:spacing w:after="0"/>
              <w:rPr>
                <w:sz w:val="20"/>
                <w:szCs w:val="20"/>
                <w:color w:val="auto"/>
              </w:rPr>
            </w:pPr>
            <w:r>
              <w:rPr>
                <w:rFonts w:ascii="Courier New" w:cs="Courier New" w:eastAsia="Courier New" w:hAnsi="Courier New"/>
                <w:sz w:val="18"/>
                <w:szCs w:val="18"/>
                <w:color w:val="auto"/>
              </w:rPr>
              <w:t>March 22,</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sectPr>
          <w:pgSz w:w="11900" w:h="16838" w:orient="portrait"/>
          <w:cols w:equalWidth="0" w:num="1">
            <w:col w:w="10219"/>
          </w:cols>
          <w:pgMar w:left="240" w:top="136"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_________________</w:t>
      </w:r>
    </w:p>
    <w:p>
      <w:pPr>
        <w:spacing w:after="0" w:line="238" w:lineRule="auto"/>
        <w:rPr>
          <w:sz w:val="20"/>
          <w:szCs w:val="20"/>
          <w:color w:val="auto"/>
        </w:rPr>
      </w:pPr>
      <w:r>
        <w:rPr>
          <w:rFonts w:ascii="Courier New" w:cs="Courier New" w:eastAsia="Courier New" w:hAnsi="Courier New"/>
          <w:sz w:val="18"/>
          <w:szCs w:val="18"/>
          <w:color w:val="auto"/>
        </w:rPr>
        <w:t>(Leslie M. Muma)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3020" w:type="dxa"/>
            <w:vAlign w:val="bottom"/>
          </w:tcPr>
          <w:p>
            <w:pPr>
              <w:spacing w:after="0"/>
              <w:rPr>
                <w:sz w:val="20"/>
                <w:szCs w:val="20"/>
                <w:color w:val="auto"/>
              </w:rPr>
            </w:pPr>
            <w:r>
              <w:rPr>
                <w:rFonts w:ascii="Courier New" w:cs="Courier New" w:eastAsia="Courier New" w:hAnsi="Courier New"/>
                <w:sz w:val="18"/>
                <w:szCs w:val="18"/>
                <w:color w:val="auto"/>
              </w:rPr>
              <w:t>Senior Executive Vice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March 22, 1996</w:t>
            </w:r>
          </w:p>
        </w:tc>
      </w:tr>
      <w:tr>
        <w:trPr>
          <w:trHeight w:val="203"/>
        </w:trPr>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_________________</w:t>
            </w:r>
          </w:p>
        </w:tc>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Treasurer and</w:t>
            </w:r>
          </w:p>
        </w:tc>
        <w:tc>
          <w:tcPr>
            <w:tcW w:w="15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(Kenneth R. Jensen</w:t>
            </w:r>
          </w:p>
        </w:tc>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(Principal</w:t>
            </w:r>
          </w:p>
        </w:tc>
        <w:tc>
          <w:tcPr>
            <w:tcW w:w="152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and Accounting</w:t>
            </w:r>
          </w:p>
        </w:tc>
        <w:tc>
          <w:tcPr>
            <w:tcW w:w="152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c>
          <w:tcPr>
            <w:tcW w:w="1520" w:type="dxa"/>
            <w:vAlign w:val="bottom"/>
          </w:tcPr>
          <w:p>
            <w:pPr>
              <w:spacing w:after="0"/>
              <w:rPr>
                <w:sz w:val="17"/>
                <w:szCs w:val="17"/>
                <w:color w:val="auto"/>
              </w:rPr>
            </w:pPr>
          </w:p>
        </w:tc>
      </w:tr>
      <w:tr>
        <w:trPr>
          <w:trHeight w:val="405"/>
        </w:trPr>
        <w:tc>
          <w:tcPr>
            <w:tcW w:w="200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3020" w:type="dxa"/>
            <w:vAlign w:val="bottom"/>
          </w:tcPr>
          <w:p>
            <w:pPr>
              <w:spacing w:after="0"/>
              <w:rPr>
                <w:sz w:val="20"/>
                <w:szCs w:val="20"/>
                <w:color w:val="auto"/>
              </w:rPr>
            </w:pPr>
            <w:r>
              <w:rPr>
                <w:rFonts w:ascii="Courier New" w:cs="Courier New" w:eastAsia="Courier New" w:hAnsi="Courier New"/>
                <w:sz w:val="18"/>
                <w:szCs w:val="18"/>
                <w:color w:val="auto"/>
              </w:rPr>
              <w:t>Vice Chairman, President -</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March 22, 1996</w:t>
            </w:r>
          </w:p>
        </w:tc>
      </w:tr>
      <w:tr>
        <w:trPr>
          <w:trHeight w:val="203"/>
        </w:trPr>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_________________</w:t>
            </w:r>
          </w:p>
        </w:tc>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Information Technology, Inc.</w:t>
            </w:r>
          </w:p>
        </w:tc>
        <w:tc>
          <w:tcPr>
            <w:tcW w:w="15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F. Dillon)</w:t>
            </w:r>
          </w:p>
        </w:tc>
        <w:tc>
          <w:tcPr>
            <w:tcW w:w="30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200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302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March 22, 1996</w:t>
            </w:r>
          </w:p>
        </w:tc>
      </w:tr>
      <w:tr>
        <w:trPr>
          <w:trHeight w:val="203"/>
        </w:trPr>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_________________</w:t>
            </w:r>
          </w:p>
        </w:tc>
        <w:tc>
          <w:tcPr>
            <w:tcW w:w="30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J. Levy)</w:t>
            </w:r>
          </w:p>
        </w:tc>
        <w:tc>
          <w:tcPr>
            <w:tcW w:w="30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200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302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March 22, 1996</w:t>
            </w:r>
          </w:p>
        </w:tc>
      </w:tr>
      <w:tr>
        <w:trPr>
          <w:trHeight w:val="203"/>
        </w:trPr>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_________________</w:t>
            </w:r>
          </w:p>
        </w:tc>
        <w:tc>
          <w:tcPr>
            <w:tcW w:w="30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 William Seidman)</w:t>
            </w:r>
          </w:p>
        </w:tc>
        <w:tc>
          <w:tcPr>
            <w:tcW w:w="1520" w:type="dxa"/>
            <w:vAlign w:val="bottom"/>
          </w:tcPr>
          <w:p>
            <w:pPr>
              <w:spacing w:after="0"/>
              <w:rPr>
                <w:sz w:val="17"/>
                <w:szCs w:val="17"/>
                <w:color w:val="auto"/>
              </w:rPr>
            </w:pPr>
          </w:p>
        </w:tc>
      </w:tr>
      <w:tr>
        <w:trPr>
          <w:trHeight w:val="405"/>
        </w:trPr>
        <w:tc>
          <w:tcPr>
            <w:tcW w:w="200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302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March 22, 1996</w:t>
            </w:r>
          </w:p>
        </w:tc>
      </w:tr>
      <w:tr>
        <w:trPr>
          <w:trHeight w:val="203"/>
        </w:trPr>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_________________</w:t>
            </w:r>
          </w:p>
        </w:tc>
        <w:tc>
          <w:tcPr>
            <w:tcW w:w="30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(Thekla R. Shackelford)</w:t>
            </w:r>
          </w:p>
        </w:tc>
        <w:tc>
          <w:tcPr>
            <w:tcW w:w="1520" w:type="dxa"/>
            <w:vAlign w:val="bottom"/>
          </w:tcPr>
          <w:p>
            <w:pPr>
              <w:spacing w:after="0"/>
              <w:rPr>
                <w:sz w:val="17"/>
                <w:szCs w:val="17"/>
                <w:color w:val="auto"/>
              </w:rPr>
            </w:pPr>
          </w:p>
        </w:tc>
      </w:tr>
      <w:tr>
        <w:trPr>
          <w:trHeight w:val="405"/>
        </w:trPr>
        <w:tc>
          <w:tcPr>
            <w:tcW w:w="200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302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March 22, 1996</w:t>
            </w:r>
          </w:p>
        </w:tc>
      </w:tr>
      <w:tr>
        <w:trPr>
          <w:trHeight w:val="203"/>
        </w:trPr>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_________________</w:t>
            </w:r>
          </w:p>
        </w:tc>
        <w:tc>
          <w:tcPr>
            <w:tcW w:w="30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(Roland D.Sullivan)</w:t>
            </w:r>
          </w:p>
        </w:tc>
        <w:tc>
          <w:tcPr>
            <w:tcW w:w="302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K.R. JENSEN</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w:t>
      </w:r>
    </w:p>
    <w:p>
      <w:pPr>
        <w:spacing w:after="0"/>
        <w:rPr>
          <w:sz w:val="20"/>
          <w:szCs w:val="20"/>
          <w:color w:val="auto"/>
        </w:rPr>
      </w:pPr>
      <w:r>
        <w:rPr>
          <w:rFonts w:ascii="Courier New" w:cs="Courier New" w:eastAsia="Courier New" w:hAnsi="Courier New"/>
          <w:sz w:val="18"/>
          <w:szCs w:val="18"/>
          <w:color w:val="auto"/>
        </w:rPr>
        <w:t>(Kenneth R. Jensen, individually and as</w:t>
      </w:r>
    </w:p>
    <w:p>
      <w:pPr>
        <w:spacing w:after="0" w:line="237" w:lineRule="auto"/>
        <w:rPr>
          <w:sz w:val="20"/>
          <w:szCs w:val="20"/>
          <w:color w:val="auto"/>
        </w:rPr>
      </w:pPr>
      <w:r>
        <w:rPr>
          <w:rFonts w:ascii="Courier New" w:cs="Courier New" w:eastAsia="Courier New" w:hAnsi="Courier New"/>
          <w:sz w:val="18"/>
          <w:szCs w:val="18"/>
          <w:color w:val="auto"/>
        </w:rPr>
        <w:t>attorney-in-fact for the persons indicated)</w:t>
      </w:r>
    </w:p>
    <w:p>
      <w:pPr>
        <w:sectPr>
          <w:pgSz w:w="11900" w:h="16838" w:orient="portrait"/>
          <w:cols w:equalWidth="0" w:num="1">
            <w:col w:w="10219"/>
          </w:cols>
          <w:pgMar w:left="240" w:top="136"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w w:val="96"/>
              </w:rPr>
              <w:t>March 21,1996</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608"/>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FIserv, Inc.</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255 FIserv Drive</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Brookfield, WI 53045</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FIserv, Inc.</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35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6"/>
              </w:rPr>
              <w:t>Registration Statement on Form S-3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608"/>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Dear Sirs:</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1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I have</w:t>
            </w:r>
          </w:p>
        </w:tc>
        <w:tc>
          <w:tcPr>
            <w:tcW w:w="840" w:type="dxa"/>
            <w:vAlign w:val="bottom"/>
            <w:gridSpan w:val="2"/>
          </w:tcPr>
          <w:p>
            <w:pPr>
              <w:spacing w:after="0"/>
              <w:rPr>
                <w:sz w:val="20"/>
                <w:szCs w:val="20"/>
                <w:color w:val="auto"/>
              </w:rPr>
            </w:pPr>
            <w:r>
              <w:rPr>
                <w:rFonts w:ascii="Courier New" w:cs="Courier New" w:eastAsia="Courier New" w:hAnsi="Courier New"/>
                <w:sz w:val="18"/>
                <w:szCs w:val="18"/>
                <w:color w:val="auto"/>
                <w:w w:val="94"/>
              </w:rPr>
              <w:t>acted as</w:t>
            </w:r>
          </w:p>
        </w:tc>
        <w:tc>
          <w:tcPr>
            <w:tcW w:w="2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8"/>
                <w:szCs w:val="18"/>
                <w:color w:val="auto"/>
              </w:rPr>
              <w:t>counsel to</w:t>
            </w:r>
          </w:p>
        </w:tc>
        <w:tc>
          <w:tcPr>
            <w:tcW w:w="1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rPr>
              <w:t>FIserv,</w:t>
            </w:r>
          </w:p>
        </w:tc>
        <w:tc>
          <w:tcPr>
            <w:tcW w:w="960" w:type="dxa"/>
            <w:vAlign w:val="bottom"/>
            <w:gridSpan w:val="3"/>
          </w:tcPr>
          <w:p>
            <w:pPr>
              <w:spacing w:after="0"/>
              <w:rPr>
                <w:sz w:val="20"/>
                <w:szCs w:val="20"/>
                <w:color w:val="auto"/>
              </w:rPr>
            </w:pPr>
            <w:r>
              <w:rPr>
                <w:rFonts w:ascii="Courier New" w:cs="Courier New" w:eastAsia="Courier New" w:hAnsi="Courier New"/>
                <w:sz w:val="18"/>
                <w:szCs w:val="18"/>
                <w:color w:val="auto"/>
              </w:rPr>
              <w:t>Inc., a</w:t>
            </w:r>
          </w:p>
        </w:tc>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rPr>
              <w:t>Wisconsin</w:t>
            </w:r>
          </w:p>
        </w:tc>
        <w:tc>
          <w:tcPr>
            <w:tcW w:w="13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corporation</w:t>
            </w: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("FIserv"), in</w:t>
            </w:r>
          </w:p>
        </w:tc>
        <w:tc>
          <w:tcPr>
            <w:tcW w:w="18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connection with</w:t>
            </w:r>
          </w:p>
        </w:tc>
        <w:tc>
          <w:tcPr>
            <w:tcW w:w="1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its Registration</w:t>
            </w:r>
          </w:p>
        </w:tc>
        <w:tc>
          <w:tcPr>
            <w:tcW w:w="14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Statement</w:t>
            </w: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on Form</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S-3</w:t>
            </w:r>
          </w:p>
        </w:tc>
      </w:tr>
      <w:tr>
        <w:trPr>
          <w:trHeight w:val="203"/>
        </w:trPr>
        <w:tc>
          <w:tcPr>
            <w:tcW w:w="6220" w:type="dxa"/>
            <w:vAlign w:val="bottom"/>
            <w:gridSpan w:val="14"/>
          </w:tcPr>
          <w:p>
            <w:pPr>
              <w:spacing w:after="0" w:line="203" w:lineRule="exact"/>
              <w:rPr>
                <w:sz w:val="20"/>
                <w:szCs w:val="20"/>
                <w:color w:val="auto"/>
              </w:rPr>
            </w:pPr>
            <w:r>
              <w:rPr>
                <w:rFonts w:ascii="Courier New" w:cs="Courier New" w:eastAsia="Courier New" w:hAnsi="Courier New"/>
                <w:sz w:val="18"/>
                <w:szCs w:val="18"/>
                <w:color w:val="auto"/>
                <w:w w:val="98"/>
              </w:rPr>
              <w:t>(the "Registration Statement"), filed under the Securities</w:t>
            </w:r>
          </w:p>
        </w:tc>
        <w:tc>
          <w:tcPr>
            <w:tcW w:w="1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Act of 1933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2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"Act"), relating to the</w:t>
            </w:r>
          </w:p>
        </w:tc>
        <w:tc>
          <w:tcPr>
            <w:tcW w:w="11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proposed</w:t>
            </w:r>
          </w:p>
        </w:tc>
        <w:tc>
          <w:tcPr>
            <w:tcW w:w="120" w:type="dxa"/>
            <w:vAlign w:val="bottom"/>
          </w:tcPr>
          <w:p>
            <w:pPr>
              <w:spacing w:after="0"/>
              <w:rPr>
                <w:sz w:val="17"/>
                <w:szCs w:val="17"/>
                <w:color w:val="auto"/>
              </w:rPr>
            </w:pP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resales of</w:t>
            </w:r>
          </w:p>
        </w:tc>
        <w:tc>
          <w:tcPr>
            <w:tcW w:w="22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up</w:t>
            </w:r>
          </w:p>
        </w:tc>
        <w:tc>
          <w:tcPr>
            <w:tcW w:w="20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to 70,096  shares</w:t>
            </w:r>
          </w:p>
        </w:tc>
        <w:tc>
          <w:tcPr>
            <w:tcW w:w="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c>
          <w:tcPr>
            <w:tcW w:w="8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Stock,</w:t>
            </w:r>
          </w:p>
        </w:tc>
        <w:tc>
          <w:tcPr>
            <w:tcW w:w="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$.01</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par</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value</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(the</w:t>
            </w:r>
          </w:p>
        </w:tc>
        <w:tc>
          <w:tcPr>
            <w:tcW w:w="1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by</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certain</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Selling</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Shareholders.</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4320" w:type="dxa"/>
            <w:vAlign w:val="bottom"/>
            <w:gridSpan w:val="9"/>
          </w:tcPr>
          <w:p>
            <w:pPr>
              <w:ind w:left="540"/>
              <w:spacing w:after="0"/>
              <w:rPr>
                <w:sz w:val="20"/>
                <w:szCs w:val="20"/>
                <w:color w:val="auto"/>
              </w:rPr>
            </w:pPr>
            <w:r>
              <w:rPr>
                <w:rFonts w:ascii="Courier New" w:cs="Courier New" w:eastAsia="Courier New" w:hAnsi="Courier New"/>
                <w:sz w:val="18"/>
                <w:szCs w:val="18"/>
                <w:color w:val="auto"/>
                <w:w w:val="99"/>
              </w:rPr>
              <w:t>In that connection, I have examined</w:t>
            </w:r>
          </w:p>
        </w:tc>
        <w:tc>
          <w:tcPr>
            <w:tcW w:w="3380" w:type="dxa"/>
            <w:vAlign w:val="bottom"/>
            <w:gridSpan w:val="8"/>
          </w:tcPr>
          <w:p>
            <w:pPr>
              <w:jc w:val="right"/>
              <w:ind w:right="12"/>
              <w:spacing w:after="0"/>
              <w:rPr>
                <w:sz w:val="20"/>
                <w:szCs w:val="20"/>
                <w:color w:val="auto"/>
              </w:rPr>
            </w:pPr>
            <w:r>
              <w:rPr>
                <w:rFonts w:ascii="Courier New" w:cs="Courier New" w:eastAsia="Courier New" w:hAnsi="Courier New"/>
                <w:sz w:val="18"/>
                <w:szCs w:val="18"/>
                <w:color w:val="auto"/>
              </w:rPr>
              <w:t>originals, or copies certified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or</w:t>
            </w:r>
          </w:p>
        </w:tc>
      </w:tr>
      <w:tr>
        <w:trPr>
          <w:trHeight w:val="203"/>
        </w:trPr>
        <w:tc>
          <w:tcPr>
            <w:tcW w:w="2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otherwise identified</w:t>
            </w:r>
          </w:p>
        </w:tc>
        <w:tc>
          <w:tcPr>
            <w:tcW w:w="2520" w:type="dxa"/>
            <w:vAlign w:val="bottom"/>
            <w:gridSpan w:val="6"/>
          </w:tcPr>
          <w:p>
            <w:pPr>
              <w:jc w:val="right"/>
              <w:ind w:right="112"/>
              <w:spacing w:after="0" w:line="203" w:lineRule="exact"/>
              <w:rPr>
                <w:sz w:val="20"/>
                <w:szCs w:val="20"/>
                <w:color w:val="auto"/>
              </w:rPr>
            </w:pPr>
            <w:r>
              <w:rPr>
                <w:rFonts w:ascii="Courier New" w:cs="Courier New" w:eastAsia="Courier New" w:hAnsi="Courier New"/>
                <w:sz w:val="18"/>
                <w:szCs w:val="18"/>
                <w:color w:val="auto"/>
              </w:rPr>
              <w:t>to   our satisfaction</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of</w:t>
            </w: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such</w:t>
            </w:r>
          </w:p>
        </w:tc>
        <w:tc>
          <w:tcPr>
            <w:tcW w:w="24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documents,  corporate</w:t>
            </w:r>
          </w:p>
        </w:tc>
      </w:tr>
      <w:tr>
        <w:trPr>
          <w:trHeight w:val="203"/>
        </w:trPr>
        <w:tc>
          <w:tcPr>
            <w:tcW w:w="35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6"/>
              </w:rPr>
              <w:t>records and other instruments as I</w:t>
            </w:r>
          </w:p>
        </w:tc>
        <w:tc>
          <w:tcPr>
            <w:tcW w:w="120" w:type="dxa"/>
            <w:vAlign w:val="bottom"/>
          </w:tcPr>
          <w:p>
            <w:pPr>
              <w:spacing w:after="0"/>
              <w:rPr>
                <w:sz w:val="17"/>
                <w:szCs w:val="17"/>
                <w:color w:val="auto"/>
              </w:rPr>
            </w:pP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have</w:t>
            </w:r>
          </w:p>
        </w:tc>
        <w:tc>
          <w:tcPr>
            <w:tcW w:w="3380" w:type="dxa"/>
            <w:vAlign w:val="bottom"/>
            <w:gridSpan w:val="8"/>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deemed necessary or appropriate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purposes</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of</w:t>
            </w:r>
          </w:p>
        </w:tc>
        <w:tc>
          <w:tcPr>
            <w:tcW w:w="17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this opinion,</w:t>
            </w:r>
          </w:p>
        </w:tc>
        <w:tc>
          <w:tcPr>
            <w:tcW w:w="1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including</w:t>
            </w:r>
          </w:p>
        </w:tc>
        <w:tc>
          <w:tcPr>
            <w:tcW w:w="13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the Articles</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Incorporation,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amended, and</w:t>
            </w:r>
          </w:p>
        </w:tc>
        <w:tc>
          <w:tcPr>
            <w:tcW w:w="33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9"/>
              </w:rPr>
              <w:t>By-Laws, as amended, of FIserv.</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3700" w:type="dxa"/>
            <w:vAlign w:val="bottom"/>
            <w:gridSpan w:val="8"/>
          </w:tcPr>
          <w:p>
            <w:pPr>
              <w:ind w:left="540"/>
              <w:spacing w:after="0"/>
              <w:rPr>
                <w:sz w:val="20"/>
                <w:szCs w:val="20"/>
                <w:color w:val="auto"/>
              </w:rPr>
            </w:pPr>
            <w:r>
              <w:rPr>
                <w:rFonts w:ascii="Courier New" w:cs="Courier New" w:eastAsia="Courier New" w:hAnsi="Courier New"/>
                <w:sz w:val="18"/>
                <w:szCs w:val="18"/>
                <w:color w:val="auto"/>
                <w:w w:val="96"/>
              </w:rPr>
              <w:t>Based upon the foregoing, I am</w:t>
            </w:r>
          </w:p>
        </w:tc>
        <w:tc>
          <w:tcPr>
            <w:tcW w:w="2520" w:type="dxa"/>
            <w:vAlign w:val="bottom"/>
            <w:gridSpan w:val="6"/>
          </w:tcPr>
          <w:p>
            <w:pPr>
              <w:ind w:left="100"/>
              <w:spacing w:after="0"/>
              <w:rPr>
                <w:sz w:val="20"/>
                <w:szCs w:val="20"/>
                <w:color w:val="auto"/>
              </w:rPr>
            </w:pPr>
            <w:r>
              <w:rPr>
                <w:rFonts w:ascii="Courier New" w:cs="Courier New" w:eastAsia="Courier New" w:hAnsi="Courier New"/>
                <w:sz w:val="18"/>
                <w:szCs w:val="18"/>
                <w:color w:val="auto"/>
              </w:rPr>
              <w:t>of the opinion that:</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3580" w:type="dxa"/>
            <w:vAlign w:val="bottom"/>
            <w:gridSpan w:val="7"/>
          </w:tcPr>
          <w:p>
            <w:pPr>
              <w:ind w:left="540"/>
              <w:spacing w:after="0"/>
              <w:rPr>
                <w:sz w:val="20"/>
                <w:szCs w:val="20"/>
                <w:color w:val="auto"/>
              </w:rPr>
            </w:pPr>
            <w:r>
              <w:rPr>
                <w:rFonts w:ascii="Courier New" w:cs="Courier New" w:eastAsia="Courier New" w:hAnsi="Courier New"/>
                <w:sz w:val="18"/>
                <w:szCs w:val="18"/>
                <w:color w:val="auto"/>
                <w:w w:val="96"/>
              </w:rPr>
              <w:t>1.  The Company has been duly</w:t>
            </w:r>
          </w:p>
        </w:tc>
        <w:tc>
          <w:tcPr>
            <w:tcW w:w="1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organized</w:t>
            </w:r>
          </w:p>
        </w:tc>
        <w:tc>
          <w:tcPr>
            <w:tcW w:w="220" w:type="dxa"/>
            <w:vAlign w:val="bottom"/>
          </w:tcPr>
          <w:p>
            <w:pPr>
              <w:spacing w:after="0"/>
              <w:rPr>
                <w:sz w:val="24"/>
                <w:szCs w:val="24"/>
                <w:color w:val="auto"/>
              </w:rPr>
            </w:pPr>
          </w:p>
        </w:tc>
        <w:tc>
          <w:tcPr>
            <w:tcW w:w="274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6"/>
              </w:rPr>
              <w:t>and is validly existing as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r>
      <w:tr>
        <w:trPr>
          <w:trHeight w:val="203"/>
        </w:trPr>
        <w:tc>
          <w:tcPr>
            <w:tcW w:w="5700" w:type="dxa"/>
            <w:vAlign w:val="bottom"/>
            <w:gridSpan w:val="13"/>
          </w:tcPr>
          <w:p>
            <w:pPr>
              <w:spacing w:after="0" w:line="203" w:lineRule="exact"/>
              <w:rPr>
                <w:sz w:val="20"/>
                <w:szCs w:val="20"/>
                <w:color w:val="auto"/>
              </w:rPr>
            </w:pPr>
            <w:r>
              <w:rPr>
                <w:rFonts w:ascii="Courier New" w:cs="Courier New" w:eastAsia="Courier New" w:hAnsi="Courier New"/>
                <w:sz w:val="18"/>
                <w:szCs w:val="18"/>
                <w:color w:val="auto"/>
                <w:w w:val="99"/>
              </w:rPr>
              <w:t>corporation under the laws of the State of Wisconsin.</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2.</w:t>
            </w:r>
          </w:p>
        </w:tc>
        <w:tc>
          <w:tcPr>
            <w:tcW w:w="13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The Shares</w:t>
            </w:r>
          </w:p>
        </w:tc>
        <w:tc>
          <w:tcPr>
            <w:tcW w:w="2740" w:type="dxa"/>
            <w:vAlign w:val="bottom"/>
            <w:gridSpan w:val="7"/>
          </w:tcPr>
          <w:p>
            <w:pPr>
              <w:jc w:val="right"/>
              <w:ind w:right="12"/>
              <w:spacing w:after="0"/>
              <w:rPr>
                <w:sz w:val="20"/>
                <w:szCs w:val="20"/>
                <w:color w:val="auto"/>
              </w:rPr>
            </w:pPr>
            <w:r>
              <w:rPr>
                <w:rFonts w:ascii="Courier New" w:cs="Courier New" w:eastAsia="Courier New" w:hAnsi="Courier New"/>
                <w:sz w:val="18"/>
                <w:szCs w:val="18"/>
                <w:color w:val="auto"/>
                <w:w w:val="97"/>
              </w:rPr>
              <w:t>have been duly authorized</w:t>
            </w:r>
          </w:p>
        </w:tc>
        <w:tc>
          <w:tcPr>
            <w:tcW w:w="2740" w:type="dxa"/>
            <w:vAlign w:val="bottom"/>
            <w:gridSpan w:val="6"/>
          </w:tcPr>
          <w:p>
            <w:pPr>
              <w:jc w:val="right"/>
              <w:ind w:right="132"/>
              <w:spacing w:after="0"/>
              <w:rPr>
                <w:sz w:val="20"/>
                <w:szCs w:val="20"/>
                <w:color w:val="auto"/>
              </w:rPr>
            </w:pPr>
            <w:r>
              <w:rPr>
                <w:rFonts w:ascii="Courier New" w:cs="Courier New" w:eastAsia="Courier New" w:hAnsi="Courier New"/>
                <w:sz w:val="18"/>
                <w:szCs w:val="18"/>
                <w:color w:val="auto"/>
              </w:rPr>
              <w:t>and are validly issued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r>
      <w:tr>
        <w:trPr>
          <w:trHeight w:val="203"/>
        </w:trPr>
        <w:tc>
          <w:tcPr>
            <w:tcW w:w="31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fully paid and nonassessable.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220" w:type="dxa"/>
            <w:vAlign w:val="bottom"/>
            <w:gridSpan w:val="4"/>
          </w:tcPr>
          <w:p>
            <w:pPr>
              <w:ind w:left="540"/>
              <w:spacing w:after="0"/>
              <w:rPr>
                <w:sz w:val="20"/>
                <w:szCs w:val="20"/>
                <w:color w:val="auto"/>
              </w:rPr>
            </w:pPr>
            <w:r>
              <w:rPr>
                <w:rFonts w:ascii="Courier New" w:cs="Courier New" w:eastAsia="Courier New" w:hAnsi="Courier New"/>
                <w:sz w:val="18"/>
                <w:szCs w:val="18"/>
                <w:color w:val="auto"/>
                <w:w w:val="96"/>
              </w:rPr>
              <w:t>I hereby consent</w:t>
            </w:r>
          </w:p>
        </w:tc>
        <w:tc>
          <w:tcPr>
            <w:tcW w:w="2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Courier New" w:cs="Courier New" w:eastAsia="Courier New" w:hAnsi="Courier New"/>
                <w:sz w:val="18"/>
                <w:szCs w:val="18"/>
                <w:color w:val="auto"/>
              </w:rPr>
              <w:t>to the</w:t>
            </w:r>
          </w:p>
        </w:tc>
        <w:tc>
          <w:tcPr>
            <w:tcW w:w="2580" w:type="dxa"/>
            <w:vAlign w:val="bottom"/>
            <w:gridSpan w:val="7"/>
          </w:tcPr>
          <w:p>
            <w:pPr>
              <w:jc w:val="right"/>
              <w:ind w:right="232"/>
              <w:spacing w:after="0"/>
              <w:rPr>
                <w:sz w:val="20"/>
                <w:szCs w:val="20"/>
                <w:color w:val="auto"/>
              </w:rPr>
            </w:pPr>
            <w:r>
              <w:rPr>
                <w:rFonts w:ascii="Courier New" w:cs="Courier New" w:eastAsia="Courier New" w:hAnsi="Courier New"/>
                <w:sz w:val="18"/>
                <w:szCs w:val="18"/>
                <w:color w:val="auto"/>
              </w:rPr>
              <w:t>use of  this opinion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as an</w:t>
            </w:r>
          </w:p>
        </w:tc>
        <w:tc>
          <w:tcPr>
            <w:tcW w:w="148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exhibit to</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r>
      <w:tr>
        <w:trPr>
          <w:trHeight w:val="203"/>
        </w:trPr>
        <w:tc>
          <w:tcPr>
            <w:tcW w:w="474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Registration Statement and to the reference</w:t>
            </w:r>
          </w:p>
        </w:tc>
        <w:tc>
          <w:tcPr>
            <w:tcW w:w="29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to me under "Legal Matters"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37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the Prospectus comprising a part of</w:t>
            </w:r>
          </w:p>
        </w:tc>
        <w:tc>
          <w:tcPr>
            <w:tcW w:w="3040" w:type="dxa"/>
            <w:vAlign w:val="bottom"/>
            <w:gridSpan w:val="7"/>
          </w:tcPr>
          <w:p>
            <w:pPr>
              <w:ind w:left="200"/>
              <w:spacing w:after="0" w:line="203" w:lineRule="exact"/>
              <w:rPr>
                <w:sz w:val="20"/>
                <w:szCs w:val="20"/>
                <w:color w:val="auto"/>
              </w:rPr>
            </w:pPr>
            <w:r>
              <w:rPr>
                <w:rFonts w:ascii="Courier New" w:cs="Courier New" w:eastAsia="Courier New" w:hAnsi="Courier New"/>
                <w:sz w:val="18"/>
                <w:szCs w:val="18"/>
                <w:color w:val="auto"/>
                <w:w w:val="96"/>
              </w:rPr>
              <w:t>the Registration Statement.</w:t>
            </w: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giving</w:t>
            </w:r>
          </w:p>
        </w:tc>
      </w:tr>
      <w:tr>
        <w:trPr>
          <w:trHeight w:val="203"/>
        </w:trPr>
        <w:tc>
          <w:tcPr>
            <w:tcW w:w="2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the foregoing consent,</w:t>
            </w:r>
          </w:p>
        </w:tc>
        <w:tc>
          <w:tcPr>
            <w:tcW w:w="11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 do not</w:t>
            </w:r>
          </w:p>
        </w:tc>
        <w:tc>
          <w:tcPr>
            <w:tcW w:w="13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admit that I</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come within</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category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w:t>
            </w:r>
          </w:p>
        </w:tc>
        <w:tc>
          <w:tcPr>
            <w:tcW w:w="154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whose consent</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is required</w:t>
            </w:r>
          </w:p>
        </w:tc>
        <w:tc>
          <w:tcPr>
            <w:tcW w:w="3040" w:type="dxa"/>
            <w:vAlign w:val="bottom"/>
            <w:gridSpan w:val="7"/>
          </w:tcPr>
          <w:p>
            <w:pPr>
              <w:ind w:left="200"/>
              <w:spacing w:after="0" w:line="203" w:lineRule="exact"/>
              <w:rPr>
                <w:sz w:val="20"/>
                <w:szCs w:val="20"/>
                <w:color w:val="auto"/>
              </w:rPr>
            </w:pPr>
            <w:r>
              <w:rPr>
                <w:rFonts w:ascii="Courier New" w:cs="Courier New" w:eastAsia="Courier New" w:hAnsi="Courier New"/>
                <w:sz w:val="18"/>
                <w:szCs w:val="18"/>
                <w:color w:val="auto"/>
                <w:w w:val="96"/>
              </w:rPr>
              <w:t>under Section 7 of the Act.</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W. SPRAGUE</w:t>
      </w:r>
    </w:p>
    <w:p>
      <w:pPr>
        <w:spacing w:after="0" w:line="238" w:lineRule="auto"/>
        <w:rPr>
          <w:sz w:val="20"/>
          <w:szCs w:val="20"/>
          <w:color w:val="auto"/>
        </w:rPr>
      </w:pPr>
      <w:r>
        <w:rPr>
          <w:rFonts w:ascii="Courier New" w:cs="Courier New" w:eastAsia="Courier New" w:hAnsi="Courier New"/>
          <w:sz w:val="18"/>
          <w:szCs w:val="18"/>
          <w:color w:val="auto"/>
        </w:rPr>
        <w:t>Charles W. Sprague</w:t>
      </w:r>
    </w:p>
    <w:p>
      <w:pPr>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rPr>
          <w:sz w:val="20"/>
          <w:szCs w:val="20"/>
          <w:color w:val="auto"/>
        </w:rPr>
      </w:pPr>
      <w:r>
        <w:rPr>
          <w:rFonts w:ascii="Courier New" w:cs="Courier New" w:eastAsia="Courier New" w:hAnsi="Courier New"/>
          <w:sz w:val="18"/>
          <w:szCs w:val="18"/>
          <w:color w:val="auto"/>
        </w:rPr>
        <w:t>General Counsel and Secretary</w:t>
      </w:r>
    </w:p>
    <w:p>
      <w:pPr>
        <w:sectPr>
          <w:pgSz w:w="11900" w:h="16838" w:orient="portrait"/>
          <w:cols w:equalWidth="0" w:num="1">
            <w:col w:w="10219"/>
          </w:cols>
          <w:pgMar w:left="240" w:top="13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Amendment No. 1 to Registration Statement No. 333-00913 of FIserv, Inc. on Form S-3 of our report dated February 2, 1996, incorporated by reference in the Annual Report on Form 10-K of FIserv, Inc. for the year ended December 31, 1995. We also consent to the reference to us under the heading "Experts" in the Prospectus which is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Milwaukee, Wisconsin</w:t>
      </w:r>
    </w:p>
    <w:p>
      <w:pPr>
        <w:sectPr>
          <w:pgSz w:w="11900" w:h="16838" w:orient="portrait"/>
          <w:cols w:equalWidth="0" w:num="1">
            <w:col w:w="10219"/>
          </w:cols>
          <w:pgMar w:left="240" w:top="13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83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Kenneth R. Jensen as his true and lawful attorney-in-fact and agent, with full power of substitution, for him and in his name, place and stead, in any and all capacities, to sign the Registration Statement on Form S-3 covering Common Stock of FIserv, Inc., any or all amendments or post-effective amendments to such Registration Statement, and to file the same, with all exhibits thereto, and other documents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388" w:lineRule="exact"/>
        <w:rPr>
          <w:sz w:val="20"/>
          <w:szCs w:val="20"/>
          <w:color w:val="auto"/>
        </w:rPr>
      </w:pPr>
    </w:p>
    <w:p>
      <w:pPr>
        <w:jc w:val="both"/>
        <w:ind w:right="283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as of the day 12th of February,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ROLAND D. SULLIVAN</w:t>
      </w:r>
    </w:p>
    <w:p>
      <w:pPr>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rPr>
          <w:sz w:val="20"/>
          <w:szCs w:val="20"/>
          <w:color w:val="auto"/>
        </w:rPr>
      </w:pPr>
      <w:r>
        <w:rPr>
          <w:rFonts w:ascii="Courier New" w:cs="Courier New" w:eastAsia="Courier New" w:hAnsi="Courier New"/>
          <w:sz w:val="18"/>
          <w:szCs w:val="18"/>
          <w:color w:val="auto"/>
        </w:rPr>
        <w:t>Roland D. Sullivan</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83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Kenneth R. Jensen as his true and lawful attorney-in-fact and agent, with full power of substitution, for him and in his name, place and stead, in any and all capacities, to sign the Registration Statement on Form S-3 covering Common Stock of FIserv, Inc., any or all amendments or post-effective amendments to such Registration Statement, and to file the same, with all exhibits thereto, and other documents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388" w:lineRule="exact"/>
        <w:rPr>
          <w:sz w:val="20"/>
          <w:szCs w:val="20"/>
          <w:color w:val="auto"/>
        </w:rPr>
      </w:pPr>
    </w:p>
    <w:p>
      <w:pPr>
        <w:jc w:val="both"/>
        <w:ind w:right="283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as of the day 12th of February,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 WILLIAM SEIDMAN</w:t>
      </w:r>
    </w:p>
    <w:p>
      <w:pPr>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rPr>
          <w:sz w:val="20"/>
          <w:szCs w:val="20"/>
          <w:color w:val="auto"/>
        </w:rPr>
      </w:pPr>
      <w:r>
        <w:rPr>
          <w:rFonts w:ascii="Courier New" w:cs="Courier New" w:eastAsia="Courier New" w:hAnsi="Courier New"/>
          <w:sz w:val="18"/>
          <w:szCs w:val="18"/>
          <w:color w:val="auto"/>
        </w:rPr>
        <w:t>L. William Seidman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upperLetter"/>
      <w:start w:val="35"/>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2019-12-12T06:52:48Z</dcterms:created>
  <dcterms:modified xsi:type="dcterms:W3CDTF">2019-12-12T06:52:48Z</dcterms:modified>
</cp:coreProperties>
</file>