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663575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577850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201930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229870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October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217170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347980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ectPr>
          <w:pgSz w:w="11900" w:h="16838" w:orient="portrait"/>
          <w:cols w:equalWidth="0" w:num="1">
            <w:col w:w="11300"/>
          </w:cols>
          <w:pgMar w:left="240" w:top="109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26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82" w:lineRule="exact"/>
        <w:rPr>
          <w:sz w:val="24"/>
          <w:szCs w:val="24"/>
          <w:color w:val="auto"/>
        </w:rPr>
      </w:pPr>
    </w:p>
    <w:p>
      <w:pPr>
        <w:sectPr>
          <w:pgSz w:w="11900" w:h="16838" w:orient="portrait"/>
          <w:cols w:equalWidth="0" w:num="3">
            <w:col w:w="4560" w:space="720"/>
            <w:col w:w="2980" w:space="720"/>
            <w:col w:w="2320"/>
          </w:cols>
          <w:pgMar w:left="240" w:top="1098" w:right="359" w:bottom="1440" w:gutter="0" w:footer="0" w:header="0"/>
          <w:type w:val="continuous"/>
        </w:sectPr>
      </w:pPr>
    </w:p>
    <w:p>
      <w:pPr>
        <w:jc w:val="center"/>
        <w:ind w:right="11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3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40" w:space="720"/>
            <w:col w:w="2980" w:space="720"/>
            <w:col w:w="2440"/>
          </w:cols>
          <w:pgMar w:left="240" w:top="1098" w:right="359" w:bottom="1440" w:gutter="0" w:footer="0" w:header="0"/>
          <w:type w:val="continuous"/>
        </w:sectPr>
      </w:pP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210820</wp:posOffset>
            </wp:positionV>
            <wp:extent cx="2358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ectPr>
          <w:pgSz w:w="11900" w:h="16838" w:orient="portrait"/>
          <w:cols w:equalWidth="0" w:num="1">
            <w:col w:w="11300"/>
          </w:cols>
          <w:pgMar w:left="240" w:top="1098" w:right="359" w:bottom="1440" w:gutter="0" w:footer="0" w:header="0"/>
          <w:type w:val="continuous"/>
        </w:sectPr>
      </w:pPr>
    </w:p>
    <w:p>
      <w:pPr>
        <w:spacing w:after="0" w:line="200" w:lineRule="exact"/>
        <w:rPr>
          <w:sz w:val="24"/>
          <w:szCs w:val="24"/>
          <w:color w:val="auto"/>
        </w:rPr>
      </w:pP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109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39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1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39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Common Stock, par value $0.01 per share</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FISV</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0.375% Senior Notes due 2023</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FISV23</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1.125% Senior Notes due 2027</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FISV27</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1.625% Senior Notes due 2030</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FISV30</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2.250% Senior Notes due 2025</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FISV25</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1100" w:type="dxa"/>
            <w:vAlign w:val="bottom"/>
          </w:tcPr>
          <w:p>
            <w:pPr>
              <w:spacing w:after="0"/>
              <w:rPr>
                <w:sz w:val="23"/>
                <w:szCs w:val="23"/>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3.000% Senior Notes due 2031</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FISV31</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210820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125095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 w:name="page3"/>
    <w:bookmarkEnd w:id="2"/>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Data Acquisition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July 29, 2019, Fiserv, Inc. (the "Company") completed the acquisition of First Data Corporation ("First Data"). First Data's results of operations and financial position will be included in the consolidated results of the Company from and after the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Financial Information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is providing additional information regarding its operating performance in light of the significance of the acquisition. The purpose of the schedules included in Exhibit 99.1 is to recalculate certain non-GAAP measures of the Company's historical financial performance on a combined company basis for the first and second quarters in 2019, each of the quarters in 2018 and for the full year 2018. The schedules have been prepared by making certain adjustments to the sum of the Company's and First Data's historical financial information. The adjustments are discussed in the notes to the schedules.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998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260" w:type="dxa"/>
            <w:vAlign w:val="bottom"/>
            <w:gridSpan w:val="4"/>
          </w:tcPr>
          <w:p>
            <w:pPr>
              <w:ind w:left="18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2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24"/>
                <w:szCs w:val="24"/>
                <w:color w:val="auto"/>
              </w:rPr>
            </w:pPr>
          </w:p>
        </w:tc>
        <w:tc>
          <w:tcPr>
            <w:tcW w:w="9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tcPr>
          <w:p>
            <w:pPr>
              <w:spacing w:after="0"/>
              <w:rPr>
                <w:sz w:val="24"/>
                <w:szCs w:val="24"/>
                <w:color w:val="auto"/>
              </w:rPr>
            </w:pP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Combined company supplemental financial information (furnished pursuant to Item 2.02 of this Current Report on Form 8-K)</w:t>
              </w:r>
            </w:hyperlink>
          </w:p>
        </w:tc>
        <w:tc>
          <w:tcPr>
            <w:tcW w:w="0" w:type="dxa"/>
            <w:vAlign w:val="bottom"/>
          </w:tcPr>
          <w:p>
            <w:pPr>
              <w:spacing w:after="0"/>
              <w:rPr>
                <w:sz w:val="1"/>
                <w:szCs w:val="1"/>
                <w:color w:val="auto"/>
              </w:rPr>
            </w:pPr>
          </w:p>
        </w:tc>
      </w:tr>
      <w:tr>
        <w:trPr>
          <w:trHeight w:val="291"/>
        </w:trPr>
        <w:tc>
          <w:tcPr>
            <w:tcW w:w="1140" w:type="dxa"/>
            <w:vAlign w:val="bottom"/>
            <w:gridSpan w:val="3"/>
          </w:tcPr>
          <w:p>
            <w:pPr>
              <w:jc w:val="right"/>
              <w:ind w:right="48"/>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80"/>
          </w:cols>
          <w:pgMar w:left="240" w:top="742" w:right="3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FISERV, INC.</w:t>
      </w:r>
    </w:p>
    <w:p>
      <w:pPr>
        <w:spacing w:after="0" w:line="387" w:lineRule="exact"/>
        <w:rPr>
          <w:sz w:val="20"/>
          <w:szCs w:val="20"/>
          <w:color w:val="auto"/>
        </w:rPr>
      </w:pPr>
    </w:p>
    <w:p>
      <w:pPr>
        <w:ind w:left="40"/>
        <w:spacing w:after="0"/>
        <w:tabs>
          <w:tab w:leader="none" w:pos="820" w:val="left"/>
          <w:tab w:leader="none" w:pos="584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240" w:top="580" w:right="439" w:bottom="1440" w:gutter="0" w:footer="0" w:header="0"/>
        </w:sectPr>
      </w:pPr>
    </w:p>
    <w:bookmarkStart w:id="4" w:name="page5"/>
    <w:bookmarkEnd w:id="4"/>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First Data Corporation</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On July 29, 2019, Fiserv, Inc. ("Fiserv" or the "Company") completed the acquisition of First Data Corporation ("First Data") in an all-stock transaction. First Data's results of operations and financial position will be included in the consolidated results of the Company from and after the date of acquisition.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Due to the financial impact of the First Data acquisition, the Company is providing the combined adjusted financial information set forth in the attached schedules to enhance its shareholders' ability to evaluate the Company's historical operating performance on a combined basis with First Data. The purpose of the attached schedules is to recalculate certain non-GAAP financial performance measures on a combined company basis for the first and second quarters of 2019, each quarter of 2018 and for the full year 2018. The schedules have been prepared by making certain adjustments to the sum of historical First Data financial information determined in accordance with generally accepted accounting principles ("GAAP") and historical Fiserv financial information determined in accordance with GAAP. The adjustments are discussed in the notes to the schedules. The schedules include the historical reconciliation with combined company non-GAAP adjustments of each of Fiserv's and First Data's GAAP net income and earnings per share to adjusted net income and adjusted earnings per share, respectively, on a combined company basis; historical adjusted financial results by segment; historical internal revenue growth by segment; historical free cash flow on a combined company basis; and historical total GAAP amortization on a combined company basis.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combined adjusted financial information in the attached schedules is presented in accordance with the assumptions set forth below, includes various estimates, and is not necessarily indicative of the operating results of the combined companies had the transaction been completed at the assumed dates or of the combined companies in the future. The combined adjusted financial information does not reflect any cost savings or other synergies anticipated as a result of the acquisition. In addition, the combined adjusted financial information does not reflect the impact of any purchase accounting adjustments that may arise from the acquisition as those impacts would be excluded in the preparation of the combined adjusted financial information. The combined adjusted financial information is not pro forma information prepared in accordance with Article 11 of Regulation S-X of the Securities and Exchange Commission, and the preparation of information in accordance with Article 11 would result in a significantly different presentation.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Company is supplementing its and First Data's historical reporting of information determined in accordance with GAAP, such as revenue, operating income, operating margin, net income, earnings per share and net cash provided by operating activities, with "combined net income attributable to Fiserv," "combined adjusted net income," "combined earnings per share," "combined adjusted earnings per share," "combined revenue," "combined adjusted revenue," "combined operating income," "combined adjusted operating income," "combined adjusted operating margin," "combined internal revenue," "combined internal revenue growth," "combined net cash provided by operating activities," "combined free cash flow," and "combined free cash flow</w:t>
      </w:r>
    </w:p>
    <w:p>
      <w:pPr>
        <w:spacing w:after="0" w:line="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conversion." Management believes that providing combined historical financial information, making adjustments for certain non-cash or other items and excluding certain pass-through revenue and expenses with respect to such combined information should enhance shareholders' ability to evaluate the combined company's performance, including providing a reasonable basis of comparison with its results for post-acquisition periods and providing additional insights into the factors and trends affecting the combined company's business. Therefore, the Company is excluding these items from its and First Data's historical combined revenue, combined operating income, combined operating margin, combined net income, combined earnings per share and combined net cash provided by operating activities to calculate these non-GAAP measures. The corresponding reconciliations of these adjusted financial measures to the most comparable GAAP measures are included in the attached schedules.</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Examples of non-cash or other items may include, but are not limited to, non-cash deferred revenue adjustments arising from acquisitions, non-cash intangible asset amortization expense associated with acquisitions, non-cash impairment charges, severance and restructuring costs, charges associated with debt financing activities including early debt extinguishment and bridge financing costs, merger and integration costs, gains or losses from the sale of businesses, and certain discrete tax benefits and expenses. The Company excludes these items to more clearly focus 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3" w:right="25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t>the factors management believes are pertinent to the Company's operations, and management uses this information to make operating decisions, including the allocation of resources to the Company's various businesses.</w:t>
      </w:r>
    </w:p>
    <w:p>
      <w:pPr>
        <w:spacing w:after="0" w:line="170"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The Company adjusts its non-GAAP results to exclude amortization of all acquisition-related intangible assets as such amounts are inconsistent in amount and frequency and are significantly impacted by the timing and/or size of acquisitions.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5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Management believes internal revenue growth is useful because it presents combined adjusted revenue growth including deferred revenue purchase accounting adjustments and excluding the impact of foreign currency fluctuations, acquisitions, dispositions and the Company's Output Solutions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non-GAAP measures may not be comparable to similarly titled measures reported by other companies and should be considered in addition to, and not as a substitute for, revenue, operating income, operating margin, net income, earnings per share and net cash provided by operating activities or any other amount determined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Share-Based Compensation</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Historically, First Data added back share-based compensation to its adjusted net income and adjusted net income per share non-GAAP measures. Fiserv does not add back share-based compensation to its adjusted net income and adjusted earnings per share non-GAAP measures. The Company currently intends to continue to present adjusted net income and adjusted earnings per share consistent with its historical approach in the future. The schedules included in this Exhibit 99.1 conform to the historical Fiserv definition of adjusted net income and adjusted earnings per share and therefore do not add back First Data share-based compensation expense to the adjusted combined net income and adjusted combined earnings per share figures for all periods presented. The amount of First Data share-based compensation expense was approximately $248 million for the full year ended 2018 and $115 million for the first six months of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combined adjusted financial information in the attached schedules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the Company's future plans, objectives or goals are also forward-looking statements. The forward-looking statements in the schedules involve significant risks and uncertainties, and a number of factors, both foreseen and unforeseen, could cause actual results to differ materially from the Company's current expectations. The factors that may affect the Company's results include, among others: the possibility that the Company may be unable to achieve expected synergies and operating efficiencies from the acquisition of First Data within the expected time frames or at all or to successfully integrate the operations of First Data into the Company's operations; such integration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the retention of certain key employees following the transaction; unforeseen risks relating to the Company's liabilities or those of First Data may exist; the Company's ability to meet expectations regarding the accounting and tax treatments of the transaction; the anticipated financial impact of the termination of the Banc of America Merchant Services joint venture; changes in customer demand for the Company's products and services; pricing and other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6" w:name="page7"/>
    <w:bookmarkEnd w:id="6"/>
    <w:p>
      <w:pPr>
        <w:spacing w:after="0" w:line="287" w:lineRule="auto"/>
        <w:rPr>
          <w:sz w:val="20"/>
          <w:szCs w:val="20"/>
          <w:color w:val="auto"/>
        </w:rPr>
      </w:pPr>
      <w:r>
        <w:rPr>
          <w:rFonts w:ascii="Arial" w:cs="Arial" w:eastAsia="Arial" w:hAnsi="Arial"/>
          <w:sz w:val="16"/>
          <w:szCs w:val="16"/>
          <w:color w:val="auto"/>
        </w:rPr>
        <w:t>actions by competitors; general change in local, regional, national and international economic conditions and the impact they may have on the Company and its customers and the Company's assessment of that impact; rapid technological developments and changes, and the ability of the Company's technology to keep pace with a rapidly evolving marketplace; the impact of a security breach or operational failure on the Company's business; the effect of proposed and enacted legislative and regulatory actions in the United States and internationally affecting the financial services industry as a whole and/or the Company and its subsidiaries individually or collectively; regulatory supervision and oversight, and the Company's ability to comply with government regulations; the impact of the Company's strategic initiatives; the Company's ability to continue to introduce competitive new products and services on a timely, cost-effective basis; the ability to contain costs and expenses; the protection and validity of intellectual property rights; the outcome of pending and future litigation and governmental proceedings; acts of war and terrorism; and other factors identified in the Company's and First Data's Annual Reports on Form 10-K for the year ended December 31, 2018 and in other documents that the Company files with the SEC. You should consider these factors carefully in evaluating forward-looking statements and are cautioned not to place undue reliance on such statements. The Company undertakes no obligation to update forward-looking statements to reflect events or circumstances occurring after the date of this report.</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8" w:right="27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4"/>
          <w:szCs w:val="14"/>
          <w:b w:val="1"/>
          <w:bCs w:val="1"/>
          <w:color w:val="auto"/>
        </w:rPr>
        <w:t>Fiserv, Inc.</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Summary of Metrics</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(In millions,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GAAP Metrics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r>
      <w:tr>
        <w:trPr>
          <w:trHeight w:val="264"/>
        </w:trPr>
        <w:tc>
          <w:tcPr>
            <w:tcW w:w="3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First Quarter</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Second Quarter</w:t>
            </w:r>
          </w:p>
        </w:tc>
      </w:tr>
      <w:tr>
        <w:trPr>
          <w:trHeight w:val="379"/>
        </w:trPr>
        <w:tc>
          <w:tcPr>
            <w:tcW w:w="3420" w:type="dxa"/>
            <w:vAlign w:val="bottom"/>
          </w:tcPr>
          <w:p>
            <w:pPr>
              <w:spacing w:after="0"/>
              <w:rPr>
                <w:sz w:val="20"/>
                <w:szCs w:val="20"/>
                <w:color w:val="auto"/>
              </w:rPr>
            </w:pPr>
            <w:r>
              <w:rPr>
                <w:rFonts w:ascii="Arial" w:cs="Arial" w:eastAsia="Arial" w:hAnsi="Arial"/>
                <w:sz w:val="14"/>
                <w:szCs w:val="14"/>
                <w:color w:val="auto"/>
              </w:rPr>
              <w:t>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24"/>
                <w:szCs w:val="24"/>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5,823</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1,512</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384</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223</w:t>
            </w:r>
          </w:p>
        </w:tc>
      </w:tr>
      <w:tr>
        <w:trPr>
          <w:trHeight w:val="392"/>
        </w:trPr>
        <w:tc>
          <w:tcPr>
            <w:tcW w:w="3420" w:type="dxa"/>
            <w:vAlign w:val="bottom"/>
          </w:tcPr>
          <w:p>
            <w:pPr>
              <w:spacing w:after="0"/>
              <w:rPr>
                <w:sz w:val="20"/>
                <w:szCs w:val="20"/>
                <w:color w:val="auto"/>
              </w:rPr>
            </w:pPr>
            <w:r>
              <w:rPr>
                <w:rFonts w:ascii="Arial" w:cs="Arial" w:eastAsia="Arial" w:hAnsi="Arial"/>
                <w:sz w:val="14"/>
                <w:szCs w:val="14"/>
                <w:color w:val="auto"/>
              </w:rPr>
              <w:t>Operating margin</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Earnings per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0.56</w:t>
            </w:r>
          </w:p>
        </w:tc>
      </w:tr>
      <w:tr>
        <w:trPr>
          <w:trHeight w:val="392"/>
        </w:trPr>
        <w:tc>
          <w:tcPr>
            <w:tcW w:w="3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206</w:t>
            </w:r>
          </w:p>
        </w:tc>
      </w:tr>
      <w:tr>
        <w:trPr>
          <w:trHeight w:val="169"/>
        </w:trPr>
        <w:tc>
          <w:tcPr>
            <w:tcW w:w="3420" w:type="dxa"/>
            <w:vAlign w:val="bottom"/>
          </w:tcPr>
          <w:p>
            <w:pPr>
              <w:spacing w:after="0"/>
              <w:rPr>
                <w:sz w:val="20"/>
                <w:szCs w:val="20"/>
                <w:color w:val="auto"/>
              </w:rPr>
            </w:pPr>
            <w:r>
              <w:rPr>
                <w:rFonts w:ascii="Arial" w:cs="Arial" w:eastAsia="Arial" w:hAnsi="Arial"/>
                <w:sz w:val="14"/>
                <w:szCs w:val="14"/>
                <w:color w:val="auto"/>
              </w:rPr>
              <w:t>Ratio of net cash provided by operating activities to</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GAAP net income</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Non-GAAP Metrics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r>
      <w:tr>
        <w:trPr>
          <w:trHeight w:val="264"/>
        </w:trPr>
        <w:tc>
          <w:tcPr>
            <w:tcW w:w="34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First Quarter</w:t>
            </w:r>
          </w:p>
        </w:tc>
        <w:tc>
          <w:tcPr>
            <w:tcW w:w="100" w:type="dxa"/>
            <w:vAlign w:val="bottom"/>
          </w:tcPr>
          <w:p>
            <w:pPr>
              <w:spacing w:after="0"/>
              <w:rPr>
                <w:sz w:val="22"/>
                <w:szCs w:val="22"/>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Second Quarter</w:t>
            </w:r>
          </w:p>
        </w:tc>
        <w:tc>
          <w:tcPr>
            <w:tcW w:w="100" w:type="dxa"/>
            <w:vAlign w:val="bottom"/>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22"/>
                <w:szCs w:val="22"/>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Fourth Quarter</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First Quarter</w:t>
            </w:r>
          </w:p>
        </w:tc>
        <w:tc>
          <w:tcPr>
            <w:tcW w:w="100" w:type="dxa"/>
            <w:vAlign w:val="bottom"/>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Second Quarter</w:t>
            </w:r>
          </w:p>
        </w:tc>
      </w:tr>
      <w:tr>
        <w:trPr>
          <w:trHeight w:val="379"/>
        </w:trPr>
        <w:tc>
          <w:tcPr>
            <w:tcW w:w="3420" w:type="dxa"/>
            <w:vAlign w:val="bottom"/>
          </w:tcPr>
          <w:p>
            <w:pPr>
              <w:spacing w:after="0"/>
              <w:rPr>
                <w:sz w:val="20"/>
                <w:szCs w:val="20"/>
                <w:color w:val="auto"/>
              </w:rPr>
            </w:pPr>
            <w:r>
              <w:rPr>
                <w:rFonts w:ascii="Arial" w:cs="Arial" w:eastAsia="Arial" w:hAnsi="Arial"/>
                <w:sz w:val="14"/>
                <w:szCs w:val="14"/>
                <w:color w:val="auto"/>
              </w:rPr>
              <w:t>Combined adjusted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3,376</w:t>
            </w:r>
          </w:p>
        </w:tc>
        <w:tc>
          <w:tcPr>
            <w:tcW w:w="1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3,504</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3,436</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13,902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3,473</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3,643</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adjusted operating income</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3,993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1,084</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adjusted net income</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680</w:t>
            </w:r>
          </w:p>
        </w:tc>
      </w:tr>
      <w:tr>
        <w:trPr>
          <w:trHeight w:val="392"/>
        </w:trPr>
        <w:tc>
          <w:tcPr>
            <w:tcW w:w="3420" w:type="dxa"/>
            <w:vAlign w:val="bottom"/>
          </w:tcPr>
          <w:p>
            <w:pPr>
              <w:spacing w:after="0"/>
              <w:rPr>
                <w:sz w:val="20"/>
                <w:szCs w:val="20"/>
                <w:color w:val="auto"/>
              </w:rPr>
            </w:pPr>
            <w:r>
              <w:rPr>
                <w:rFonts w:ascii="Arial" w:cs="Arial" w:eastAsia="Arial" w:hAnsi="Arial"/>
                <w:sz w:val="14"/>
                <w:szCs w:val="14"/>
                <w:color w:val="auto"/>
              </w:rPr>
              <w:t>Combined adjusted operating margin</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adjusted earnings per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0.87</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0.87</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0.98</w:t>
            </w:r>
          </w:p>
        </w:tc>
      </w:tr>
      <w:tr>
        <w:trPr>
          <w:trHeight w:val="392"/>
        </w:trPr>
        <w:tc>
          <w:tcPr>
            <w:tcW w:w="3420" w:type="dxa"/>
            <w:vAlign w:val="bottom"/>
          </w:tcPr>
          <w:p>
            <w:pPr>
              <w:spacing w:after="0"/>
              <w:rPr>
                <w:sz w:val="20"/>
                <w:szCs w:val="20"/>
                <w:color w:val="auto"/>
              </w:rPr>
            </w:pPr>
            <w:r>
              <w:rPr>
                <w:rFonts w:ascii="Arial" w:cs="Arial" w:eastAsia="Arial" w:hAnsi="Arial"/>
                <w:sz w:val="14"/>
                <w:szCs w:val="14"/>
                <w:color w:val="auto"/>
              </w:rPr>
              <w:t>Combined free cash flow</w:t>
            </w:r>
          </w:p>
        </w:tc>
        <w:tc>
          <w:tcPr>
            <w:tcW w:w="10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728</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free cash flow conversion</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Internal Revenue Growth</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3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First Quarter</w:t>
            </w: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Second Quarter</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to Date</w:t>
            </w:r>
          </w:p>
        </w:tc>
        <w:tc>
          <w:tcPr>
            <w:tcW w:w="800" w:type="dxa"/>
            <w:vAlign w:val="bottom"/>
            <w:tcBorders>
              <w:bottom w:val="single" w:sz="8" w:color="auto"/>
            </w:tcBorders>
          </w:tcPr>
          <w:p>
            <w:pPr>
              <w:spacing w:after="0"/>
              <w:rPr>
                <w:sz w:val="22"/>
                <w:szCs w:val="22"/>
                <w:color w:val="auto"/>
              </w:rPr>
            </w:pPr>
          </w:p>
        </w:tc>
      </w:tr>
      <w:tr>
        <w:trPr>
          <w:trHeight w:val="264"/>
        </w:trPr>
        <w:tc>
          <w:tcPr>
            <w:tcW w:w="3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7"/>
              </w:rPr>
              <w:t>Growth</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r>
      <w:tr>
        <w:trPr>
          <w:trHeight w:val="379"/>
        </w:trPr>
        <w:tc>
          <w:tcPr>
            <w:tcW w:w="330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1,502</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1,440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1,512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88"/>
              </w:rPr>
              <w:t>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3,014</w:t>
            </w:r>
          </w:p>
        </w:tc>
        <w:tc>
          <w:tcPr>
            <w:tcW w:w="1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5%</w:t>
            </w: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Combined internal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3,274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3,653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3,446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88"/>
              </w:rPr>
              <w:t>6%</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7,146</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6,720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6%</w:t>
            </w:r>
          </w:p>
        </w:tc>
      </w:tr>
    </w:tbl>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80" w:top="522" w:right="239" w:bottom="1440" w:gutter="0" w:footer="0" w:header="0"/>
        </w:sectPr>
      </w:pPr>
    </w:p>
    <w:bookmarkStart w:id="8" w:name="page9"/>
    <w:bookmarkEnd w:id="8"/>
    <w:p>
      <w:pPr>
        <w:jc w:val="center"/>
        <w:ind w:right="-169"/>
        <w:spacing w:after="0"/>
        <w:rPr>
          <w:sz w:val="20"/>
          <w:szCs w:val="20"/>
          <w:color w:val="auto"/>
        </w:rPr>
      </w:pPr>
      <w:r>
        <w:rPr>
          <w:rFonts w:ascii="Arial" w:cs="Arial" w:eastAsia="Arial" w:hAnsi="Arial"/>
          <w:sz w:val="14"/>
          <w:szCs w:val="14"/>
          <w:b w:val="1"/>
          <w:bCs w:val="1"/>
          <w:color w:val="auto"/>
        </w:rPr>
        <w:t>Fiserv, Inc.</w:t>
      </w:r>
    </w:p>
    <w:p>
      <w:pPr>
        <w:spacing w:after="0" w:line="42" w:lineRule="exact"/>
        <w:rPr>
          <w:sz w:val="20"/>
          <w:szCs w:val="20"/>
          <w:color w:val="auto"/>
        </w:rPr>
      </w:pPr>
    </w:p>
    <w:p>
      <w:pPr>
        <w:jc w:val="center"/>
        <w:ind w:right="-169"/>
        <w:spacing w:after="0"/>
        <w:rPr>
          <w:sz w:val="20"/>
          <w:szCs w:val="20"/>
          <w:color w:val="auto"/>
        </w:rPr>
      </w:pPr>
      <w:r>
        <w:rPr>
          <w:rFonts w:ascii="Arial" w:cs="Arial" w:eastAsia="Arial" w:hAnsi="Arial"/>
          <w:sz w:val="14"/>
          <w:szCs w:val="14"/>
          <w:b w:val="1"/>
          <w:bCs w:val="1"/>
          <w:color w:val="auto"/>
        </w:rPr>
        <w:t>Reconciliation of GAAP to Adjusted Net Income and Adjusted Earnings Per Share</w:t>
      </w:r>
    </w:p>
    <w:p>
      <w:pPr>
        <w:spacing w:after="0" w:line="46" w:lineRule="exact"/>
        <w:rPr>
          <w:sz w:val="20"/>
          <w:szCs w:val="20"/>
          <w:color w:val="auto"/>
        </w:rPr>
      </w:pPr>
    </w:p>
    <w:p>
      <w:pPr>
        <w:jc w:val="center"/>
        <w:ind w:right="-169"/>
        <w:spacing w:after="0"/>
        <w:rPr>
          <w:sz w:val="20"/>
          <w:szCs w:val="20"/>
          <w:color w:val="auto"/>
        </w:rPr>
      </w:pPr>
      <w:r>
        <w:rPr>
          <w:rFonts w:ascii="Arial" w:cs="Arial" w:eastAsia="Arial" w:hAnsi="Arial"/>
          <w:sz w:val="14"/>
          <w:szCs w:val="14"/>
          <w:color w:val="auto"/>
        </w:rPr>
        <w:t>(In millions, except per share amounts, unaudited)</w:t>
      </w:r>
    </w:p>
    <w:p>
      <w:pPr>
        <w:spacing w:after="0" w:line="227" w:lineRule="exact"/>
        <w:rPr>
          <w:sz w:val="20"/>
          <w:szCs w:val="20"/>
          <w:color w:val="auto"/>
        </w:rPr>
      </w:pPr>
    </w:p>
    <w:tbl>
      <w:tblPr>
        <w:tblLayout w:type="fixed"/>
        <w:tblInd w:w="19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First Quarter</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6"/>
              </w:rPr>
              <w:t>Second</w:t>
            </w:r>
          </w:p>
        </w:tc>
        <w:tc>
          <w:tcPr>
            <w:tcW w:w="11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Fourth</w:t>
            </w:r>
          </w:p>
        </w:tc>
        <w:tc>
          <w:tcPr>
            <w:tcW w:w="16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Full Year</w:t>
            </w: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3"/>
                <w:szCs w:val="13"/>
                <w:color w:val="auto"/>
              </w:rPr>
            </w:pPr>
          </w:p>
        </w:tc>
        <w:tc>
          <w:tcPr>
            <w:tcW w:w="8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Second</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380"/>
        </w:trPr>
        <w:tc>
          <w:tcPr>
            <w:tcW w:w="3420" w:type="dxa"/>
            <w:vAlign w:val="bottom"/>
          </w:tcPr>
          <w:p>
            <w:pPr>
              <w:spacing w:after="0"/>
              <w:rPr>
                <w:sz w:val="20"/>
                <w:szCs w:val="20"/>
                <w:color w:val="auto"/>
              </w:rPr>
            </w:pPr>
            <w:r>
              <w:rPr>
                <w:rFonts w:ascii="Arial" w:cs="Arial" w:eastAsia="Arial" w:hAnsi="Arial"/>
                <w:sz w:val="14"/>
                <w:szCs w:val="14"/>
                <w:b w:val="1"/>
                <w:bCs w:val="1"/>
                <w:color w:val="auto"/>
              </w:rPr>
              <w:t>GAAP net income</w:t>
            </w: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4"/>
                <w:szCs w:val="14"/>
                <w:color w:val="auto"/>
              </w:rPr>
              <w:t>GAAP net income attributable to First Data</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4"/>
        </w:trPr>
        <w:tc>
          <w:tcPr>
            <w:tcW w:w="3420" w:type="dxa"/>
            <w:vAlign w:val="bottom"/>
          </w:tcPr>
          <w:p>
            <w:pPr>
              <w:spacing w:after="0"/>
              <w:rPr>
                <w:sz w:val="20"/>
                <w:szCs w:val="20"/>
                <w:color w:val="auto"/>
              </w:rPr>
            </w:pPr>
            <w:r>
              <w:rPr>
                <w:rFonts w:ascii="Arial" w:cs="Arial" w:eastAsia="Arial" w:hAnsi="Arial"/>
                <w:sz w:val="14"/>
                <w:szCs w:val="14"/>
                <w:color w:val="auto"/>
              </w:rPr>
              <w:t>Combined net income attributable to Fiserv</w:t>
            </w:r>
          </w:p>
        </w:tc>
        <w:tc>
          <w:tcPr>
            <w:tcW w:w="34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adjustments:</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Merger and integration costs </w:t>
            </w:r>
            <w:r>
              <w:rPr>
                <w:rFonts w:ascii="Arial" w:cs="Arial" w:eastAsia="Arial" w:hAnsi="Arial"/>
                <w:sz w:val="8"/>
                <w:szCs w:val="8"/>
                <w:color w:val="auto"/>
              </w:rPr>
              <w:t>1</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Severance and restructuring costs </w:t>
            </w:r>
            <w:r>
              <w:rPr>
                <w:rFonts w:ascii="Arial" w:cs="Arial" w:eastAsia="Arial" w:hAnsi="Arial"/>
                <w:sz w:val="8"/>
                <w:szCs w:val="8"/>
                <w:color w:val="auto"/>
              </w:rPr>
              <w:t>2</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w w:val="99"/>
              </w:rPr>
              <w:t xml:space="preserve">Amortization of acquisition-related intangible assets </w:t>
            </w:r>
            <w:r>
              <w:rPr>
                <w:rFonts w:ascii="Arial" w:cs="Arial" w:eastAsia="Arial" w:hAnsi="Arial"/>
                <w:sz w:val="8"/>
                <w:szCs w:val="8"/>
                <w:color w:val="auto"/>
                <w:w w:val="99"/>
              </w:rPr>
              <w:t>3</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Debt financing activities </w:t>
            </w:r>
            <w:r>
              <w:rPr>
                <w:rFonts w:ascii="Arial" w:cs="Arial" w:eastAsia="Arial" w:hAnsi="Arial"/>
                <w:sz w:val="8"/>
                <w:szCs w:val="8"/>
                <w:color w:val="auto"/>
              </w:rPr>
              <w:t>4</w:t>
            </w:r>
          </w:p>
        </w:tc>
        <w:tc>
          <w:tcPr>
            <w:tcW w:w="3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Impact of divestitures </w:t>
            </w:r>
            <w:r>
              <w:rPr>
                <w:rFonts w:ascii="Arial" w:cs="Arial" w:eastAsia="Arial" w:hAnsi="Arial"/>
                <w:sz w:val="8"/>
                <w:szCs w:val="8"/>
                <w:color w:val="auto"/>
              </w:rPr>
              <w:t>5</w:t>
            </w:r>
          </w:p>
        </w:tc>
        <w:tc>
          <w:tcPr>
            <w:tcW w:w="34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Non wholly-owned entity activities </w:t>
            </w:r>
            <w:r>
              <w:rPr>
                <w:rFonts w:ascii="Arial" w:cs="Arial" w:eastAsia="Arial" w:hAnsi="Arial"/>
                <w:sz w:val="8"/>
                <w:szCs w:val="8"/>
                <w:color w:val="auto"/>
              </w:rPr>
              <w:t>6</w:t>
            </w:r>
          </w:p>
        </w:tc>
        <w:tc>
          <w:tcPr>
            <w:tcW w:w="34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Tax impact of adjustments </w:t>
            </w:r>
            <w:r>
              <w:rPr>
                <w:rFonts w:ascii="Arial" w:cs="Arial" w:eastAsia="Arial" w:hAnsi="Arial"/>
                <w:sz w:val="8"/>
                <w:szCs w:val="8"/>
                <w:color w:val="auto"/>
              </w:rPr>
              <w:t>7</w:t>
            </w:r>
          </w:p>
        </w:tc>
        <w:tc>
          <w:tcPr>
            <w:tcW w:w="34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(Gain) loss on sale of businesses </w:t>
            </w:r>
            <w:r>
              <w:rPr>
                <w:rFonts w:ascii="Arial" w:cs="Arial" w:eastAsia="Arial" w:hAnsi="Arial"/>
                <w:sz w:val="8"/>
                <w:szCs w:val="8"/>
                <w:color w:val="auto"/>
              </w:rPr>
              <w:t>5</w:t>
            </w:r>
          </w:p>
        </w:tc>
        <w:tc>
          <w:tcPr>
            <w:tcW w:w="34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Tax impact of gain (loss) on sale of businesses </w:t>
            </w:r>
            <w:r>
              <w:rPr>
                <w:rFonts w:ascii="Arial" w:cs="Arial" w:eastAsia="Arial" w:hAnsi="Arial"/>
                <w:sz w:val="8"/>
                <w:szCs w:val="8"/>
                <w:color w:val="auto"/>
              </w:rPr>
              <w:t>7</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Discrete tax items </w:t>
            </w:r>
            <w:r>
              <w:rPr>
                <w:rFonts w:ascii="Arial" w:cs="Arial" w:eastAsia="Arial" w:hAnsi="Arial"/>
                <w:sz w:val="8"/>
                <w:szCs w:val="8"/>
                <w:color w:val="auto"/>
              </w:rPr>
              <w:t>8</w:t>
            </w:r>
          </w:p>
        </w:tc>
        <w:tc>
          <w:tcPr>
            <w:tcW w:w="3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4"/>
                <w:szCs w:val="14"/>
                <w:b w:val="1"/>
                <w:bCs w:val="1"/>
                <w:color w:val="auto"/>
              </w:rPr>
              <w:t>Combined adjusted net income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Weighted average common shares outstanding -</w:t>
            </w: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20"/>
                <w:szCs w:val="20"/>
                <w:color w:val="auto"/>
              </w:rPr>
            </w:pPr>
            <w:r>
              <w:rPr>
                <w:rFonts w:ascii="Arial" w:cs="Arial" w:eastAsia="Arial" w:hAnsi="Arial"/>
                <w:sz w:val="14"/>
                <w:szCs w:val="14"/>
                <w:b w:val="1"/>
                <w:bCs w:val="1"/>
                <w:color w:val="auto"/>
              </w:rPr>
              <w:t>diluted</w:t>
            </w:r>
          </w:p>
        </w:tc>
        <w:tc>
          <w:tcPr>
            <w:tcW w:w="3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416.4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399.6</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Issuance of shares for combination</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286.3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286.3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286.3</w:t>
            </w: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4"/>
                <w:szCs w:val="14"/>
                <w:color w:val="auto"/>
              </w:rPr>
              <w:t>Dilutive impact of exchanged equity awards</w:t>
            </w:r>
          </w:p>
        </w:tc>
        <w:tc>
          <w:tcPr>
            <w:tcW w:w="3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9"/>
        </w:trPr>
        <w:tc>
          <w:tcPr>
            <w:tcW w:w="3420" w:type="dxa"/>
            <w:vAlign w:val="bottom"/>
          </w:tcPr>
          <w:p>
            <w:pPr>
              <w:spacing w:after="0" w:line="139" w:lineRule="exact"/>
              <w:rPr>
                <w:sz w:val="20"/>
                <w:szCs w:val="20"/>
                <w:color w:val="auto"/>
              </w:rPr>
            </w:pPr>
            <w:r>
              <w:rPr>
                <w:rFonts w:ascii="Arial" w:cs="Arial" w:eastAsia="Arial" w:hAnsi="Arial"/>
                <w:sz w:val="14"/>
                <w:szCs w:val="14"/>
                <w:b w:val="1"/>
                <w:bCs w:val="1"/>
                <w:color w:val="auto"/>
              </w:rPr>
              <w:t>Combined weighted average common shares</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20"/>
                <w:szCs w:val="20"/>
                <w:color w:val="auto"/>
              </w:rPr>
            </w:pPr>
            <w:r>
              <w:rPr>
                <w:rFonts w:ascii="Arial" w:cs="Arial" w:eastAsia="Arial" w:hAnsi="Arial"/>
                <w:sz w:val="14"/>
                <w:szCs w:val="14"/>
                <w:b w:val="1"/>
                <w:bCs w:val="1"/>
                <w:color w:val="auto"/>
              </w:rPr>
              <w:t xml:space="preserve">outstanding - diluted </w:t>
            </w:r>
            <w:r>
              <w:rPr>
                <w:rFonts w:ascii="Arial" w:cs="Arial" w:eastAsia="Arial" w:hAnsi="Arial"/>
                <w:sz w:val="8"/>
                <w:szCs w:val="8"/>
                <w:b w:val="1"/>
                <w:bCs w:val="1"/>
                <w:color w:val="auto"/>
              </w:rPr>
              <w:t>9</w:t>
            </w: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715.7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710.5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698.8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693.7</w:t>
            </w:r>
          </w:p>
        </w:tc>
        <w:tc>
          <w:tcPr>
            <w:tcW w:w="0" w:type="dxa"/>
            <w:vAlign w:val="bottom"/>
          </w:tcPr>
          <w:p>
            <w:pPr>
              <w:spacing w:after="0"/>
              <w:rPr>
                <w:sz w:val="1"/>
                <w:szCs w:val="1"/>
                <w:color w:val="auto"/>
              </w:rPr>
            </w:pPr>
          </w:p>
        </w:tc>
      </w:tr>
      <w:tr>
        <w:trPr>
          <w:trHeight w:val="420"/>
        </w:trPr>
        <w:tc>
          <w:tcPr>
            <w:tcW w:w="3420" w:type="dxa"/>
            <w:vAlign w:val="bottom"/>
          </w:tcPr>
          <w:p>
            <w:pPr>
              <w:spacing w:after="0"/>
              <w:rPr>
                <w:sz w:val="20"/>
                <w:szCs w:val="20"/>
                <w:color w:val="auto"/>
              </w:rPr>
            </w:pPr>
            <w:r>
              <w:rPr>
                <w:rFonts w:ascii="Arial" w:cs="Arial" w:eastAsia="Arial" w:hAnsi="Arial"/>
                <w:sz w:val="14"/>
                <w:szCs w:val="14"/>
                <w:b w:val="1"/>
                <w:bCs w:val="1"/>
                <w:color w:val="auto"/>
              </w:rPr>
              <w:t xml:space="preserve">GAAP earnings per share </w:t>
            </w:r>
            <w:r>
              <w:rPr>
                <w:rFonts w:ascii="Arial" w:cs="Arial" w:eastAsia="Arial" w:hAnsi="Arial"/>
                <w:sz w:val="8"/>
                <w:szCs w:val="8"/>
                <w:b w:val="1"/>
                <w:bCs w:val="1"/>
                <w:color w:val="auto"/>
              </w:rPr>
              <w:t>9</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4"/>
                <w:szCs w:val="14"/>
                <w:b w:val="1"/>
                <w:bCs w:val="1"/>
                <w:color w:val="auto"/>
              </w:rPr>
              <w:t xml:space="preserve">Combined earnings per share </w:t>
            </w:r>
            <w:r>
              <w:rPr>
                <w:rFonts w:ascii="Arial" w:cs="Arial" w:eastAsia="Arial" w:hAnsi="Arial"/>
                <w:sz w:val="8"/>
                <w:szCs w:val="8"/>
                <w:b w:val="1"/>
                <w:bCs w:val="1"/>
                <w:color w:val="auto"/>
              </w:rPr>
              <w:t>9</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0.89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0.57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adjustments - net of income taxes:</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Merger and integration costs </w:t>
            </w:r>
            <w:r>
              <w:rPr>
                <w:rFonts w:ascii="Arial" w:cs="Arial" w:eastAsia="Arial" w:hAnsi="Arial"/>
                <w:sz w:val="8"/>
                <w:szCs w:val="8"/>
                <w:color w:val="auto"/>
              </w:rPr>
              <w:t>1</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Severance and restructuring costs </w:t>
            </w:r>
            <w:r>
              <w:rPr>
                <w:rFonts w:ascii="Arial" w:cs="Arial" w:eastAsia="Arial" w:hAnsi="Arial"/>
                <w:sz w:val="8"/>
                <w:szCs w:val="8"/>
                <w:color w:val="auto"/>
              </w:rPr>
              <w:t>2</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w w:val="99"/>
              </w:rPr>
              <w:t xml:space="preserve">Amortization of acquisition-related intangible assets </w:t>
            </w:r>
            <w:r>
              <w:rPr>
                <w:rFonts w:ascii="Arial" w:cs="Arial" w:eastAsia="Arial" w:hAnsi="Arial"/>
                <w:sz w:val="8"/>
                <w:szCs w:val="8"/>
                <w:color w:val="auto"/>
                <w:w w:val="99"/>
              </w:rPr>
              <w:t>3</w:t>
            </w:r>
          </w:p>
        </w:tc>
        <w:tc>
          <w:tcPr>
            <w:tcW w:w="3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Debt financing activities </w:t>
            </w:r>
            <w:r>
              <w:rPr>
                <w:rFonts w:ascii="Arial" w:cs="Arial" w:eastAsia="Arial" w:hAnsi="Arial"/>
                <w:sz w:val="8"/>
                <w:szCs w:val="8"/>
                <w:color w:val="auto"/>
              </w:rPr>
              <w:t>4</w:t>
            </w:r>
          </w:p>
        </w:tc>
        <w:tc>
          <w:tcPr>
            <w:tcW w:w="3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Impact of divestitures </w:t>
            </w:r>
            <w:r>
              <w:rPr>
                <w:rFonts w:ascii="Arial" w:cs="Arial" w:eastAsia="Arial" w:hAnsi="Arial"/>
                <w:sz w:val="8"/>
                <w:szCs w:val="8"/>
                <w:color w:val="auto"/>
              </w:rPr>
              <w:t>5</w:t>
            </w:r>
          </w:p>
        </w:tc>
        <w:tc>
          <w:tcPr>
            <w:tcW w:w="34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Non wholly-owned entity activities </w:t>
            </w:r>
            <w:r>
              <w:rPr>
                <w:rFonts w:ascii="Arial" w:cs="Arial" w:eastAsia="Arial" w:hAnsi="Arial"/>
                <w:sz w:val="8"/>
                <w:szCs w:val="8"/>
                <w:color w:val="auto"/>
              </w:rPr>
              <w:t>6</w:t>
            </w:r>
          </w:p>
        </w:tc>
        <w:tc>
          <w:tcPr>
            <w:tcW w:w="34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(Gain) loss on sale of businesses </w:t>
            </w:r>
            <w:r>
              <w:rPr>
                <w:rFonts w:ascii="Arial" w:cs="Arial" w:eastAsia="Arial" w:hAnsi="Arial"/>
                <w:sz w:val="8"/>
                <w:szCs w:val="8"/>
                <w:color w:val="auto"/>
              </w:rPr>
              <w:t>5</w:t>
            </w:r>
          </w:p>
        </w:tc>
        <w:tc>
          <w:tcPr>
            <w:tcW w:w="34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Discrete tax items </w:t>
            </w:r>
            <w:r>
              <w:rPr>
                <w:rFonts w:ascii="Arial" w:cs="Arial" w:eastAsia="Arial" w:hAnsi="Arial"/>
                <w:sz w:val="8"/>
                <w:szCs w:val="8"/>
                <w:color w:val="auto"/>
              </w:rPr>
              <w:t>8</w:t>
            </w:r>
          </w:p>
        </w:tc>
        <w:tc>
          <w:tcPr>
            <w:tcW w:w="3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4"/>
                <w:szCs w:val="14"/>
                <w:b w:val="1"/>
                <w:bCs w:val="1"/>
                <w:color w:val="auto"/>
              </w:rPr>
              <w:t>Combined adjusted earnings per share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0"/>
        <w:spacing w:after="0"/>
        <w:rPr>
          <w:sz w:val="20"/>
          <w:szCs w:val="20"/>
          <w:color w:val="auto"/>
        </w:rPr>
      </w:pPr>
      <w:r>
        <w:rPr>
          <w:rFonts w:ascii="Arial" w:cs="Arial" w:eastAsia="Arial" w:hAnsi="Arial"/>
          <w:sz w:val="14"/>
          <w:szCs w:val="14"/>
          <w:color w:val="auto"/>
        </w:rPr>
        <w:t>See page 1 for disclosures related to the use of non-GAAP financial measures.</w:t>
      </w:r>
    </w:p>
    <w:p>
      <w:pPr>
        <w:spacing w:after="0" w:line="21" w:lineRule="exact"/>
        <w:rPr>
          <w:sz w:val="20"/>
          <w:szCs w:val="20"/>
          <w:color w:val="auto"/>
        </w:rPr>
      </w:pPr>
    </w:p>
    <w:p>
      <w:pPr>
        <w:ind w:left="10"/>
        <w:spacing w:after="0"/>
        <w:rPr>
          <w:sz w:val="20"/>
          <w:szCs w:val="20"/>
          <w:color w:val="auto"/>
        </w:rPr>
      </w:pPr>
      <w:r>
        <w:rPr>
          <w:rFonts w:ascii="Arial" w:cs="Arial" w:eastAsia="Arial" w:hAnsi="Arial"/>
          <w:sz w:val="14"/>
          <w:szCs w:val="14"/>
          <w:color w:val="auto"/>
        </w:rPr>
        <w:t>Earnings per share is calculated using actual, unrounded amounts.</w:t>
      </w:r>
    </w:p>
    <w:p>
      <w:pPr>
        <w:spacing w:after="0" w:line="210" w:lineRule="exact"/>
        <w:rPr>
          <w:sz w:val="20"/>
          <w:szCs w:val="20"/>
          <w:color w:val="auto"/>
        </w:rPr>
      </w:pPr>
    </w:p>
    <w:p>
      <w:pPr>
        <w:ind w:left="330" w:hanging="330"/>
        <w:spacing w:after="0"/>
        <w:tabs>
          <w:tab w:leader="none" w:pos="330" w:val="left"/>
        </w:tabs>
        <w:numPr>
          <w:ilvl w:val="0"/>
          <w:numId w:val="2"/>
        </w:numPr>
        <w:rPr>
          <w:rFonts w:ascii="Arial" w:cs="Arial" w:eastAsia="Arial" w:hAnsi="Arial"/>
          <w:sz w:val="9"/>
          <w:szCs w:val="9"/>
          <w:color w:val="auto"/>
        </w:rPr>
      </w:pPr>
      <w:r>
        <w:rPr>
          <w:rFonts w:ascii="Arial" w:cs="Arial" w:eastAsia="Arial" w:hAnsi="Arial"/>
          <w:sz w:val="14"/>
          <w:szCs w:val="14"/>
          <w:color w:val="auto"/>
        </w:rPr>
        <w:t>Represents acquisition and related integration costs incurred as a result of the Company's various acquisitions.</w:t>
      </w:r>
    </w:p>
    <w:p>
      <w:pPr>
        <w:spacing w:after="0" w:line="109" w:lineRule="exact"/>
        <w:rPr>
          <w:sz w:val="20"/>
          <w:szCs w:val="20"/>
          <w:color w:val="auto"/>
        </w:rPr>
      </w:pPr>
    </w:p>
    <w:p>
      <w:pPr>
        <w:ind w:left="330" w:hanging="330"/>
        <w:spacing w:after="0"/>
        <w:tabs>
          <w:tab w:leader="none" w:pos="330" w:val="left"/>
        </w:tabs>
        <w:numPr>
          <w:ilvl w:val="0"/>
          <w:numId w:val="3"/>
        </w:numPr>
        <w:rPr>
          <w:rFonts w:ascii="Arial" w:cs="Arial" w:eastAsia="Arial" w:hAnsi="Arial"/>
          <w:sz w:val="8"/>
          <w:szCs w:val="8"/>
          <w:color w:val="auto"/>
        </w:rPr>
      </w:pPr>
      <w:r>
        <w:rPr>
          <w:rFonts w:ascii="Arial" w:cs="Arial" w:eastAsia="Arial" w:hAnsi="Arial"/>
          <w:sz w:val="13"/>
          <w:szCs w:val="13"/>
          <w:color w:val="auto"/>
        </w:rPr>
        <w:t>Represents severance and other costs associated with the achievement of ongoing expense management initiatives, including real estate and data center consolidation activities.</w:t>
      </w:r>
    </w:p>
    <w:p>
      <w:pPr>
        <w:spacing w:after="0" w:line="121" w:lineRule="exact"/>
        <w:rPr>
          <w:sz w:val="20"/>
          <w:szCs w:val="20"/>
          <w:color w:val="auto"/>
        </w:rPr>
      </w:pPr>
    </w:p>
    <w:p>
      <w:pPr>
        <w:ind w:left="330" w:right="40" w:hanging="330"/>
        <w:spacing w:after="0" w:line="257" w:lineRule="auto"/>
        <w:tabs>
          <w:tab w:leader="none" w:pos="330"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amortization of intangible assets acquired through various acquisitions, including customer relationships, software/technology, and tradenames. This adjustment does not exclude the amortization of other intangible assets such as contract assets (sales commissions and deferred conversion costs), capitalized and purchased software, and financing costs and debt discounts. See additional information on page 12 for an analysis of the Company's amortization expense.</w:t>
      </w:r>
    </w:p>
    <w:p>
      <w:pPr>
        <w:spacing w:after="0" w:line="216"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50"/>
          </w:cols>
          <w:pgMar w:left="410" w:top="522" w:right="239" w:bottom="1440" w:gutter="0" w:footer="0" w:header="0"/>
        </w:sectPr>
      </w:pPr>
    </w:p>
    <w:bookmarkStart w:id="9" w:name="page10"/>
    <w:bookmarkEnd w:id="9"/>
    <w:p>
      <w:pPr>
        <w:jc w:val="both"/>
        <w:ind w:left="330" w:right="100" w:hanging="330"/>
        <w:spacing w:after="0" w:line="257" w:lineRule="auto"/>
        <w:tabs>
          <w:tab w:leader="none" w:pos="330"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losses on early debt extinguishments in 2018 primarily associated with the redemption of First Data's 7.0% senior unsecured notes and the Company's 4.625% senior notes with aggregate principal amounts of $3.4 billion and $450 million, respectively, along with bridge term loan facility expenses in 2019 for refinancing certain indebtedness of First Data upon the closing of the acquisition.</w:t>
      </w:r>
    </w:p>
    <w:p>
      <w:pPr>
        <w:spacing w:after="0" w:line="77" w:lineRule="exact"/>
        <w:rPr>
          <w:sz w:val="20"/>
          <w:szCs w:val="20"/>
          <w:color w:val="auto"/>
        </w:rPr>
      </w:pPr>
    </w:p>
    <w:p>
      <w:pPr>
        <w:jc w:val="both"/>
        <w:ind w:left="330" w:hanging="330"/>
        <w:spacing w:after="0" w:line="257" w:lineRule="auto"/>
        <w:tabs>
          <w:tab w:leader="none" w:pos="33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the earnings attributable to divested businesses and the (gain) loss on the associated divestiture transactions. The divested businesses include First Data's card processing business in Central and Southeastern Europe, First Data's remittance processing business, and a 55 percent interest in Fiserv's Lending Solutions business in September 2018, August 2018 and March 2018, respectively.</w:t>
      </w:r>
    </w:p>
    <w:p>
      <w:pPr>
        <w:spacing w:after="0" w:line="77" w:lineRule="exact"/>
        <w:rPr>
          <w:sz w:val="20"/>
          <w:szCs w:val="20"/>
          <w:color w:val="auto"/>
        </w:rPr>
      </w:pPr>
    </w:p>
    <w:p>
      <w:pPr>
        <w:ind w:left="330" w:hanging="330"/>
        <w:spacing w:after="0"/>
        <w:tabs>
          <w:tab w:leader="none" w:pos="330" w:val="left"/>
        </w:tabs>
        <w:numPr>
          <w:ilvl w:val="0"/>
          <w:numId w:val="7"/>
        </w:numPr>
        <w:rPr>
          <w:rFonts w:ascii="Arial" w:cs="Arial" w:eastAsia="Arial" w:hAnsi="Arial"/>
          <w:sz w:val="9"/>
          <w:szCs w:val="9"/>
          <w:color w:val="auto"/>
        </w:rPr>
      </w:pPr>
      <w:r>
        <w:rPr>
          <w:rFonts w:ascii="Arial" w:cs="Arial" w:eastAsia="Arial" w:hAnsi="Arial"/>
          <w:sz w:val="14"/>
          <w:szCs w:val="14"/>
          <w:color w:val="auto"/>
        </w:rPr>
        <w:t>Represents the Company's share of amortization of acquisition-related intangible assets at its unconsolidated affiliates.</w:t>
      </w:r>
    </w:p>
    <w:p>
      <w:pPr>
        <w:spacing w:after="0" w:line="109" w:lineRule="exact"/>
        <w:rPr>
          <w:sz w:val="20"/>
          <w:szCs w:val="20"/>
          <w:color w:val="auto"/>
        </w:rPr>
      </w:pPr>
    </w:p>
    <w:p>
      <w:pPr>
        <w:ind w:left="330" w:right="240" w:hanging="330"/>
        <w:spacing w:after="0" w:line="273" w:lineRule="auto"/>
        <w:tabs>
          <w:tab w:leader="none" w:pos="33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tax impact of adjustments is calculated using a tax rate of 23 percent, which is expected to approximate the combined company's annual effective tax rate, exclusive of the actual tax impacts associated with the (gain) loss on sale of businesses.</w:t>
      </w:r>
    </w:p>
    <w:p>
      <w:pPr>
        <w:spacing w:after="0" w:line="66" w:lineRule="exact"/>
        <w:rPr>
          <w:sz w:val="20"/>
          <w:szCs w:val="20"/>
          <w:color w:val="auto"/>
        </w:rPr>
      </w:pPr>
    </w:p>
    <w:p>
      <w:pPr>
        <w:ind w:left="330" w:hanging="330"/>
        <w:spacing w:after="0"/>
        <w:tabs>
          <w:tab w:leader="none" w:pos="330" w:val="left"/>
        </w:tabs>
        <w:numPr>
          <w:ilvl w:val="0"/>
          <w:numId w:val="9"/>
        </w:numPr>
        <w:rPr>
          <w:rFonts w:ascii="Arial" w:cs="Arial" w:eastAsia="Arial" w:hAnsi="Arial"/>
          <w:sz w:val="9"/>
          <w:szCs w:val="9"/>
          <w:color w:val="auto"/>
        </w:rPr>
      </w:pPr>
      <w:r>
        <w:rPr>
          <w:rFonts w:ascii="Arial" w:cs="Arial" w:eastAsia="Arial" w:hAnsi="Arial"/>
          <w:sz w:val="14"/>
          <w:szCs w:val="14"/>
          <w:color w:val="auto"/>
        </w:rPr>
        <w:t>Represents certain discrete tax items, such as tax effects associated with U.S. federal tax reform and tax impacts from valuation allowance releases and tax reserves.</w:t>
      </w:r>
    </w:p>
    <w:p>
      <w:pPr>
        <w:spacing w:after="0" w:line="109" w:lineRule="exact"/>
        <w:rPr>
          <w:sz w:val="20"/>
          <w:szCs w:val="20"/>
          <w:color w:val="auto"/>
        </w:rPr>
      </w:pPr>
    </w:p>
    <w:p>
      <w:pPr>
        <w:ind w:left="330" w:right="220" w:hanging="330"/>
        <w:spacing w:after="0" w:line="249" w:lineRule="auto"/>
        <w:tabs>
          <w:tab w:leader="none" w:pos="330" w:val="left"/>
        </w:tabs>
        <w:numPr>
          <w:ilvl w:val="0"/>
          <w:numId w:val="10"/>
        </w:numPr>
        <w:rPr>
          <w:rFonts w:ascii="Arial" w:cs="Arial" w:eastAsia="Arial" w:hAnsi="Arial"/>
          <w:sz w:val="9"/>
          <w:szCs w:val="9"/>
          <w:color w:val="auto"/>
        </w:rPr>
      </w:pPr>
      <w:r>
        <w:rPr>
          <w:rFonts w:ascii="Arial" w:cs="Arial" w:eastAsia="Arial" w:hAnsi="Arial"/>
          <w:sz w:val="14"/>
          <w:szCs w:val="14"/>
          <w:color w:val="auto"/>
        </w:rPr>
        <w:t>GAAP earnings per share is computed by dividing GAAP net income by the weighted-average number of common shares outstanding - diluted during the period. Combined earnings per share is computed by dividing combined net income attributable to Fiserv by the combined weighted average common shares outstanding - diluted during the period. The combined weighted average common shares outstanding - diluted is computed based on the historical Fiserv weighted average shares outstanding - diluted determined in accordance with GAAP, adjusted to include the Fiserv shares issued as merger consideration and shares subject to First Data equity awards assumed by Fiserv in connection with the First Data acquisition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30"/>
          </w:cols>
          <w:pgMar w:left="410" w:top="472" w:right="2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4"/>
          <w:szCs w:val="14"/>
          <w:b w:val="1"/>
          <w:bCs w:val="1"/>
          <w:color w:val="auto"/>
        </w:rPr>
        <w:t>Fiserv, Inc.</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Financial Results by Segment</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(In millions,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r>
      <w:tr>
        <w:trPr>
          <w:trHeight w:val="263"/>
        </w:trPr>
        <w:tc>
          <w:tcPr>
            <w:tcW w:w="3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First Quarter</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Second Quarter</w:t>
            </w:r>
          </w:p>
        </w:tc>
      </w:tr>
      <w:tr>
        <w:trPr>
          <w:trHeight w:val="258"/>
        </w:trPr>
        <w:tc>
          <w:tcPr>
            <w:tcW w:w="3420" w:type="dxa"/>
            <w:vAlign w:val="bottom"/>
          </w:tcPr>
          <w:p>
            <w:pPr>
              <w:spacing w:after="0"/>
              <w:rPr>
                <w:sz w:val="20"/>
                <w:szCs w:val="20"/>
                <w:color w:val="auto"/>
              </w:rPr>
            </w:pPr>
            <w:r>
              <w:rPr>
                <w:rFonts w:ascii="Arial" w:cs="Arial" w:eastAsia="Arial" w:hAnsi="Arial"/>
                <w:sz w:val="14"/>
                <w:szCs w:val="14"/>
                <w:b w:val="1"/>
                <w:bCs w:val="1"/>
                <w:color w:val="auto"/>
              </w:rPr>
              <w:t>Total Company</w:t>
            </w:r>
          </w:p>
        </w:tc>
        <w:tc>
          <w:tcPr>
            <w:tcW w:w="1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5,823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1,512</w:t>
            </w:r>
          </w:p>
        </w:tc>
      </w:tr>
      <w:tr>
        <w:trPr>
          <w:trHeight w:val="276"/>
        </w:trPr>
        <w:tc>
          <w:tcPr>
            <w:tcW w:w="3420" w:type="dxa"/>
            <w:vAlign w:val="bottom"/>
          </w:tcPr>
          <w:p>
            <w:pPr>
              <w:spacing w:after="0"/>
              <w:rPr>
                <w:sz w:val="20"/>
                <w:szCs w:val="20"/>
                <w:color w:val="auto"/>
              </w:rPr>
            </w:pPr>
            <w:r>
              <w:rPr>
                <w:rFonts w:ascii="Arial" w:cs="Arial" w:eastAsia="Arial" w:hAnsi="Arial"/>
                <w:sz w:val="14"/>
                <w:szCs w:val="14"/>
                <w:color w:val="auto"/>
              </w:rPr>
              <w:t>First Data revenue</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9,498</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2,485</w:t>
            </w:r>
          </w:p>
        </w:tc>
      </w:tr>
      <w:tr>
        <w:trPr>
          <w:trHeight w:val="204"/>
        </w:trPr>
        <w:tc>
          <w:tcPr>
            <w:tcW w:w="3420" w:type="dxa"/>
            <w:vAlign w:val="bottom"/>
          </w:tcPr>
          <w:p>
            <w:pPr>
              <w:spacing w:after="0"/>
              <w:rPr>
                <w:sz w:val="20"/>
                <w:szCs w:val="20"/>
                <w:color w:val="auto"/>
              </w:rPr>
            </w:pPr>
            <w:r>
              <w:rPr>
                <w:rFonts w:ascii="Arial" w:cs="Arial" w:eastAsia="Arial" w:hAnsi="Arial"/>
                <w:sz w:val="14"/>
                <w:szCs w:val="14"/>
                <w:color w:val="auto"/>
              </w:rPr>
              <w:t>Combined revenue</w:t>
            </w:r>
          </w:p>
        </w:tc>
        <w:tc>
          <w:tcPr>
            <w:tcW w:w="10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3,868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3,781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15,321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3,997</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Intercompany eliminations </w:t>
            </w:r>
            <w:r>
              <w:rPr>
                <w:rFonts w:ascii="Arial" w:cs="Arial" w:eastAsia="Arial" w:hAnsi="Arial"/>
                <w:sz w:val="8"/>
                <w:szCs w:val="8"/>
                <w:color w:val="auto"/>
              </w:rPr>
              <w:t>1</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Output Solutions postage reimbursements </w:t>
            </w:r>
            <w:r>
              <w:rPr>
                <w:rFonts w:ascii="Arial" w:cs="Arial" w:eastAsia="Arial" w:hAnsi="Arial"/>
                <w:sz w:val="8"/>
                <w:szCs w:val="8"/>
                <w:color w:val="auto"/>
              </w:rPr>
              <w:t>3</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(243)</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Deferred revenue purchase accounting adjustments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Merchant Services adjustment </w:t>
            </w:r>
            <w:r>
              <w:rPr>
                <w:rFonts w:ascii="Arial" w:cs="Arial" w:eastAsia="Arial" w:hAnsi="Arial"/>
                <w:sz w:val="8"/>
                <w:szCs w:val="8"/>
                <w:color w:val="auto"/>
              </w:rPr>
              <w:t>2</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Combined adjusted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3,376</w:t>
            </w:r>
          </w:p>
        </w:tc>
        <w:tc>
          <w:tcPr>
            <w:tcW w:w="1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3,436</w:t>
            </w:r>
          </w:p>
        </w:tc>
        <w:tc>
          <w:tcPr>
            <w:tcW w:w="1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13,902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3,473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3,643</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60"/>
        </w:trPr>
        <w:tc>
          <w:tcPr>
            <w:tcW w:w="3420" w:type="dxa"/>
            <w:vAlign w:val="bottom"/>
          </w:tcPr>
          <w:p>
            <w:pPr>
              <w:spacing w:after="0"/>
              <w:rPr>
                <w:sz w:val="20"/>
                <w:szCs w:val="20"/>
                <w:color w:val="auto"/>
              </w:rPr>
            </w:pPr>
            <w:r>
              <w:rPr>
                <w:rFonts w:ascii="Arial" w:cs="Arial" w:eastAsia="Arial" w:hAnsi="Arial"/>
                <w:sz w:val="14"/>
                <w:szCs w:val="14"/>
                <w:color w:val="auto"/>
              </w:rPr>
              <w:t>Operating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384</w:t>
            </w:r>
          </w:p>
        </w:tc>
      </w:tr>
      <w:tr>
        <w:trPr>
          <w:trHeight w:val="276"/>
        </w:trPr>
        <w:tc>
          <w:tcPr>
            <w:tcW w:w="3420" w:type="dxa"/>
            <w:vAlign w:val="bottom"/>
          </w:tcPr>
          <w:p>
            <w:pPr>
              <w:spacing w:after="0"/>
              <w:rPr>
                <w:sz w:val="20"/>
                <w:szCs w:val="20"/>
                <w:color w:val="auto"/>
              </w:rPr>
            </w:pPr>
            <w:r>
              <w:rPr>
                <w:rFonts w:ascii="Arial" w:cs="Arial" w:eastAsia="Arial" w:hAnsi="Arial"/>
                <w:sz w:val="14"/>
                <w:szCs w:val="14"/>
                <w:color w:val="auto"/>
              </w:rPr>
              <w:t>First Data operating income</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565</w:t>
            </w:r>
          </w:p>
        </w:tc>
      </w:tr>
      <w:tr>
        <w:trPr>
          <w:trHeight w:val="204"/>
        </w:trPr>
        <w:tc>
          <w:tcPr>
            <w:tcW w:w="3420" w:type="dxa"/>
            <w:vAlign w:val="bottom"/>
          </w:tcPr>
          <w:p>
            <w:pPr>
              <w:spacing w:after="0"/>
              <w:rPr>
                <w:sz w:val="20"/>
                <w:szCs w:val="20"/>
                <w:color w:val="auto"/>
              </w:rPr>
            </w:pPr>
            <w:r>
              <w:rPr>
                <w:rFonts w:ascii="Arial" w:cs="Arial" w:eastAsia="Arial" w:hAnsi="Arial"/>
                <w:sz w:val="14"/>
                <w:szCs w:val="14"/>
                <w:color w:val="auto"/>
              </w:rPr>
              <w:t>Combined operating income</w:t>
            </w:r>
          </w:p>
        </w:tc>
        <w:tc>
          <w:tcPr>
            <w:tcW w:w="100" w:type="dxa"/>
            <w:vAlign w:val="bottom"/>
          </w:tcPr>
          <w:p>
            <w:pPr>
              <w:spacing w:after="0"/>
              <w:rPr>
                <w:sz w:val="17"/>
                <w:szCs w:val="17"/>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3,845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949</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Merger and integration costs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38</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Severance and restructuring costs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17</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Amortization of acquisition-related intangible assets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144</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Merchant Services adjustment </w:t>
            </w:r>
            <w:r>
              <w:rPr>
                <w:rFonts w:ascii="Arial" w:cs="Arial" w:eastAsia="Arial" w:hAnsi="Arial"/>
                <w:sz w:val="8"/>
                <w:szCs w:val="8"/>
                <w:color w:val="auto"/>
              </w:rPr>
              <w:t>2</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w:t>
            </w: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(Gain) loss on sale of businesses</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Combined adjusted 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3,993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1,084</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60"/>
        </w:trPr>
        <w:tc>
          <w:tcPr>
            <w:tcW w:w="3420" w:type="dxa"/>
            <w:vAlign w:val="bottom"/>
          </w:tcPr>
          <w:p>
            <w:pPr>
              <w:spacing w:after="0"/>
              <w:rPr>
                <w:sz w:val="20"/>
                <w:szCs w:val="20"/>
                <w:color w:val="auto"/>
              </w:rPr>
            </w:pPr>
            <w:r>
              <w:rPr>
                <w:rFonts w:ascii="Arial" w:cs="Arial" w:eastAsia="Arial" w:hAnsi="Arial"/>
                <w:sz w:val="14"/>
                <w:szCs w:val="14"/>
                <w:color w:val="auto"/>
              </w:rPr>
              <w:t>Operating margin</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adjusted operating margin</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392"/>
        </w:trPr>
        <w:tc>
          <w:tcPr>
            <w:tcW w:w="3420" w:type="dxa"/>
            <w:vAlign w:val="bottom"/>
          </w:tcPr>
          <w:p>
            <w:pPr>
              <w:spacing w:after="0"/>
              <w:rPr>
                <w:sz w:val="20"/>
                <w:szCs w:val="20"/>
                <w:color w:val="auto"/>
              </w:rPr>
            </w:pPr>
            <w:r>
              <w:rPr>
                <w:rFonts w:ascii="Arial" w:cs="Arial" w:eastAsia="Arial" w:hAnsi="Arial"/>
                <w:sz w:val="14"/>
                <w:szCs w:val="14"/>
                <w:b w:val="1"/>
                <w:bCs w:val="1"/>
                <w:color w:val="auto"/>
              </w:rPr>
              <w:t>Payments and Industry Products ("Payments")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3,467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917</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Intercompany eliminations </w:t>
            </w:r>
            <w:r>
              <w:rPr>
                <w:rFonts w:ascii="Arial" w:cs="Arial" w:eastAsia="Arial" w:hAnsi="Arial"/>
                <w:sz w:val="8"/>
                <w:szCs w:val="8"/>
                <w:color w:val="auto"/>
              </w:rPr>
              <w:t>1</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Output Solutions postage reimbursements </w:t>
            </w:r>
            <w:r>
              <w:rPr>
                <w:rFonts w:ascii="Arial" w:cs="Arial" w:eastAsia="Arial" w:hAnsi="Arial"/>
                <w:sz w:val="8"/>
                <w:szCs w:val="8"/>
                <w:color w:val="auto"/>
              </w:rPr>
              <w:t>3</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w:t>
            </w: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Deferred revenue purchase accounting adjustments</w:t>
            </w:r>
          </w:p>
        </w:tc>
        <w:tc>
          <w:tcPr>
            <w:tcW w:w="10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Adjusted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3,159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849</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60"/>
        </w:trPr>
        <w:tc>
          <w:tcPr>
            <w:tcW w:w="3420" w:type="dxa"/>
            <w:vAlign w:val="bottom"/>
          </w:tcPr>
          <w:p>
            <w:pPr>
              <w:spacing w:after="0"/>
              <w:rPr>
                <w:sz w:val="20"/>
                <w:szCs w:val="20"/>
                <w:color w:val="auto"/>
              </w:rPr>
            </w:pPr>
            <w:r>
              <w:rPr>
                <w:rFonts w:ascii="Arial" w:cs="Arial" w:eastAsia="Arial" w:hAnsi="Arial"/>
                <w:sz w:val="14"/>
                <w:szCs w:val="14"/>
                <w:color w:val="auto"/>
              </w:rPr>
              <w:t>Operating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303</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Merger and integration costs</w:t>
            </w:r>
          </w:p>
        </w:tc>
        <w:tc>
          <w:tcPr>
            <w:tcW w:w="10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Adjusted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303</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60"/>
        </w:trPr>
        <w:tc>
          <w:tcPr>
            <w:tcW w:w="3420" w:type="dxa"/>
            <w:vAlign w:val="bottom"/>
          </w:tcPr>
          <w:p>
            <w:pPr>
              <w:spacing w:after="0"/>
              <w:rPr>
                <w:sz w:val="20"/>
                <w:szCs w:val="20"/>
                <w:color w:val="auto"/>
              </w:rPr>
            </w:pPr>
            <w:r>
              <w:rPr>
                <w:rFonts w:ascii="Arial" w:cs="Arial" w:eastAsia="Arial" w:hAnsi="Arial"/>
                <w:sz w:val="14"/>
                <w:szCs w:val="14"/>
                <w:color w:val="auto"/>
              </w:rPr>
              <w:t>Operating margin</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Adjusted operating margin</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35.7%</w:t>
            </w:r>
          </w:p>
        </w:tc>
      </w:tr>
    </w:tbl>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80" w:top="522"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4"/>
          <w:szCs w:val="14"/>
          <w:b w:val="1"/>
          <w:bCs w:val="1"/>
          <w:color w:val="auto"/>
        </w:rPr>
        <w:t>Fiserv, Inc.</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Financial Results by Segment (cont.)</w:t>
      </w:r>
    </w:p>
    <w:p>
      <w:pPr>
        <w:spacing w:after="0" w:line="4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(In millions,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r>
      <w:tr>
        <w:trPr>
          <w:trHeight w:val="263"/>
        </w:trPr>
        <w:tc>
          <w:tcPr>
            <w:tcW w:w="3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First Quarter</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Second Quarter</w:t>
            </w:r>
          </w:p>
        </w:tc>
      </w:tr>
      <w:tr>
        <w:trPr>
          <w:trHeight w:val="380"/>
        </w:trPr>
        <w:tc>
          <w:tcPr>
            <w:tcW w:w="3420" w:type="dxa"/>
            <w:vAlign w:val="bottom"/>
          </w:tcPr>
          <w:p>
            <w:pPr>
              <w:spacing w:after="0"/>
              <w:rPr>
                <w:sz w:val="20"/>
                <w:szCs w:val="20"/>
                <w:color w:val="auto"/>
              </w:rPr>
            </w:pPr>
            <w:r>
              <w:rPr>
                <w:rFonts w:ascii="Arial" w:cs="Arial" w:eastAsia="Arial" w:hAnsi="Arial"/>
                <w:sz w:val="14"/>
                <w:szCs w:val="14"/>
                <w:b w:val="1"/>
                <w:bCs w:val="1"/>
                <w:color w:val="auto"/>
              </w:rPr>
              <w:t>Financial Institution Services ("Financial")</w:t>
            </w: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69"/>
        </w:trPr>
        <w:tc>
          <w:tcPr>
            <w:tcW w:w="3420" w:type="dxa"/>
            <w:vAlign w:val="bottom"/>
          </w:tcPr>
          <w:p>
            <w:pPr>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3"/>
                <w:szCs w:val="2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3"/>
                <w:szCs w:val="23"/>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604</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9"/>
        </w:trPr>
        <w:tc>
          <w:tcPr>
            <w:tcW w:w="3420" w:type="dxa"/>
            <w:vAlign w:val="bottom"/>
          </w:tcPr>
          <w:p>
            <w:pPr>
              <w:spacing w:after="0"/>
              <w:rPr>
                <w:sz w:val="20"/>
                <w:szCs w:val="20"/>
                <w:color w:val="auto"/>
              </w:rPr>
            </w:pPr>
            <w:r>
              <w:rPr>
                <w:rFonts w:ascii="Arial" w:cs="Arial" w:eastAsia="Arial" w:hAnsi="Arial"/>
                <w:sz w:val="14"/>
                <w:szCs w:val="14"/>
                <w:color w:val="auto"/>
              </w:rPr>
              <w:t>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203</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2"/>
        </w:trPr>
        <w:tc>
          <w:tcPr>
            <w:tcW w:w="3420" w:type="dxa"/>
            <w:vAlign w:val="bottom"/>
          </w:tcPr>
          <w:p>
            <w:pPr>
              <w:spacing w:after="0"/>
              <w:rPr>
                <w:sz w:val="20"/>
                <w:szCs w:val="20"/>
                <w:color w:val="auto"/>
              </w:rPr>
            </w:pPr>
            <w:r>
              <w:rPr>
                <w:rFonts w:ascii="Arial" w:cs="Arial" w:eastAsia="Arial" w:hAnsi="Arial"/>
                <w:sz w:val="14"/>
                <w:szCs w:val="14"/>
                <w:color w:val="auto"/>
              </w:rPr>
              <w:t>Operating margin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392"/>
        </w:trPr>
        <w:tc>
          <w:tcPr>
            <w:tcW w:w="3420" w:type="dxa"/>
            <w:vAlign w:val="bottom"/>
          </w:tcPr>
          <w:p>
            <w:pPr>
              <w:spacing w:after="0"/>
              <w:rPr>
                <w:sz w:val="20"/>
                <w:szCs w:val="20"/>
                <w:color w:val="auto"/>
              </w:rPr>
            </w:pPr>
            <w:r>
              <w:rPr>
                <w:rFonts w:ascii="Arial" w:cs="Arial" w:eastAsia="Arial" w:hAnsi="Arial"/>
                <w:sz w:val="14"/>
                <w:szCs w:val="14"/>
                <w:b w:val="1"/>
                <w:bCs w:val="1"/>
                <w:color w:val="auto"/>
              </w:rPr>
              <w:t xml:space="preserve">First Data </w:t>
            </w:r>
            <w:r>
              <w:rPr>
                <w:rFonts w:ascii="Arial" w:cs="Arial" w:eastAsia="Arial" w:hAnsi="Arial"/>
                <w:sz w:val="8"/>
                <w:szCs w:val="8"/>
                <w:b w:val="1"/>
                <w:bCs w:val="1"/>
                <w:color w:val="auto"/>
              </w:rPr>
              <w:t>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First Data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2,369</w:t>
            </w:r>
          </w:p>
        </w:tc>
        <w:tc>
          <w:tcPr>
            <w:tcW w:w="12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2,399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9,498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2,485</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Intercompany eliminations </w:t>
            </w:r>
            <w:r>
              <w:rPr>
                <w:rFonts w:ascii="Arial" w:cs="Arial" w:eastAsia="Arial" w:hAnsi="Arial"/>
                <w:sz w:val="8"/>
                <w:szCs w:val="8"/>
                <w:color w:val="auto"/>
              </w:rPr>
              <w:t>1</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Output Solutions postage reimbursements</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(176)</w:t>
            </w: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Merchant Services adjustment </w:t>
            </w:r>
            <w:r>
              <w:rPr>
                <w:rFonts w:ascii="Arial" w:cs="Arial" w:eastAsia="Arial" w:hAnsi="Arial"/>
                <w:sz w:val="8"/>
                <w:szCs w:val="8"/>
                <w:color w:val="auto"/>
              </w:rPr>
              <w:t>2</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First Data adjusted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2,095</w:t>
            </w:r>
          </w:p>
        </w:tc>
        <w:tc>
          <w:tcPr>
            <w:tcW w:w="1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8,387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2,199</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01"/>
        </w:trPr>
        <w:tc>
          <w:tcPr>
            <w:tcW w:w="3420" w:type="dxa"/>
            <w:vAlign w:val="bottom"/>
          </w:tcPr>
          <w:p>
            <w:pPr>
              <w:spacing w:after="0"/>
              <w:rPr>
                <w:sz w:val="20"/>
                <w:szCs w:val="20"/>
                <w:color w:val="auto"/>
              </w:rPr>
            </w:pPr>
            <w:r>
              <w:rPr>
                <w:rFonts w:ascii="Arial" w:cs="Arial" w:eastAsia="Arial" w:hAnsi="Arial"/>
                <w:sz w:val="14"/>
                <w:szCs w:val="14"/>
                <w:color w:val="auto"/>
              </w:rPr>
              <w:t>First Data operating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2,345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649</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Merger and integration costs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Severance and restructuring costs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Amortization of acquisition-related intangible assets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100</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 xml:space="preserve">Merchant Services adjustment </w:t>
            </w:r>
            <w:r>
              <w:rPr>
                <w:rFonts w:ascii="Arial" w:cs="Arial" w:eastAsia="Arial" w:hAnsi="Arial"/>
                <w:sz w:val="8"/>
                <w:szCs w:val="8"/>
                <w:color w:val="auto"/>
              </w:rPr>
              <w:t>2</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w:t>
            </w: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(Gain) loss on sale of businesses</w:t>
            </w:r>
          </w:p>
        </w:tc>
        <w:tc>
          <w:tcPr>
            <w:tcW w:w="1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First Data adjusted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2,534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686</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60"/>
        </w:trPr>
        <w:tc>
          <w:tcPr>
            <w:tcW w:w="3420" w:type="dxa"/>
            <w:vAlign w:val="bottom"/>
          </w:tcPr>
          <w:p>
            <w:pPr>
              <w:spacing w:after="0"/>
              <w:rPr>
                <w:sz w:val="20"/>
                <w:szCs w:val="20"/>
                <w:color w:val="auto"/>
              </w:rPr>
            </w:pPr>
            <w:r>
              <w:rPr>
                <w:rFonts w:ascii="Arial" w:cs="Arial" w:eastAsia="Arial" w:hAnsi="Arial"/>
                <w:sz w:val="14"/>
                <w:szCs w:val="14"/>
                <w:color w:val="auto"/>
              </w:rPr>
              <w:t>First Data operating margin</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First Data adjusted operating margin</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392"/>
        </w:trPr>
        <w:tc>
          <w:tcPr>
            <w:tcW w:w="3420" w:type="dxa"/>
            <w:vAlign w:val="bottom"/>
          </w:tcPr>
          <w:p>
            <w:pPr>
              <w:spacing w:after="0"/>
              <w:rPr>
                <w:sz w:val="20"/>
                <w:szCs w:val="20"/>
                <w:color w:val="auto"/>
              </w:rPr>
            </w:pPr>
            <w:r>
              <w:rPr>
                <w:rFonts w:ascii="Arial" w:cs="Arial" w:eastAsia="Arial" w:hAnsi="Arial"/>
                <w:sz w:val="14"/>
                <w:szCs w:val="14"/>
                <w:b w:val="1"/>
                <w:bCs w:val="1"/>
                <w:color w:val="auto"/>
              </w:rPr>
              <w:t>Corporate and Other</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3420" w:type="dxa"/>
            <w:vAlign w:val="bottom"/>
          </w:tcPr>
          <w:p>
            <w:pPr>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60"/>
        </w:trPr>
        <w:tc>
          <w:tcPr>
            <w:tcW w:w="3420" w:type="dxa"/>
            <w:vAlign w:val="bottom"/>
          </w:tcPr>
          <w:p>
            <w:pPr>
              <w:spacing w:after="0"/>
              <w:rPr>
                <w:sz w:val="20"/>
                <w:szCs w:val="20"/>
                <w:color w:val="auto"/>
              </w:rPr>
            </w:pPr>
            <w:r>
              <w:rPr>
                <w:rFonts w:ascii="Arial" w:cs="Arial" w:eastAsia="Arial" w:hAnsi="Arial"/>
                <w:sz w:val="14"/>
                <w:szCs w:val="14"/>
                <w:color w:val="auto"/>
              </w:rPr>
              <w:t>Operating (loss)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First Data operating (loss) income</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w:t>
            </w: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Merger and integration costs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35</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Severance and restructuring costs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17</w:t>
            </w:r>
          </w:p>
        </w:tc>
      </w:tr>
      <w:tr>
        <w:trPr>
          <w:trHeight w:val="270"/>
        </w:trPr>
        <w:tc>
          <w:tcPr>
            <w:tcW w:w="3420" w:type="dxa"/>
            <w:vAlign w:val="bottom"/>
          </w:tcPr>
          <w:p>
            <w:pPr>
              <w:ind w:left="140"/>
              <w:spacing w:after="0"/>
              <w:rPr>
                <w:sz w:val="20"/>
                <w:szCs w:val="20"/>
                <w:color w:val="auto"/>
              </w:rPr>
            </w:pPr>
            <w:r>
              <w:rPr>
                <w:rFonts w:ascii="Arial" w:cs="Arial" w:eastAsia="Arial" w:hAnsi="Arial"/>
                <w:sz w:val="14"/>
                <w:szCs w:val="14"/>
                <w:color w:val="auto"/>
              </w:rPr>
              <w:t>Amortization of acquisition-related intangible assets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44</w:t>
            </w:r>
          </w:p>
        </w:tc>
      </w:tr>
      <w:tr>
        <w:trPr>
          <w:trHeight w:val="276"/>
        </w:trPr>
        <w:tc>
          <w:tcPr>
            <w:tcW w:w="3420" w:type="dxa"/>
            <w:vAlign w:val="bottom"/>
          </w:tcPr>
          <w:p>
            <w:pPr>
              <w:ind w:left="140"/>
              <w:spacing w:after="0"/>
              <w:rPr>
                <w:sz w:val="20"/>
                <w:szCs w:val="20"/>
                <w:color w:val="auto"/>
              </w:rPr>
            </w:pPr>
            <w:r>
              <w:rPr>
                <w:rFonts w:ascii="Arial" w:cs="Arial" w:eastAsia="Arial" w:hAnsi="Arial"/>
                <w:sz w:val="14"/>
                <w:szCs w:val="14"/>
                <w:color w:val="auto"/>
              </w:rPr>
              <w:t>(Gain) loss on sale of businesses</w:t>
            </w:r>
          </w:p>
        </w:tc>
        <w:tc>
          <w:tcPr>
            <w:tcW w:w="1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2"/>
        </w:trPr>
        <w:tc>
          <w:tcPr>
            <w:tcW w:w="3420" w:type="dxa"/>
            <w:vAlign w:val="bottom"/>
          </w:tcPr>
          <w:p>
            <w:pPr>
              <w:spacing w:after="0"/>
              <w:rPr>
                <w:sz w:val="20"/>
                <w:szCs w:val="20"/>
                <w:color w:val="auto"/>
              </w:rPr>
            </w:pPr>
            <w:r>
              <w:rPr>
                <w:rFonts w:ascii="Arial" w:cs="Arial" w:eastAsia="Arial" w:hAnsi="Arial"/>
                <w:sz w:val="14"/>
                <w:szCs w:val="14"/>
                <w:color w:val="auto"/>
              </w:rPr>
              <w:t>Combined adjusted operating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See page 1 for disclosures related to the use of non-GAAP financial measures.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Operating margin percentages are calculated using actual, unrounded amounts.</w:t>
      </w:r>
    </w:p>
    <w:p>
      <w:pPr>
        <w:spacing w:after="0" w:line="156"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the elimination of intercompany revenue and expense between First Data and the Company.</w:t>
      </w:r>
    </w:p>
    <w:p>
      <w:pPr>
        <w:spacing w:after="0" w:line="55" w:lineRule="exact"/>
        <w:rPr>
          <w:sz w:val="20"/>
          <w:szCs w:val="20"/>
          <w:color w:val="auto"/>
        </w:rPr>
      </w:pPr>
    </w:p>
    <w:p>
      <w:pPr>
        <w:ind w:left="460" w:right="80" w:hanging="330"/>
        <w:spacing w:after="0" w:line="247" w:lineRule="auto"/>
        <w:tabs>
          <w:tab w:leader="none" w:pos="46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an adjustment primarily related to the Company's joint venture with Bank of America. The Company and Bank of America jointly announced the dissolution of the Banc of America Merchant Services joint venture ("BAMS"), to be effective June 2020. The Company owns 51% of BAMS and BAMS' financial results are 100% consolidated into the Company's financial statements for GAAP reporting purposes. Upon dissolution of the joint venture, the Company is entitled to receive a 51% share of the joint venture's value via an agreed upon contractual process. In addition, Bank of America has the right to require the Company to continue providing merchant processing and related services to the joint venture clients allocated to Bank of America in the dissolution of the joint venture through June 2023 at current pricing. The Company anticipates an ongoing relationship with Bank of America to provide processing and other</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80" w:top="522" w:right="239" w:bottom="1440" w:gutter="0" w:footer="0" w:header="0"/>
        </w:sectPr>
      </w:pPr>
    </w:p>
    <w:bookmarkStart w:id="12" w:name="page13"/>
    <w:bookmarkEnd w:id="12"/>
    <w:p>
      <w:pPr>
        <w:ind w:left="330"/>
        <w:spacing w:after="0"/>
        <w:rPr>
          <w:sz w:val="20"/>
          <w:szCs w:val="20"/>
          <w:color w:val="auto"/>
        </w:rPr>
      </w:pPr>
      <w:r>
        <w:rPr>
          <w:rFonts w:ascii="Arial" w:cs="Arial" w:eastAsia="Arial" w:hAnsi="Arial"/>
          <w:sz w:val="13"/>
          <w:szCs w:val="13"/>
          <w:color w:val="auto"/>
        </w:rPr>
        <w:t>support services to other Bank of America merchant clients following the joint venture's dissolution. The non-GAAP adjustment reduces adjusted revenue and adjusted operating income by</w:t>
      </w:r>
    </w:p>
    <w:p>
      <w:pPr>
        <w:spacing w:after="0" w:line="107" w:lineRule="exact"/>
        <w:rPr>
          <w:sz w:val="20"/>
          <w:szCs w:val="20"/>
          <w:color w:val="auto"/>
        </w:rPr>
      </w:pPr>
    </w:p>
    <w:p>
      <w:pPr>
        <w:ind w:left="330"/>
        <w:spacing w:after="0"/>
        <w:rPr>
          <w:sz w:val="20"/>
          <w:szCs w:val="20"/>
          <w:color w:val="auto"/>
        </w:rPr>
      </w:pPr>
      <w:r>
        <w:rPr>
          <w:rFonts w:ascii="Arial" w:cs="Arial" w:eastAsia="Arial" w:hAnsi="Arial"/>
          <w:sz w:val="12"/>
          <w:szCs w:val="12"/>
          <w:color w:val="auto"/>
        </w:rPr>
        <w:t>Bank of America's share of ownership, net of processing and support services revenue. This results in adjusted revenue and adjusted operating income which represents the Company's share</w:t>
      </w:r>
    </w:p>
    <w:p>
      <w:pPr>
        <w:spacing w:after="0" w:line="119" w:lineRule="exact"/>
        <w:rPr>
          <w:sz w:val="20"/>
          <w:szCs w:val="20"/>
          <w:color w:val="auto"/>
        </w:rPr>
      </w:pPr>
    </w:p>
    <w:p>
      <w:pPr>
        <w:ind w:left="330"/>
        <w:spacing w:after="0"/>
        <w:rPr>
          <w:sz w:val="20"/>
          <w:szCs w:val="20"/>
          <w:color w:val="auto"/>
        </w:rPr>
      </w:pPr>
      <w:r>
        <w:rPr>
          <w:rFonts w:ascii="Arial" w:cs="Arial" w:eastAsia="Arial" w:hAnsi="Arial"/>
          <w:sz w:val="14"/>
          <w:szCs w:val="14"/>
          <w:color w:val="auto"/>
        </w:rPr>
        <w:t>of the joint venture that is expected to be retained by the Company upon dissolution.</w:t>
      </w:r>
    </w:p>
    <w:p>
      <w:pPr>
        <w:spacing w:after="0" w:line="96" w:lineRule="exact"/>
        <w:rPr>
          <w:sz w:val="20"/>
          <w:szCs w:val="20"/>
          <w:color w:val="auto"/>
        </w:rPr>
      </w:pPr>
    </w:p>
    <w:p>
      <w:pPr>
        <w:ind w:left="330" w:hanging="330"/>
        <w:spacing w:after="0"/>
        <w:tabs>
          <w:tab w:leader="none" w:pos="330" w:val="left"/>
        </w:tabs>
        <w:numPr>
          <w:ilvl w:val="0"/>
          <w:numId w:val="13"/>
        </w:numPr>
        <w:rPr>
          <w:rFonts w:ascii="Arial" w:cs="Arial" w:eastAsia="Arial" w:hAnsi="Arial"/>
          <w:sz w:val="9"/>
          <w:szCs w:val="9"/>
          <w:color w:val="auto"/>
        </w:rPr>
      </w:pPr>
      <w:r>
        <w:rPr>
          <w:rFonts w:ascii="Arial" w:cs="Arial" w:eastAsia="Arial" w:hAnsi="Arial"/>
          <w:sz w:val="14"/>
          <w:szCs w:val="14"/>
          <w:color w:val="auto"/>
        </w:rPr>
        <w:t>Adjustment reflects the conformity of historical amounts to be consistent with the combined company's Output Solutions postage reimbursements.</w:t>
      </w:r>
    </w:p>
    <w:p>
      <w:pPr>
        <w:spacing w:after="0" w:line="55" w:lineRule="exact"/>
        <w:rPr>
          <w:sz w:val="20"/>
          <w:szCs w:val="20"/>
          <w:color w:val="auto"/>
        </w:rPr>
      </w:pPr>
    </w:p>
    <w:p>
      <w:pPr>
        <w:ind w:left="330" w:right="120" w:hanging="330"/>
        <w:spacing w:after="0" w:line="273" w:lineRule="auto"/>
        <w:tabs>
          <w:tab w:leader="none" w:pos="33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the results of First Data less amounts included in the Corporate and Other segment consisting of intercompany eliminations, unallocated corporate expenses and other activities that are not considered when management evaluates First Data segment performance.</w:t>
      </w:r>
    </w:p>
    <w:p>
      <w:pPr>
        <w:spacing w:after="0" w:line="205" w:lineRule="exact"/>
        <w:rPr>
          <w:sz w:val="20"/>
          <w:szCs w:val="20"/>
          <w:color w:val="auto"/>
        </w:rPr>
      </w:pPr>
    </w:p>
    <w:p>
      <w:pPr>
        <w:jc w:val="center"/>
        <w:ind w:right="11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0"/>
          </w:cols>
          <w:pgMar w:left="410" w:top="472"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Fiserv,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Internal Revenue Growth by Segment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unaudited)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First Quarter</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Second Quarter</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to Date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Growth</w:t>
            </w:r>
          </w:p>
        </w:tc>
        <w:tc>
          <w:tcPr>
            <w:tcW w:w="160" w:type="dxa"/>
            <w:vAlign w:val="bottom"/>
          </w:tcPr>
          <w:p>
            <w:pPr>
              <w:spacing w:after="0"/>
              <w:rPr>
                <w:sz w:val="22"/>
                <w:szCs w:val="22"/>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Growth</w:t>
            </w:r>
          </w:p>
        </w:tc>
        <w:tc>
          <w:tcPr>
            <w:tcW w:w="180" w:type="dxa"/>
            <w:vAlign w:val="bottom"/>
          </w:tcPr>
          <w:p>
            <w:pPr>
              <w:spacing w:after="0"/>
              <w:rPr>
                <w:sz w:val="22"/>
                <w:szCs w:val="22"/>
                <w:color w:val="auto"/>
              </w:rPr>
            </w:pPr>
          </w:p>
        </w:tc>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Growth</w:t>
            </w:r>
          </w:p>
        </w:tc>
        <w:tc>
          <w:tcPr>
            <w:tcW w:w="0" w:type="dxa"/>
            <w:vAlign w:val="bottom"/>
          </w:tcPr>
          <w:p>
            <w:pPr>
              <w:spacing w:after="0"/>
              <w:rPr>
                <w:sz w:val="1"/>
                <w:szCs w:val="1"/>
                <w:color w:val="auto"/>
              </w:rPr>
            </w:pPr>
          </w:p>
        </w:tc>
      </w:tr>
      <w:tr>
        <w:trPr>
          <w:trHeight w:val="258"/>
        </w:trPr>
        <w:tc>
          <w:tcPr>
            <w:tcW w:w="3300" w:type="dxa"/>
            <w:vAlign w:val="bottom"/>
          </w:tcPr>
          <w:p>
            <w:pPr>
              <w:spacing w:after="0"/>
              <w:rPr>
                <w:sz w:val="20"/>
                <w:szCs w:val="20"/>
                <w:color w:val="auto"/>
              </w:rPr>
            </w:pPr>
            <w:r>
              <w:rPr>
                <w:rFonts w:ascii="Arial" w:cs="Arial" w:eastAsia="Arial" w:hAnsi="Arial"/>
                <w:sz w:val="14"/>
                <w:szCs w:val="14"/>
                <w:b w:val="1"/>
                <w:bCs w:val="1"/>
                <w:color w:val="auto"/>
              </w:rPr>
              <w:t>Total Company</w:t>
            </w: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Combined adjusted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3,473</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3,376</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3,643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3,504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7,116</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6,880</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 xml:space="preserve">Currency impact </w:t>
            </w:r>
            <w:r>
              <w:rPr>
                <w:rFonts w:ascii="Arial" w:cs="Arial" w:eastAsia="Arial" w:hAnsi="Arial"/>
                <w:sz w:val="8"/>
                <w:szCs w:val="8"/>
                <w:color w:val="auto"/>
              </w:rPr>
              <w:t>1</w:t>
            </w:r>
          </w:p>
        </w:tc>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Acquisition adjustments</w:t>
            </w:r>
          </w:p>
        </w:tc>
        <w:tc>
          <w:tcPr>
            <w:tcW w:w="18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Divestiture adjustments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Combined internal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3,274</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3,653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88"/>
              </w:rPr>
              <w:t>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7,146</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6,720</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Payments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Adjusted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849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 xml:space="preserve">Currency impact </w:t>
            </w:r>
            <w:r>
              <w:rPr>
                <w:rFonts w:ascii="Arial" w:cs="Arial" w:eastAsia="Arial" w:hAnsi="Arial"/>
                <w:sz w:val="8"/>
                <w:szCs w:val="8"/>
                <w:color w:val="auto"/>
              </w:rPr>
              <w:t>1</w:t>
            </w:r>
          </w:p>
        </w:tc>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Acquisition adjustments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Internal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805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88"/>
              </w:rPr>
              <w:t>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Financial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Adjusted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598</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1,202</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 xml:space="preserve">Currency impact </w:t>
            </w:r>
            <w:r>
              <w:rPr>
                <w:rFonts w:ascii="Arial" w:cs="Arial" w:eastAsia="Arial" w:hAnsi="Arial"/>
                <w:sz w:val="8"/>
                <w:szCs w:val="8"/>
                <w:color w:val="auto"/>
              </w:rPr>
              <w:t>1</w:t>
            </w:r>
          </w:p>
        </w:tc>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Divestiture adjustments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Internal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605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88"/>
              </w:rPr>
              <w:t>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1,204</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First Data</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Adjusted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2,049</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2,199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2,155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4,248</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4,172</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 xml:space="preserve">Currency impact </w:t>
            </w:r>
            <w:r>
              <w:rPr>
                <w:rFonts w:ascii="Arial" w:cs="Arial" w:eastAsia="Arial" w:hAnsi="Arial"/>
                <w:sz w:val="8"/>
                <w:szCs w:val="8"/>
                <w:color w:val="auto"/>
              </w:rPr>
              <w:t>1</w:t>
            </w:r>
          </w:p>
        </w:tc>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Acquisition adjustments</w:t>
            </w:r>
          </w:p>
        </w:tc>
        <w:tc>
          <w:tcPr>
            <w:tcW w:w="18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Divestiture adjustments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Internal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1,969</w:t>
            </w:r>
          </w:p>
        </w:tc>
        <w:tc>
          <w:tcPr>
            <w:tcW w:w="1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2,261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color w:val="auto"/>
                <w:w w:val="88"/>
              </w:rPr>
              <w:t>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4,382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4,076</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8%</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Corporate and Other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Adjusted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Divestiture adjustments</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Internal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n/m</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n/m</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See page 1 for disclosures related to the use of non-GAAP financial measures.</w:t>
      </w:r>
    </w:p>
    <w:p>
      <w:pPr>
        <w:spacing w:after="0" w:line="190" w:lineRule="exact"/>
        <w:rPr>
          <w:sz w:val="20"/>
          <w:szCs w:val="20"/>
          <w:color w:val="auto"/>
        </w:rPr>
      </w:pPr>
    </w:p>
    <w:p>
      <w:pPr>
        <w:ind w:left="340" w:right="360" w:hanging="332"/>
        <w:spacing w:after="0" w:line="233" w:lineRule="auto"/>
        <w:tabs>
          <w:tab w:leader="none" w:pos="34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4"/>
          <w:szCs w:val="14"/>
          <w:b w:val="1"/>
          <w:bCs w:val="1"/>
          <w:color w:val="auto"/>
        </w:rPr>
        <w:t>Fiserv, Inc.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Free Cash Flow</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millions,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w:t>
            </w: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 Quarter</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w:t>
            </w:r>
          </w:p>
        </w:tc>
        <w:tc>
          <w:tcPr>
            <w:tcW w:w="16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Full Year</w:t>
            </w:r>
          </w:p>
        </w:tc>
        <w:tc>
          <w:tcPr>
            <w:tcW w:w="10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First Quarter</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Second Quarter</w:t>
            </w:r>
          </w:p>
        </w:tc>
        <w:tc>
          <w:tcPr>
            <w:tcW w:w="0" w:type="dxa"/>
            <w:vAlign w:val="bottom"/>
          </w:tcPr>
          <w:p>
            <w:pPr>
              <w:spacing w:after="0"/>
              <w:rPr>
                <w:sz w:val="1"/>
                <w:szCs w:val="1"/>
                <w:color w:val="auto"/>
              </w:rPr>
            </w:pPr>
          </w:p>
        </w:tc>
      </w:tr>
      <w:tr>
        <w:trPr>
          <w:trHeight w:val="244"/>
        </w:trPr>
        <w:tc>
          <w:tcPr>
            <w:tcW w:w="3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1"/>
                <w:szCs w:val="21"/>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1"/>
                <w:szCs w:val="21"/>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First Data net cash provided by operating activities</w:t>
            </w:r>
          </w:p>
        </w:tc>
        <w:tc>
          <w:tcPr>
            <w:tcW w:w="1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4"/>
                <w:szCs w:val="14"/>
                <w:color w:val="auto"/>
              </w:rPr>
              <w:t xml:space="preserve">First Data payments for contract assets </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0"/>
        </w:trPr>
        <w:tc>
          <w:tcPr>
            <w:tcW w:w="34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3420" w:type="dxa"/>
            <w:vAlign w:val="bottom"/>
          </w:tcPr>
          <w:p>
            <w:pPr>
              <w:spacing w:after="0"/>
              <w:rPr>
                <w:sz w:val="20"/>
                <w:szCs w:val="20"/>
                <w:color w:val="auto"/>
              </w:rPr>
            </w:pPr>
            <w:r>
              <w:rPr>
                <w:rFonts w:ascii="Arial" w:cs="Arial" w:eastAsia="Arial" w:hAnsi="Arial"/>
                <w:sz w:val="14"/>
                <w:szCs w:val="14"/>
                <w:color w:val="auto"/>
              </w:rPr>
              <w:t>Combined net cash provided by operating activities</w:t>
            </w:r>
          </w:p>
        </w:tc>
        <w:tc>
          <w:tcPr>
            <w:tcW w:w="100" w:type="dxa"/>
            <w:vAlign w:val="bottom"/>
          </w:tcPr>
          <w:p>
            <w:pPr>
              <w:spacing w:after="0"/>
              <w:rPr>
                <w:sz w:val="21"/>
                <w:szCs w:val="21"/>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3,781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capital expenditures</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adjustments: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60"/>
              <w:spacing w:after="0"/>
              <w:rPr>
                <w:sz w:val="20"/>
                <w:szCs w:val="20"/>
                <w:color w:val="auto"/>
              </w:rPr>
            </w:pPr>
            <w:r>
              <w:rPr>
                <w:rFonts w:ascii="Arial" w:cs="Arial" w:eastAsia="Arial" w:hAnsi="Arial"/>
                <w:sz w:val="14"/>
                <w:szCs w:val="14"/>
                <w:color w:val="auto"/>
              </w:rPr>
              <w:t>Distributions and dividends paid to noncontrolling</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60"/>
              <w:spacing w:after="0"/>
              <w:rPr>
                <w:sz w:val="20"/>
                <w:szCs w:val="20"/>
                <w:color w:val="auto"/>
              </w:rPr>
            </w:pPr>
            <w:r>
              <w:rPr>
                <w:rFonts w:ascii="Arial" w:cs="Arial" w:eastAsia="Arial" w:hAnsi="Arial"/>
                <w:sz w:val="14"/>
                <w:szCs w:val="14"/>
                <w:color w:val="auto"/>
              </w:rPr>
              <w:t>interests and redeemable noncontrolling interest</w:t>
            </w:r>
          </w:p>
        </w:tc>
        <w:tc>
          <w:tcPr>
            <w:tcW w:w="1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2"/>
        </w:trPr>
        <w:tc>
          <w:tcPr>
            <w:tcW w:w="3420" w:type="dxa"/>
            <w:vAlign w:val="bottom"/>
          </w:tcPr>
          <w:p>
            <w:pPr>
              <w:ind w:left="260"/>
              <w:spacing w:after="0"/>
              <w:rPr>
                <w:sz w:val="20"/>
                <w:szCs w:val="20"/>
                <w:color w:val="auto"/>
              </w:rPr>
            </w:pPr>
            <w:r>
              <w:rPr>
                <w:rFonts w:ascii="Arial" w:cs="Arial" w:eastAsia="Arial" w:hAnsi="Arial"/>
                <w:sz w:val="14"/>
                <w:szCs w:val="14"/>
                <w:color w:val="auto"/>
              </w:rPr>
              <w:t>Severance, restructuring, merger and integration</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20" w:type="dxa"/>
            <w:vAlign w:val="bottom"/>
          </w:tcPr>
          <w:p>
            <w:pPr>
              <w:ind w:left="260"/>
              <w:spacing w:after="0"/>
              <w:rPr>
                <w:sz w:val="20"/>
                <w:szCs w:val="20"/>
                <w:color w:val="auto"/>
              </w:rPr>
            </w:pPr>
            <w:r>
              <w:rPr>
                <w:rFonts w:ascii="Arial" w:cs="Arial" w:eastAsia="Arial" w:hAnsi="Arial"/>
                <w:sz w:val="14"/>
                <w:szCs w:val="14"/>
                <w:color w:val="auto"/>
              </w:rPr>
              <w:t>payments</w:t>
            </w:r>
          </w:p>
        </w:tc>
        <w:tc>
          <w:tcPr>
            <w:tcW w:w="10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3420" w:type="dxa"/>
            <w:vAlign w:val="bottom"/>
          </w:tcPr>
          <w:p>
            <w:pPr>
              <w:ind w:left="260"/>
              <w:spacing w:after="0"/>
              <w:rPr>
                <w:sz w:val="20"/>
                <w:szCs w:val="20"/>
                <w:color w:val="auto"/>
              </w:rPr>
            </w:pPr>
            <w:r>
              <w:rPr>
                <w:rFonts w:ascii="Arial" w:cs="Arial" w:eastAsia="Arial" w:hAnsi="Arial"/>
                <w:sz w:val="14"/>
                <w:szCs w:val="14"/>
                <w:color w:val="auto"/>
              </w:rPr>
              <w:t>Settlement of interest rate hedge contracts</w:t>
            </w:r>
          </w:p>
        </w:tc>
        <w:tc>
          <w:tcPr>
            <w:tcW w:w="10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70"/>
        </w:trPr>
        <w:tc>
          <w:tcPr>
            <w:tcW w:w="3420" w:type="dxa"/>
            <w:vAlign w:val="bottom"/>
          </w:tcPr>
          <w:p>
            <w:pPr>
              <w:ind w:left="260"/>
              <w:spacing w:after="0"/>
              <w:rPr>
                <w:sz w:val="20"/>
                <w:szCs w:val="20"/>
                <w:color w:val="auto"/>
              </w:rPr>
            </w:pPr>
            <w:r>
              <w:rPr>
                <w:rFonts w:ascii="Arial" w:cs="Arial" w:eastAsia="Arial" w:hAnsi="Arial"/>
                <w:sz w:val="14"/>
                <w:szCs w:val="14"/>
                <w:color w:val="auto"/>
              </w:rPr>
              <w:t>Tax reform payments</w:t>
            </w:r>
          </w:p>
        </w:tc>
        <w:tc>
          <w:tcPr>
            <w:tcW w:w="10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20" w:type="dxa"/>
            <w:vAlign w:val="bottom"/>
          </w:tcPr>
          <w:p>
            <w:pPr>
              <w:ind w:left="260"/>
              <w:spacing w:after="0"/>
              <w:rPr>
                <w:sz w:val="20"/>
                <w:szCs w:val="20"/>
                <w:color w:val="auto"/>
              </w:rPr>
            </w:pPr>
            <w:r>
              <w:rPr>
                <w:rFonts w:ascii="Arial" w:cs="Arial" w:eastAsia="Arial" w:hAnsi="Arial"/>
                <w:sz w:val="14"/>
                <w:szCs w:val="14"/>
                <w:color w:val="auto"/>
              </w:rPr>
              <w:t>Tax payments on adjustments and debt financing</w:t>
            </w:r>
          </w:p>
        </w:tc>
        <w:tc>
          <w:tcPr>
            <w:tcW w:w="1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3420" w:type="dxa"/>
            <w:vAlign w:val="bottom"/>
          </w:tcPr>
          <w:p>
            <w:pPr>
              <w:ind w:left="2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3"/>
        </w:trPr>
        <w:tc>
          <w:tcPr>
            <w:tcW w:w="3420" w:type="dxa"/>
            <w:vAlign w:val="bottom"/>
          </w:tcPr>
          <w:p>
            <w:pPr>
              <w:ind w:left="480"/>
              <w:spacing w:after="0"/>
              <w:rPr>
                <w:sz w:val="20"/>
                <w:szCs w:val="20"/>
                <w:color w:val="auto"/>
              </w:rPr>
            </w:pPr>
            <w:r>
              <w:rPr>
                <w:rFonts w:ascii="Arial" w:cs="Arial" w:eastAsia="Arial" w:hAnsi="Arial"/>
                <w:sz w:val="14"/>
                <w:szCs w:val="14"/>
                <w:color w:val="auto"/>
              </w:rPr>
              <w:t>Combined free cash flow</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420" w:type="dxa"/>
            <w:vAlign w:val="bottom"/>
          </w:tcPr>
          <w:p>
            <w:pPr>
              <w:spacing w:after="0"/>
              <w:rPr>
                <w:sz w:val="20"/>
                <w:szCs w:val="20"/>
                <w:color w:val="auto"/>
              </w:rPr>
            </w:pPr>
            <w:r>
              <w:rPr>
                <w:rFonts w:ascii="Arial" w:cs="Arial" w:eastAsia="Arial" w:hAnsi="Arial"/>
                <w:sz w:val="14"/>
                <w:szCs w:val="14"/>
                <w:color w:val="auto"/>
              </w:rPr>
              <w:t>Combined adjusted net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4"/>
                <w:szCs w:val="14"/>
                <w:color w:val="auto"/>
              </w:rPr>
              <w:t>Combined free cash flow conversion</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392"/>
        </w:trPr>
        <w:tc>
          <w:tcPr>
            <w:tcW w:w="3420" w:type="dxa"/>
            <w:vAlign w:val="bottom"/>
          </w:tcPr>
          <w:p>
            <w:pPr>
              <w:spacing w:after="0"/>
              <w:rPr>
                <w:sz w:val="20"/>
                <w:szCs w:val="20"/>
                <w:color w:val="auto"/>
              </w:rPr>
            </w:pPr>
            <w:r>
              <w:rPr>
                <w:rFonts w:ascii="Arial" w:cs="Arial" w:eastAsia="Arial" w:hAnsi="Arial"/>
                <w:sz w:val="14"/>
                <w:szCs w:val="14"/>
                <w:color w:val="auto"/>
              </w:rPr>
              <w:t>GAAP net income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Ratio of net cash provided by operating activities to</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4"/>
                <w:szCs w:val="14"/>
                <w:color w:val="auto"/>
              </w:rPr>
              <w:t>GAAP net income</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See page 1 for disclosures related to the use of non-GAAP financial measures.</w:t>
      </w:r>
    </w:p>
    <w:p>
      <w:pPr>
        <w:spacing w:after="0" w:line="217" w:lineRule="exact"/>
        <w:rPr>
          <w:sz w:val="20"/>
          <w:szCs w:val="20"/>
          <w:color w:val="auto"/>
        </w:rPr>
      </w:pPr>
    </w:p>
    <w:p>
      <w:pPr>
        <w:ind w:left="480" w:hanging="330"/>
        <w:spacing w:after="0"/>
        <w:tabs>
          <w:tab w:leader="none" w:pos="480" w:val="left"/>
        </w:tabs>
        <w:numPr>
          <w:ilvl w:val="0"/>
          <w:numId w:val="16"/>
        </w:numPr>
        <w:rPr>
          <w:rFonts w:ascii="Arial" w:cs="Arial" w:eastAsia="Arial" w:hAnsi="Arial"/>
          <w:sz w:val="9"/>
          <w:szCs w:val="9"/>
          <w:color w:val="auto"/>
        </w:rPr>
      </w:pPr>
      <w:r>
        <w:rPr>
          <w:rFonts w:ascii="Arial" w:cs="Arial" w:eastAsia="Arial" w:hAnsi="Arial"/>
          <w:sz w:val="14"/>
          <w:szCs w:val="14"/>
          <w:color w:val="auto"/>
        </w:rPr>
        <w:t>Represents the conformity of First Data's historical classification of payments for contract assets to be consistent with the Company's classification and treatment.</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711" w:right="239" w:bottom="1440" w:gutter="0" w:footer="0" w:header="0"/>
        </w:sectPr>
      </w:pPr>
    </w:p>
    <w:bookmarkStart w:id="15" w:name="page16"/>
    <w:bookmarkEnd w:id="15"/>
    <w:p>
      <w:pPr>
        <w:jc w:val="center"/>
        <w:ind w:right="160"/>
        <w:spacing w:after="0"/>
        <w:rPr>
          <w:sz w:val="20"/>
          <w:szCs w:val="20"/>
          <w:color w:val="auto"/>
        </w:rPr>
      </w:pPr>
      <w:r>
        <w:rPr>
          <w:rFonts w:ascii="Arial" w:cs="Arial" w:eastAsia="Arial" w:hAnsi="Arial"/>
          <w:sz w:val="14"/>
          <w:szCs w:val="14"/>
          <w:b w:val="1"/>
          <w:bCs w:val="1"/>
          <w:color w:val="auto"/>
        </w:rPr>
        <w:t>Fiserv, Inc.</w:t>
      </w:r>
    </w:p>
    <w:p>
      <w:pPr>
        <w:spacing w:after="0" w:line="4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Total Amortization</w:t>
      </w:r>
    </w:p>
    <w:p>
      <w:pPr>
        <w:spacing w:after="0" w:line="46"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(In millions, unaudited)</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Second</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Fourth</w:t>
            </w:r>
          </w:p>
        </w:tc>
        <w:tc>
          <w:tcPr>
            <w:tcW w:w="140" w:type="dxa"/>
            <w:vAlign w:val="bottom"/>
          </w:tcPr>
          <w:p>
            <w:pPr>
              <w:spacing w:after="0"/>
              <w:rPr>
                <w:sz w:val="13"/>
                <w:szCs w:val="13"/>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Full Year</w:t>
            </w:r>
          </w:p>
        </w:tc>
        <w:tc>
          <w:tcPr>
            <w:tcW w:w="120" w:type="dxa"/>
            <w:vAlign w:val="bottom"/>
            <w:vMerge w:val="restart"/>
          </w:tcPr>
          <w:p>
            <w:pPr>
              <w:spacing w:after="0"/>
              <w:rPr>
                <w:sz w:val="13"/>
                <w:szCs w:val="13"/>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80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Second</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0"/>
                <w:szCs w:val="20"/>
                <w:color w:val="auto"/>
              </w:rPr>
            </w:pPr>
            <w:r>
              <w:rPr>
                <w:rFonts w:ascii="Arial" w:cs="Arial" w:eastAsia="Arial" w:hAnsi="Arial"/>
                <w:sz w:val="14"/>
                <w:szCs w:val="14"/>
                <w:color w:val="auto"/>
              </w:rPr>
              <w:t>Acquisition-related intangible assets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45</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Capitalized software</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Purchased software</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Financing costs, debt discounts and other</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Sales commissions</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3400" w:type="dxa"/>
            <w:vAlign w:val="bottom"/>
          </w:tcPr>
          <w:p>
            <w:pPr>
              <w:spacing w:after="0"/>
              <w:rPr>
                <w:sz w:val="20"/>
                <w:szCs w:val="20"/>
                <w:color w:val="auto"/>
              </w:rPr>
            </w:pPr>
            <w:r>
              <w:rPr>
                <w:rFonts w:ascii="Arial" w:cs="Arial" w:eastAsia="Arial" w:hAnsi="Arial"/>
                <w:sz w:val="14"/>
                <w:szCs w:val="14"/>
                <w:color w:val="auto"/>
              </w:rPr>
              <w:t>Deferred conversion costs</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4"/>
                <w:szCs w:val="14"/>
                <w:color w:val="auto"/>
              </w:rPr>
              <w:t>Total amortization</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400" w:type="dxa"/>
            <w:vAlign w:val="bottom"/>
          </w:tcPr>
          <w:p>
            <w:pPr>
              <w:spacing w:after="0"/>
              <w:rPr>
                <w:sz w:val="20"/>
                <w:szCs w:val="20"/>
                <w:color w:val="auto"/>
              </w:rPr>
            </w:pPr>
            <w:r>
              <w:rPr>
                <w:rFonts w:ascii="Arial" w:cs="Arial" w:eastAsia="Arial" w:hAnsi="Arial"/>
                <w:sz w:val="14"/>
                <w:szCs w:val="14"/>
                <w:color w:val="auto"/>
              </w:rPr>
              <w:t>First Data acquisition-related intangible assets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100</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First Data capitalized software</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First Data purchased software</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First Data financing costs, debt discounts and other</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First Data sales commissions</w:t>
            </w:r>
          </w:p>
        </w:tc>
        <w:tc>
          <w:tcPr>
            <w:tcW w:w="38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00" w:type="dxa"/>
            <w:vAlign w:val="bottom"/>
          </w:tcPr>
          <w:p>
            <w:pPr>
              <w:spacing w:after="0"/>
              <w:rPr>
                <w:sz w:val="20"/>
                <w:szCs w:val="20"/>
                <w:color w:val="auto"/>
              </w:rPr>
            </w:pPr>
            <w:r>
              <w:rPr>
                <w:rFonts w:ascii="Arial" w:cs="Arial" w:eastAsia="Arial" w:hAnsi="Arial"/>
                <w:sz w:val="14"/>
                <w:szCs w:val="14"/>
                <w:color w:val="auto"/>
              </w:rPr>
              <w:t>First Data deferred conversion costs</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4"/>
                <w:szCs w:val="14"/>
                <w:color w:val="auto"/>
              </w:rPr>
              <w:t>Total First Data amortization</w:t>
            </w: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1"/>
                <w:szCs w:val="21"/>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400" w:type="dxa"/>
            <w:vAlign w:val="bottom"/>
          </w:tcPr>
          <w:p>
            <w:pPr>
              <w:spacing w:after="0"/>
              <w:rPr>
                <w:sz w:val="20"/>
                <w:szCs w:val="20"/>
                <w:color w:val="auto"/>
              </w:rPr>
            </w:pPr>
            <w:r>
              <w:rPr>
                <w:rFonts w:ascii="Arial" w:cs="Arial" w:eastAsia="Arial" w:hAnsi="Arial"/>
                <w:sz w:val="14"/>
                <w:szCs w:val="14"/>
                <w:color w:val="auto"/>
              </w:rPr>
              <w:t>Combined acquisition-related intangible assets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145</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Combined capitalized software</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Combined purchased software</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Combined financing costs, debt discounts and other</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4"/>
                <w:szCs w:val="14"/>
                <w:color w:val="auto"/>
              </w:rPr>
              <w:t>Combined sales commissions</w:t>
            </w:r>
          </w:p>
        </w:tc>
        <w:tc>
          <w:tcPr>
            <w:tcW w:w="3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3400" w:type="dxa"/>
            <w:vAlign w:val="bottom"/>
          </w:tcPr>
          <w:p>
            <w:pPr>
              <w:spacing w:after="0"/>
              <w:rPr>
                <w:sz w:val="20"/>
                <w:szCs w:val="20"/>
                <w:color w:val="auto"/>
              </w:rPr>
            </w:pPr>
            <w:r>
              <w:rPr>
                <w:rFonts w:ascii="Arial" w:cs="Arial" w:eastAsia="Arial" w:hAnsi="Arial"/>
                <w:sz w:val="14"/>
                <w:szCs w:val="14"/>
                <w:color w:val="auto"/>
              </w:rPr>
              <w:t>Combined deferred conversion costs</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3400" w:type="dxa"/>
            <w:vAlign w:val="bottom"/>
          </w:tcPr>
          <w:p>
            <w:pPr>
              <w:ind w:left="140"/>
              <w:spacing w:after="0"/>
              <w:rPr>
                <w:sz w:val="20"/>
                <w:szCs w:val="20"/>
                <w:color w:val="auto"/>
              </w:rPr>
            </w:pPr>
            <w:r>
              <w:rPr>
                <w:rFonts w:ascii="Arial" w:cs="Arial" w:eastAsia="Arial" w:hAnsi="Arial"/>
                <w:sz w:val="14"/>
                <w:szCs w:val="14"/>
                <w:color w:val="auto"/>
              </w:rPr>
              <w:t>Total combined amortization</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21"/>
                <w:szCs w:val="21"/>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349</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Company adjusts its non-GAAP results to exclude amortization of all acquisition-related intangible assets as such amounts are inconsistent in amount and frequency and are significantly impacted by the timing and/or size of acquisitions (see corresponding adjustment on page 5).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7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420" w:top="5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5"/>
      <w:numFmt w:val="bullet"/>
      <w:start w:val="1"/>
    </w:lvl>
  </w:abstractNum>
  <w:abstractNum w:abstractNumId="6">
    <w:nsid w:val="1190CDE7"/>
    <w:multiLevelType w:val="hybridMultilevel"/>
    <w:lvl w:ilvl="0">
      <w:lvlJc w:val="left"/>
      <w:lvlText w:val="6"/>
      <w:numFmt w:val="bullet"/>
      <w:start w:val="1"/>
    </w:lvl>
  </w:abstractNum>
  <w:abstractNum w:abstractNumId="7">
    <w:nsid w:val="66EF438D"/>
    <w:multiLevelType w:val="hybridMultilevel"/>
    <w:lvl w:ilvl="0">
      <w:lvlJc w:val="left"/>
      <w:lvlText w:val="7"/>
      <w:numFmt w:val="bullet"/>
      <w:start w:val="1"/>
    </w:lvl>
  </w:abstractNum>
  <w:abstractNum w:abstractNumId="8">
    <w:nsid w:val="140E0F76"/>
    <w:multiLevelType w:val="hybridMultilevel"/>
    <w:lvl w:ilvl="0">
      <w:lvlJc w:val="left"/>
      <w:lvlText w:val="8"/>
      <w:numFmt w:val="bullet"/>
      <w:start w:val="1"/>
    </w:lvl>
  </w:abstractNum>
  <w:abstractNum w:abstractNumId="9">
    <w:nsid w:val="3352255A"/>
    <w:multiLevelType w:val="hybridMultilevel"/>
    <w:lvl w:ilvl="0">
      <w:lvlJc w:val="left"/>
      <w:lvlText w:val="9"/>
      <w:numFmt w:val="bullet"/>
      <w:start w:val="1"/>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3"/>
      <w:numFmt w:val="bullet"/>
      <w:start w:val="1"/>
    </w:lvl>
  </w:abstractNum>
  <w:abstractNum w:abstractNumId="13">
    <w:nsid w:val="1BEFD79F"/>
    <w:multiLevelType w:val="hybridMultilevel"/>
    <w:lvl w:ilvl="0">
      <w:lvlJc w:val="left"/>
      <w:lvlText w:val="4"/>
      <w:numFmt w:val="bullet"/>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2019-12-28T05:56:02Z</dcterms:created>
  <dcterms:modified xsi:type="dcterms:W3CDTF">2019-12-28T05:56:02Z</dcterms:modified>
</cp:coreProperties>
</file>