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511"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39-1506125</w:t>
      </w:r>
    </w:p>
    <w:p>
      <w:pPr>
        <w:spacing w:after="0" w:line="24" w:lineRule="exact"/>
        <w:rPr>
          <w:sz w:val="24"/>
          <w:szCs w:val="24"/>
          <w:color w:val="auto"/>
        </w:rPr>
      </w:pPr>
    </w:p>
    <w:p>
      <w:pPr>
        <w:sectPr>
          <w:pgSz w:w="11900" w:h="16838" w:orient="portrait"/>
          <w:cols w:equalWidth="0" w:num="3">
            <w:col w:w="4600" w:space="720"/>
            <w:col w:w="2780" w:space="720"/>
            <w:col w:w="2200"/>
          </w:cols>
          <w:pgMar w:left="440" w:top="511"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511"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255 Fiserv Drive, Brookfield, Wisconsin 53045</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511"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0.375% Senior Notes due 2023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1.125%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1.625%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2.250% Senior Notes due 2025</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51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Other Events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14, 2020, New Omaha Holdings L.P. (“New Omaha”), which is owned by investment funds managed by Kohlberg Kravis Roberts &amp; Co. L.P., completed the previously announced underwritten secondary public offering (the “Offering”) of 20,125,000 shares of common stock, par value $0.01 per share (the “common stock”), of Fiserv, Inc. (the “Company”) (which amount includes 2,625,000 shares pursuant to the full exercise of the option to purchase additional shares granted by New Omaha to the Underwriters (as defined below) solely to cover over-allotments). The Company did not sell any shares in, nor did it receive any proceeds from, the Offering.</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Company repurchased from the Underwriters 1,817,520 shares of its common stock that were subject to the Offering at a price per share equal to the price per share paid by the Underwriters to New Omaha in the Offering (the “Share Repurchase”). The Share Repurchase was funded with cash on hand. The repurchased shares will be cancelled and no longer outstanding following the completion of the Share Repurchase.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the Offering, New Omaha owned 105,425,667 shares of common stock, representing approximately 15.7% of the Company’s outstanding shares of common stock, based on the number of shares outstanding as of October 23, 2020. Upon completion of the Offering, New Omaha owns shares of common stock representing approximately 12.7% of the Company’s outstanding shares of common stock, based on the number of shares outstanding as of October 23, 2020. The number of shares outstanding as of October 23, 2020 does not include any issuances or repurchases after such date, including the Share Repurchase.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on December 9, 2020, the Company entered into an underwriting agreement (the “Underwriting Agreement”) with New Omaha, BofA Securities, Inc., Citigroup Global Markets Inc. and KKR Capital Markets LLC, as representatives of the underwriters named therein (the “Underwriters”). The Underwriting Agreement contains representations and warranties and covenants that are customary for transactions of this type and provides for the Share Repurchase. In addition, each of the Company and New Omaha has agreed to indemnify the Underwriters against certain liabilities on customary terms.</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a copy of which is filed herewith as Exhibit 1.1 and is incorporated herein by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being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Index to Current Report on Form 8-K</w:t>
      </w:r>
    </w:p>
    <w:p>
      <w:pPr>
        <w:sectPr>
          <w:pgSz w:w="11900" w:h="16838" w:orient="portrait"/>
          <w:cols w:equalWidth="0" w:num="1">
            <w:col w:w="11000"/>
          </w:cols>
          <w:pgMar w:left="440" w:top="293" w:right="459" w:bottom="1440" w:gutter="0" w:footer="0" w:header="0"/>
        </w:sect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Underwriting Agreement, dated December 9, 2020, by and among the Company, New Omaha and BofA Securities, Inc., Citigroup Global</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Markets Inc. and KKR Capital Markets LLC, as representatives of the underwriters named therein.</w:t>
        </w:r>
      </w:hyperlink>
    </w:p>
    <w:p>
      <w:pPr>
        <w:spacing w:after="0" w:line="54" w:lineRule="exact"/>
        <w:rPr>
          <w:sz w:val="20"/>
          <w:szCs w:val="20"/>
          <w:color w:val="auto"/>
        </w:rPr>
      </w:pPr>
    </w:p>
    <w:p>
      <w:pPr>
        <w:sectPr>
          <w:pgSz w:w="11900" w:h="16838" w:orient="portrait"/>
          <w:cols w:equalWidth="0" w:num="2">
            <w:col w:w="500" w:space="540"/>
            <w:col w:w="9960"/>
          </w:cols>
          <w:pgMar w:left="440" w:top="293" w:right="45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960" w:type="dxa"/>
            <w:vAlign w:val="bottom"/>
          </w:tcPr>
          <w:p>
            <w:pPr>
              <w:ind w:left="38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u w:val="single" w:color="auto"/>
                  <w:color w:val="0000EE"/>
                </w:rPr>
                <w:t>Opinion of Lynn S. McCreary, Chief Legal Officer and Secretary of Fiserv, Inc</w:t>
              </w:r>
              <w:r>
                <w:rPr>
                  <w:rFonts w:ascii="Times New Roman" w:cs="Times New Roman" w:eastAsia="Times New Roman" w:hAnsi="Times New Roman"/>
                  <w:sz w:val="18"/>
                  <w:szCs w:val="18"/>
                  <w:color w:val="0000EE"/>
                </w:rPr>
                <w:t>.</w:t>
              </w:r>
            </w:hyperlink>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960" w:type="dxa"/>
            <w:vAlign w:val="bottom"/>
          </w:tcPr>
          <w:p>
            <w:pPr>
              <w:ind w:left="380"/>
              <w:spacing w:after="0"/>
              <w:rPr>
                <w:rFonts w:ascii="Times New Roman" w:cs="Times New Roman" w:eastAsia="Times New Roman" w:hAnsi="Times New Roman"/>
                <w:sz w:val="18"/>
                <w:szCs w:val="18"/>
                <w:u w:val="single" w:color="auto"/>
                <w:color w:val="0000EE"/>
                <w:w w:val="99"/>
              </w:rPr>
            </w:pPr>
            <w:hyperlink w:anchor="page51">
              <w:r>
                <w:rPr>
                  <w:rFonts w:ascii="Times New Roman" w:cs="Times New Roman" w:eastAsia="Times New Roman" w:hAnsi="Times New Roman"/>
                  <w:sz w:val="18"/>
                  <w:szCs w:val="18"/>
                  <w:u w:val="single" w:color="auto"/>
                  <w:color w:val="0000EE"/>
                  <w:w w:val="99"/>
                </w:rPr>
                <w:t>Consent of Lynn S. McCreary, Chief Legal Officer and Secretary of Fiserv, Inc. (included in Exhibit 5.1).</w:t>
              </w:r>
            </w:hyperlink>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KKR Capital Markets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KKR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 57th St., Suite 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firstLine="436"/>
        <w:spacing w:after="0" w:line="254"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New Omaha Holdings L.P., a Delaware limited partnership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and a shareholder of Fiserv,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Wisconsin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sell to the several underwriters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 aggregate of 17,500,000 shares of common stock, par value $0.01 per share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(such Securities are hereinafter referred to as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and also agree to sell to the Underwriters, at the option of the Underwriters, an aggregate of not more than 2,625,000 additional outstanding Securities (the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as set forth below. The Firm Securities and the Optional Securities are herein collectively called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Subject to the sale of the Firm Securities by the Selling Shareholder to the Underwriters in compliance with the terms of this Agreement, the Underwriters have agreed to sell to the Company, and the Company has agreed herein to purchase from the Underwriters (the “</w:t>
      </w: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 an aggregate of 1,817,520 shares of the Firm Securities (such shares, hereunder,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4 of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The Company represents and warrants to each Underwriter that: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S-3 (No. 333-227436), including a related prospectus or prospectuses, covering the registration of the Offered Securities under the Act, which registration statement became effective upon filing with the Commission.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as of such time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particular time means the Registration Statement as of the Effective Time. For purposes of this definition, 430B Information shall be considered to be included in the Registration Statement as of the time specified in Rule 430B.</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11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or prospectus supplement then deemed to be a part of the Registration Statement pursuant to Rule 430B(e) or retroactively deemed to be a part of the Registration Statement pursuant to Rule 430B(f).</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or prospectus supplement then deemed to be a part of the Registration Statement pursuant to Rule 430C.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6:15 P.M. (Eastern time) on the date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defined in Section 4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of the Registration Statement relating to the Offered Securities means the time of the first contract of sale for the Offered Securities.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5" w:name="page6"/>
    <w:bookmarkEnd w:id="5"/>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Offered Securities and otherwise satisfies Section 10(a) of the Act.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as evidenced by its being so specified in Schedule B to this Agreement.</w:t>
      </w:r>
    </w:p>
    <w:p>
      <w:pPr>
        <w:spacing w:after="0" w:line="15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7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 under the Act.</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the auditing principles, rules, standards and practices applicable to auditors of “issuers” (as defined in Sarbanes-Oxley) promulgated or approved by the Public Company Accounting Oversight Board and, as applicable, the rules of the NASDAQ Stock Market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Offered Securities that is included in the Registration Statement immediately prior to that time, including all 430B Information and all 430C Information with respect to the Registration Statement at such time.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115" w:lineRule="exact"/>
        <w:rPr>
          <w:sz w:val="20"/>
          <w:szCs w:val="20"/>
          <w:color w:val="auto"/>
        </w:rPr>
      </w:pPr>
    </w:p>
    <w:p>
      <w:pPr>
        <w:ind w:left="440" w:firstLine="419"/>
        <w:spacing w:after="0" w:line="256"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Act Requirements</w:t>
      </w:r>
      <w:r>
        <w:rPr>
          <w:rFonts w:ascii="Times New Roman" w:cs="Times New Roman" w:eastAsia="Times New Roman" w:hAnsi="Times New Roman"/>
          <w:sz w:val="18"/>
          <w:szCs w:val="18"/>
          <w:color w:val="auto"/>
        </w:rPr>
        <w:t>. (i) (A) At the time the Registration Statement initially became or was deemed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(B) at the time of each amendment thereto for the purposes of complying with Section 10(a)(3) of the Act (whether by post-effective amendment, incorporated report filed pursuant to Section 13 or 15(d) of the Exchange Act or form of prospectus), (C) at the Effective Time and (D) on each Closing Date, the Registration Statement conformed and will conform in all material respects to the requirements of the Act and the Rules and Regulations and did not, as of the Effective Time, include any untrue statement of a material fact or omit to state any material fact required to be stated therein or necessary to make the statements therein not misleading and (ii) (A) on its date, (B) at the time of filing the Final Prospectus pursuant to Rule 424(b) and (C) on each Closing</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6" w:name="page7"/>
    <w:bookmarkEnd w:id="6"/>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the Final Prospectus will conform in all material respects to the requirements of the Act and the Rules and Regulations, and will not include any untrue statement of a material fact or omit to state any material fact necessary in order to make the statements therein, in the light of the circumstances under which they were made, not misleading. The preceding sentence does not apply to (i) statements in or omissions from any such document based upon written information furnished to the Company by or on behalf of any Underwriter through the Representatives specifically for use therein, it being understood and agreed that the only such information is that described as such in Section 10(c) hereof or</w:t>
      </w:r>
    </w:p>
    <w:p>
      <w:pPr>
        <w:spacing w:after="0" w:line="3" w:lineRule="exact"/>
        <w:rPr>
          <w:sz w:val="20"/>
          <w:szCs w:val="20"/>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Information (as hereinafter defined).</w:t>
      </w:r>
    </w:p>
    <w:p>
      <w:pPr>
        <w:spacing w:after="0" w:line="96"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Shelf Registration Statement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7" w:lineRule="auto"/>
        <w:tabs>
          <w:tab w:leader="none" w:pos="115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Well-Known Seasoned Issuer Status</w:t>
      </w:r>
      <w:r>
        <w:rPr>
          <w:rFonts w:ascii="Times New Roman" w:cs="Times New Roman" w:eastAsia="Times New Roman" w:hAnsi="Times New Roman"/>
          <w:sz w:val="18"/>
          <w:szCs w:val="18"/>
          <w:color w:val="auto"/>
        </w:rPr>
        <w:t>. (A) At the time of initial filing of the Registration Statement, (B) at the time of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made any offer relating to the Offered Securities in reliance on the exemption of Rule 163, and (D) at the Applicable Time, the Company was a “well known seasoned issuer,” as defined in Rule 405, including not being an “ineligible issuer,” as defined in Rule 405 at such time.</w:t>
      </w:r>
    </w:p>
    <w:p>
      <w:pPr>
        <w:spacing w:after="0" w:line="74" w:lineRule="exact"/>
        <w:rPr>
          <w:rFonts w:ascii="Times New Roman" w:cs="Times New Roman" w:eastAsia="Times New Roman" w:hAnsi="Times New Roman"/>
          <w:sz w:val="18"/>
          <w:szCs w:val="18"/>
          <w:color w:val="auto"/>
        </w:rPr>
      </w:pPr>
    </w:p>
    <w:p>
      <w:pPr>
        <w:ind w:left="544" w:firstLine="408"/>
        <w:spacing w:after="0" w:line="253" w:lineRule="auto"/>
        <w:tabs>
          <w:tab w:leader="none" w:pos="120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Automatic Shelf Registration Statement</w:t>
      </w:r>
      <w:r>
        <w:rPr>
          <w:rFonts w:ascii="Times New Roman" w:cs="Times New Roman" w:eastAsia="Times New Roman" w:hAnsi="Times New Roman"/>
          <w:sz w:val="18"/>
          <w:szCs w:val="18"/>
          <w:color w:val="auto"/>
        </w:rPr>
        <w:t>. The Registration Statement is an “automatic shelf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defined in Rule 405. If immediately prior to the Renewal Deadline (as hereinafter defined), any of the Offered Securities remain unsold by the Underwriters, the Company will prior to the Renewal Deadline file, if it has not already done so and is eligible to do so, a new automatic shelf registration statement relating to the Offered Securities, in a form satisfactory to the Representatives. If the Company is no longer eligible to file an automatic shelf registration statement, the Company will prior to the Renewal Deadline, if it has not already done so, file a new shelf registration statement relating to the Offered Securities, in a form satisfactory to the Representatives, and will use its reasonable best efforts to cause such registration statement to be declared effective within 180 days after the Renewal Deadline. The Company will use its reasonable best efforts to take all other action necessary or appropriate to permit the public offering and sale of the Offered Securities to continue as contemplated in the expired registration statement relating to the Offered Securities. References herein to the Registration Statement shall include such new automatic shelf registration statement or such new shelf registration statement, as the case may be. “</w:t>
      </w:r>
      <w:r>
        <w:rPr>
          <w:rFonts w:ascii="Times New Roman" w:cs="Times New Roman" w:eastAsia="Times New Roman" w:hAnsi="Times New Roman"/>
          <w:sz w:val="18"/>
          <w:szCs w:val="18"/>
          <w:b w:val="1"/>
          <w:bCs w:val="1"/>
          <w:color w:val="auto"/>
        </w:rPr>
        <w:t>Renewal Deadline</w:t>
      </w:r>
      <w:r>
        <w:rPr>
          <w:rFonts w:ascii="Times New Roman" w:cs="Times New Roman" w:eastAsia="Times New Roman" w:hAnsi="Times New Roman"/>
          <w:sz w:val="18"/>
          <w:szCs w:val="18"/>
          <w:color w:val="auto"/>
        </w:rPr>
        <w:t>” means the third anniversary of the initial effective time of the Registration Statement.</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70" w:right="479" w:bottom="1440" w:gutter="0" w:footer="0" w:header="0"/>
        </w:sectPr>
      </w:pPr>
    </w:p>
    <w:bookmarkStart w:id="7" w:name="page8"/>
    <w:bookmarkEnd w:id="7"/>
    <w:p>
      <w:pPr>
        <w:ind w:left="544" w:right="20" w:firstLine="408"/>
        <w:spacing w:after="0" w:line="253" w:lineRule="auto"/>
        <w:tabs>
          <w:tab w:leader="none" w:pos="125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Eligibility to Use Automatic Shelf Registration Form</w:t>
      </w:r>
      <w:r>
        <w:rPr>
          <w:rFonts w:ascii="Times New Roman" w:cs="Times New Roman" w:eastAsia="Times New Roman" w:hAnsi="Times New Roman"/>
          <w:sz w:val="18"/>
          <w:szCs w:val="18"/>
          <w:color w:val="auto"/>
        </w:rPr>
        <w:t>. The Company has not received from the Commission any notice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Rule 401(g)(2) objecting to use of the automatic shelf registration statement form. If at any time when Offered Securities remain unsold by the Underwriters the Company receives from the Commission a notice pursuant to Rule 401(g)(2) or otherwise ceases to be eligible to use the automatic shelf registration statement form, the Company will (A) promptly notify the Representatives, (B) promptly file a new registration statement or post-effective amendment on the proper form relating to the Offered Securities, in a form satisfactory to the Representatives, (C) use its reasonable best efforts to cause such registration statement or post-effective amendment to be declared effective as soon as practicable, and (D) promptly notify the Representatives of such effectiveness. The Company will use its reasonable best efforts to take all other action necessary or appropriate to permit the public offering and sale of the Offered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83" w:lineRule="exact"/>
        <w:rPr>
          <w:rFonts w:ascii="Times New Roman" w:cs="Times New Roman" w:eastAsia="Times New Roman" w:hAnsi="Times New Roman"/>
          <w:sz w:val="18"/>
          <w:szCs w:val="18"/>
          <w:color w:val="auto"/>
        </w:rPr>
      </w:pPr>
    </w:p>
    <w:p>
      <w:pPr>
        <w:ind w:left="544" w:firstLine="408"/>
        <w:spacing w:after="0" w:line="284" w:lineRule="auto"/>
        <w:tabs>
          <w:tab w:leader="none" w:pos="124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Fees</w:t>
      </w:r>
      <w:r>
        <w:rPr>
          <w:rFonts w:ascii="Times New Roman" w:cs="Times New Roman" w:eastAsia="Times New Roman" w:hAnsi="Times New Roman"/>
          <w:sz w:val="18"/>
          <w:szCs w:val="18"/>
          <w:color w:val="auto"/>
        </w:rPr>
        <w:t>. The Company has paid or shall pay the required Commission filing fees relating to the Offered Securities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required by Rule 456(b)(1) without regard to the proviso therein and otherwise in accordance with Rules 456(b) and 457(r).</w:t>
      </w:r>
    </w:p>
    <w:p>
      <w:pPr>
        <w:spacing w:after="0" w:line="50" w:lineRule="exact"/>
        <w:rPr>
          <w:rFonts w:ascii="Times New Roman" w:cs="Times New Roman" w:eastAsia="Times New Roman" w:hAnsi="Times New Roman"/>
          <w:sz w:val="18"/>
          <w:szCs w:val="18"/>
          <w:color w:val="auto"/>
        </w:rPr>
      </w:pPr>
    </w:p>
    <w:p>
      <w:pPr>
        <w:ind w:left="4" w:right="40" w:firstLine="419"/>
        <w:spacing w:after="0" w:line="267"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Ineligible Issuer Status</w:t>
      </w:r>
      <w:r>
        <w:rPr>
          <w:rFonts w:ascii="Times New Roman" w:cs="Times New Roman" w:eastAsia="Times New Roman" w:hAnsi="Times New Roman"/>
          <w:sz w:val="18"/>
          <w:szCs w:val="18"/>
          <w:color w:val="auto"/>
        </w:rPr>
        <w:t>. (i) At the earliest time after the filing of the Registration Statement that the Selling Shareholder or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participant made a bona fide offer (within the meaning of Rule 164(h)(2)) of the Offered Securities and (ii) at the date of this Agreement, the Company was not and is not an “ineligible issuer,” as defined in Rule 405.</w:t>
      </w:r>
    </w:p>
    <w:p>
      <w:pPr>
        <w:spacing w:after="0" w:line="65"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At the Applicable Time, neither (i) the General Use Issuer Free Writing Prospectus(es) issued at or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Time, the preliminary prospectus supplement, dated December 9, 2020, the base prospectus, dated September 20, 2018 (which, collectively,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nor</w:t>
      </w:r>
    </w:p>
    <w:p>
      <w:pPr>
        <w:spacing w:after="0" w:line="1" w:lineRule="exact"/>
        <w:rPr>
          <w:rFonts w:ascii="Times New Roman" w:cs="Times New Roman" w:eastAsia="Times New Roman" w:hAnsi="Times New Roman"/>
          <w:sz w:val="18"/>
          <w:szCs w:val="18"/>
          <w:color w:val="auto"/>
        </w:rPr>
      </w:pPr>
    </w:p>
    <w:p>
      <w:pPr>
        <w:ind w:left="4" w:right="360" w:hanging="4"/>
        <w:spacing w:after="0" w:line="290" w:lineRule="auto"/>
        <w:tabs>
          <w:tab w:leader="none" w:pos="26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w:t>
      </w:r>
    </w:p>
    <w:p>
      <w:pPr>
        <w:spacing w:after="0" w:line="9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4"/>
          </w:cols>
          <w:pgMar w:left="876" w:top="268" w:right="499" w:bottom="1440" w:gutter="0" w:footer="0" w:header="0"/>
        </w:sectPr>
      </w:pPr>
    </w:p>
    <w:bookmarkStart w:id="8" w:name="page9"/>
    <w:bookmarkEnd w:id="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circumstances under which they were made, not misleading. The preceding sentence does not apply to (i) statements in or omissions from any Statutory Prospectus or any Issuer Free Writing Prospectus based upon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10(c) hereof or (ii) the Selling Shareholder Information.</w:t>
      </w:r>
    </w:p>
    <w:p>
      <w:pPr>
        <w:spacing w:after="0" w:line="70" w:lineRule="exact"/>
        <w:rPr>
          <w:sz w:val="20"/>
          <w:szCs w:val="20"/>
          <w:color w:val="auto"/>
        </w:rPr>
      </w:pPr>
    </w:p>
    <w:p>
      <w:pPr>
        <w:ind w:right="20" w:firstLine="419"/>
        <w:spacing w:after="0" w:line="253"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Issuer Free Writing Prospectus, as of its issue date and at all subsequent times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occurs an event or development as a result of which such Issuer Free Writing Prospectus would conflict with the information then contained in the Registration Statement or as a result of which such Issuer Free Writing Prospectus, if republished immediately following such event or development, would include an untrue statement of a material fact or omit to state a material fact necessary in order to make the statements therein, in the light of the circumstances under which they were made, not misleading, (i) the Company will promptly notify the Representatives and (ii) the Company will promptly amend or supplement such Issuer Free Writing Prospectus to eliminate or correct such conflict, untrue statement or omission. The first sentence of this paragraph (f) does not apply to (i) statements in or omissions from any Issuer Free Writing Prospectus based upon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10(c) hereof or (ii) the Selling Shareholder Information.</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 of the Company</w:t>
      </w:r>
      <w:r>
        <w:rPr>
          <w:rFonts w:ascii="Times New Roman" w:cs="Times New Roman" w:eastAsia="Times New Roman" w:hAnsi="Times New Roman"/>
          <w:sz w:val="18"/>
          <w:szCs w:val="18"/>
          <w:color w:val="auto"/>
        </w:rPr>
        <w:t>. The Company has been duly organized and is validly existing as a corporation under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Wisconsin, with all requisite power and authority under such laws to own, lease and operate its properties, to conduct its business as now being conducted as described in the Registration Statement, the General Disclosure Package and the Final Prospectus and to enter into and perform its obligations under this Agreement. The Company is duly qualified or registered as a foreign corporation and is in good standing, where applicable, in each jurisdiction in which such qualification or registration is required, whether by reason of the ownership or leasing of properties or the conduct of business, except where the failure to so qualify or register, or be in good standing, would not reasonably be expected to have a material adverse effect on the financial condition, results of operations, business or properties of the Company and its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20"/>
          </w:cols>
          <w:pgMar w:left="880" w:top="270" w:right="499" w:bottom="1440" w:gutter="0" w:footer="0" w:header="0"/>
        </w:sectPr>
      </w:pPr>
    </w:p>
    <w:bookmarkStart w:id="9" w:name="page10"/>
    <w:bookmarkEnd w:id="9"/>
    <w:p>
      <w:pPr>
        <w:ind w:right="60" w:firstLine="419"/>
        <w:spacing w:after="0" w:line="254"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Subsidiaries</w:t>
      </w:r>
      <w:r>
        <w:rPr>
          <w:rFonts w:ascii="Times New Roman" w:cs="Times New Roman" w:eastAsia="Times New Roman" w:hAnsi="Times New Roman"/>
          <w:sz w:val="18"/>
          <w:szCs w:val="18"/>
          <w:color w:val="auto"/>
        </w:rPr>
        <w:t>. Each “significant subsidiary” of the Company (as such term is defined in Rule 1-02 of Regulation S-X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(each,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has been duly organized and is validly existing as a corporation, limited partnership, limited liability company or other entity, as the case may be, in good standing (or the equivalent thereof), where applicable, under the laws of its jurisdiction of organization, with all requisite power and authority to own, lease and operate its properties and to conduct its business as now being conducted as described in the Registration Statement, the General Disclosure Package and the Final Prospectus; and each Significant Subsidiary is duly qualified or registered as a foreign corporation, limited partnership or limited liability company or other entity, as the case may be, to transact business and is in good standing, where applicable, in each jurisdiction in which such qualification or registration is required, whether by reason of the ownership or leasing of properties or the conduct of business, except where the failure to so qualify or register, or be in good standing,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Offered Securities and Capital Stock Duly Authorized and Validly Issued</w:t>
      </w:r>
      <w:r>
        <w:rPr>
          <w:rFonts w:ascii="Times New Roman" w:cs="Times New Roman" w:eastAsia="Times New Roman" w:hAnsi="Times New Roman"/>
          <w:sz w:val="18"/>
          <w:szCs w:val="18"/>
          <w:color w:val="auto"/>
        </w:rPr>
        <w:t>. The Offered Securities and all other outstanding shares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of the Company have been duly authorized; the authorized share capital of the Company is as set forth in the General Disclosure Package and the Final Prospectus; all issued and outstanding shares of the Company are validly issued, fully paid and nonassessable, will conform to the information in the General Disclosure Package and to the description of such Offered Securities contained in the Final Prospectus; the shareholders of the Company have no preemptive rights with respect to the Offered Securities; and none of the issued and outstanding shares of the Company have been issued in violation of any preemptive or similar rights of any security holder. All of the issued and outstanding capital stock or other equity interests of each Significant Subsidiary has been duly authorized and validly issued, is fully paid and nonassessable and except as disclosed in the Registration Statement, the General Disclosure Package and the Final Prospectus, is owned by the Company, directly or through subsidiaries, free and clear of any security interest, mortgage, pledge, lien or encumbrance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and none of the issued and outstanding capital stock or other equity interests of the Company or any of the Significant Subsidiaries was issued in violation of any preemptive or similar rights arising by operation of law, under the charter, bylaws or other organizational documents of the Company or any of the Significant Subsidiaries or under any agreement to which the Company or any of the Significant Subsidiaries is a party.</w:t>
      </w:r>
    </w:p>
    <w:p>
      <w:pPr>
        <w:spacing w:after="0" w:line="81" w:lineRule="exact"/>
        <w:rPr>
          <w:rFonts w:ascii="Times New Roman" w:cs="Times New Roman" w:eastAsia="Times New Roman" w:hAnsi="Times New Roman"/>
          <w:sz w:val="18"/>
          <w:szCs w:val="18"/>
          <w:color w:val="auto"/>
        </w:rPr>
      </w:pPr>
    </w:p>
    <w:p>
      <w:pPr>
        <w:ind w:right="220" w:firstLine="419"/>
        <w:spacing w:after="0" w:line="267" w:lineRule="auto"/>
        <w:tabs>
          <w:tab w:leader="none" w:pos="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Finder’s Fee</w:t>
      </w:r>
      <w:r>
        <w:rPr>
          <w:rFonts w:ascii="Times New Roman" w:cs="Times New Roman" w:eastAsia="Times New Roman" w:hAnsi="Times New Roman"/>
          <w:sz w:val="18"/>
          <w:szCs w:val="18"/>
          <w:color w:val="auto"/>
        </w:rPr>
        <w:t>. There are no contracts, agreements or understandings between the Company and any person that would give rise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claim against the Company or any Underwriter for a brokerage commission, finder’s fee or other like payment in connection with this offering.</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68" w:right="479" w:bottom="1440" w:gutter="0" w:footer="0" w:header="0"/>
        </w:sectPr>
      </w:pPr>
    </w:p>
    <w:bookmarkStart w:id="10" w:name="page11"/>
    <w:bookmarkEnd w:id="10"/>
    <w:p>
      <w:pPr>
        <w:ind w:right="120" w:firstLine="419"/>
        <w:spacing w:after="0" w:line="258"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Registration Rights</w:t>
      </w:r>
      <w:r>
        <w:rPr>
          <w:rFonts w:ascii="Times New Roman" w:cs="Times New Roman" w:eastAsia="Times New Roman" w:hAnsi="Times New Roman"/>
          <w:sz w:val="18"/>
          <w:szCs w:val="18"/>
          <w:color w:val="auto"/>
        </w:rPr>
        <w:t>. Except as disclosed in the General Disclosure Package and the Final Prospectus, there are no contracts,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Act (collectively,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Offered Securities have been listed on the NASDAQ Stock Market.</w:t>
      </w:r>
    </w:p>
    <w:p>
      <w:pPr>
        <w:spacing w:after="0" w:line="117"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government, governmental authority, agency or instrumentality or court (collectively “</w:t>
      </w:r>
      <w:r>
        <w:rPr>
          <w:rFonts w:ascii="Times New Roman" w:cs="Times New Roman" w:eastAsia="Times New Roman" w:hAnsi="Times New Roman"/>
          <w:sz w:val="18"/>
          <w:szCs w:val="18"/>
          <w:b w:val="1"/>
          <w:bCs w:val="1"/>
          <w:color w:val="auto"/>
        </w:rPr>
        <w:t>Governmental Entities</w:t>
      </w:r>
      <w:r>
        <w:rPr>
          <w:rFonts w:ascii="Times New Roman" w:cs="Times New Roman" w:eastAsia="Times New Roman" w:hAnsi="Times New Roman"/>
          <w:sz w:val="18"/>
          <w:szCs w:val="18"/>
          <w:color w:val="auto"/>
        </w:rPr>
        <w:t>”) is necessary or required for the execution, delivery or performance by the Company of its obligations under this Agreement or the Offered Securities, or the consummation by the Company of the transactions contemplated by this Agreement (including the Share Repurchase), except as may be required under the securities laws of the various states in which the Offered Securities will be offered and sold or as may be required by the federal and state securities laws, other than those that have been made or obtained or otherwise described in the Registration Statement, the General Disclosure Package and the Final Prospectus.</w:t>
      </w:r>
    </w:p>
    <w:p>
      <w:pPr>
        <w:spacing w:after="0" w:line="74" w:lineRule="exact"/>
        <w:rPr>
          <w:rFonts w:ascii="Times New Roman" w:cs="Times New Roman" w:eastAsia="Times New Roman" w:hAnsi="Times New Roman"/>
          <w:sz w:val="18"/>
          <w:szCs w:val="18"/>
          <w:color w:val="auto"/>
        </w:rPr>
      </w:pPr>
    </w:p>
    <w:p>
      <w:pPr>
        <w:ind w:right="12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Each of the Company and its subsidiaries has good and marketable title to all of their respective real properties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title to their respective personal properties, in each case free and clear of Liens except (A) as disclosed in the Registration Statement, the General Disclosure Package and the Final Prospectus or (B) as would not reasonably be expected to have a Material Adverse Effect and does not interfere in any material respect with the use made and proposed to be made of such property by the Company and its subsidiaries, taken as a whole; and all of the leases and subleases material to the business of the Company and its subsidiaries, taken as a whole, and under which the Company or any of its subsidiaries holds properties described in the Registration Statement, the General Disclosure Package and the Final Prospectus, are in full force and effect, except for such failures to be in full force and effect that would not, individually or in the aggregate, reasonably be expected to have a Material Adverse Effect.</w:t>
      </w:r>
    </w:p>
    <w:p>
      <w:pPr>
        <w:spacing w:after="0" w:line="76"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Defaults and Conflicts</w:t>
      </w:r>
      <w:r>
        <w:rPr>
          <w:rFonts w:ascii="Times New Roman" w:cs="Times New Roman" w:eastAsia="Times New Roman" w:hAnsi="Times New Roman"/>
          <w:sz w:val="18"/>
          <w:szCs w:val="18"/>
          <w:color w:val="auto"/>
        </w:rPr>
        <w:t>. None of the Company or any of the Significant Subsidiaries is in violation of its charter, bylaws,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organizational documents, as the case may be; none of the Company or any of the Significant Subsidiaries is in default in the performance or observance of any obligation, agreement, covenant or condition contained in any contract, indenture, mortgage, deed of trust, loan or credit agreement, note, lease or other agreement or instrument to which it is a party or by which it or any of them is bound or to which any of their respective properties or assets is subject (collectively,</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68" w:right="45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Agreements and Instruments</w:t>
      </w:r>
      <w:r>
        <w:rPr>
          <w:rFonts w:ascii="Times New Roman" w:cs="Times New Roman" w:eastAsia="Times New Roman" w:hAnsi="Times New Roman"/>
          <w:sz w:val="18"/>
          <w:szCs w:val="18"/>
          <w:color w:val="auto"/>
        </w:rPr>
        <w:t>”), except for such defaults under Agreements and Instruments that would not, individually or in the aggregate, reasonably be expected to have a Material Adverse Effect; and the execution, delivery and performance of this Agreement by the Company, the sale and delivery of the Offered Securities, the consummation by the Company of the transactions contemplated by this Agreement (including the Share Repurchase), and compliance by the Company with the terms of this Agreement, do not and will not, whether with or without the giving of notice or passage of time or both, violate, conflict with or constitute a breach of, or default or Debt Repayment Triggering Event (as defined below) under, or result in the creation or imposition of any Lien upon any properties or assets of the Company or Significant Subsidiaries pursuant to, any Agreements and Instruments, except for such violations, conflicts, breaches, defaults, Debt Repayment Triggering Events or Liens that would not, individually or in the aggregate, reasonably be expected to have a Material Adverse Effect, nor will the same result in any violation of the provisions of the charter, bylaws or other organizational documents of the Company or any Significant Subsidiary or any violation by the Company or its subsidiaries of any applicable laws, statutes, rules, regulations, judgments, orders, writs or decrees of any Governmental Entity, except for violations that would not, individually or in the aggregate, reasonably be expected to have a Material Adverse Effect; it being understood that,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9" w:lineRule="exact"/>
        <w:rPr>
          <w:sz w:val="20"/>
          <w:szCs w:val="20"/>
          <w:color w:val="auto"/>
        </w:rPr>
      </w:pPr>
    </w:p>
    <w:p>
      <w:pPr>
        <w:ind w:right="160" w:firstLine="419"/>
        <w:spacing w:after="0" w:line="284"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Agreement and Share Repurchase</w:t>
      </w:r>
      <w:r>
        <w:rPr>
          <w:rFonts w:ascii="Times New Roman" w:cs="Times New Roman" w:eastAsia="Times New Roman" w:hAnsi="Times New Roman"/>
          <w:sz w:val="18"/>
          <w:szCs w:val="18"/>
          <w:color w:val="auto"/>
        </w:rPr>
        <w:t>. This Agreement has been duly authorized, executed and delivered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 Repurchase has been duly authorized by the Company.</w:t>
      </w:r>
    </w:p>
    <w:p>
      <w:pPr>
        <w:spacing w:after="0" w:line="5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 Compliance with Government Regulations</w:t>
      </w:r>
      <w:r>
        <w:rPr>
          <w:rFonts w:ascii="Times New Roman" w:cs="Times New Roman" w:eastAsia="Times New Roman" w:hAnsi="Times New Roman"/>
          <w:sz w:val="18"/>
          <w:szCs w:val="18"/>
          <w:color w:val="auto"/>
        </w:rPr>
        <w:t>. The Company and its subsidiaries possess such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approvals, consents and other authorizations (collectively, “</w:t>
      </w:r>
      <w:r>
        <w:rPr>
          <w:rFonts w:ascii="Times New Roman" w:cs="Times New Roman" w:eastAsia="Times New Roman" w:hAnsi="Times New Roman"/>
          <w:sz w:val="18"/>
          <w:szCs w:val="18"/>
          <w:b w:val="1"/>
          <w:bCs w:val="1"/>
          <w:color w:val="auto"/>
        </w:rPr>
        <w:t>Governmental Licenses</w:t>
      </w:r>
      <w:r>
        <w:rPr>
          <w:rFonts w:ascii="Times New Roman" w:cs="Times New Roman" w:eastAsia="Times New Roman" w:hAnsi="Times New Roman"/>
          <w:sz w:val="18"/>
          <w:szCs w:val="18"/>
          <w:color w:val="auto"/>
        </w:rPr>
        <w:t>”) issued by the appropriate Governmental Entities necessary to conduct the business now conducted by them, except where the failure to possess any such Governmental License would not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Governmental Licenses are valid and in full force and effect, except where the invalidity of Governmental Licenses or the failure of Governmental Licenses to be in full force and effect would not reasonably be expected to have a Material Adverse Effect. The Company and its subsidiaries are in compliance with all governmental regulations applicable to their respective operations, except where any failure to be in such compliance would not, individually or in the aggregate, reasonably be expected to have a Material Adverse Effect.</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66" w:right="459" w:bottom="1440" w:gutter="0" w:footer="0" w:header="0"/>
        </w:sectPr>
      </w:pPr>
    </w:p>
    <w:bookmarkStart w:id="12" w:name="page13"/>
    <w:bookmarkEnd w:id="12"/>
    <w:p>
      <w:pPr>
        <w:ind w:right="20" w:firstLine="419"/>
        <w:spacing w:after="0" w:line="253"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patent rights, licenses, inventions, copyrights, know how (including trade secrets and other unpatented and/or unpatentable proprietary or confidential information, systems or procedures), trademarks, service marks, trade names, domain names, universal resource locators, or other intellectual property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presently employed by it in connection with the business now operated by it or reasonably necessary in order to conduct such business, except where the failure to own, possess or acquire any such Intellectual Property would not reasonably be expected to have a Material Adverse Effect; neither the Company nor any of its subsidiaries has received any notice or is otherwise aware of, or is engaged in any proceedings relating to, any infringement by any of them of or conflict with asserted rights of others with respect to any Intellectual Property or of any facts or circumstances which would render any Intellectual Property owned, possessed or used by the Company or any of its subsidiaries invalid or inadequate to protect the interest of the Company or any of its subsidiaries therein, and which infringement or conflict (if the subject of any unfavorable decision, ruling or finding) or invalidity or inadequacy would, individually or in the aggregate,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6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disclosed in the Registration Statement, the General Disclosure Package and the Final Prospectus, neither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76" w:lineRule="exact"/>
        <w:rPr>
          <w:rFonts w:ascii="Times New Roman" w:cs="Times New Roman" w:eastAsia="Times New Roman" w:hAnsi="Times New Roman"/>
          <w:sz w:val="18"/>
          <w:szCs w:val="18"/>
          <w:color w:val="auto"/>
        </w:rPr>
      </w:pPr>
    </w:p>
    <w:p>
      <w:pPr>
        <w:ind w:right="460" w:firstLine="419"/>
        <w:spacing w:after="0" w:line="267"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The statements included in or incorporated by reference in the Registration Statement, the General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Prospectus under the heading “Description of Capital Stock,” insofar as such statements summarize legal matters or agreements discussed therein, are accurate and fair summaries of such legal matters and agreements.</w:t>
      </w:r>
    </w:p>
    <w:p>
      <w:pPr>
        <w:spacing w:after="0" w:line="65" w:lineRule="exact"/>
        <w:rPr>
          <w:rFonts w:ascii="Times New Roman" w:cs="Times New Roman" w:eastAsia="Times New Roman" w:hAnsi="Times New Roman"/>
          <w:sz w:val="18"/>
          <w:szCs w:val="18"/>
          <w:color w:val="auto"/>
        </w:rPr>
      </w:pPr>
    </w:p>
    <w:p>
      <w:pPr>
        <w:ind w:right="560" w:firstLine="419"/>
        <w:spacing w:after="0" w:line="315" w:lineRule="auto"/>
        <w:tabs>
          <w:tab w:leader="none" w:pos="67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Absence of Manipulation</w:t>
      </w:r>
      <w:r>
        <w:rPr>
          <w:rFonts w:ascii="Times New Roman" w:cs="Times New Roman" w:eastAsia="Times New Roman" w:hAnsi="Times New Roman"/>
          <w:sz w:val="17"/>
          <w:szCs w:val="17"/>
          <w:color w:val="auto"/>
        </w:rPr>
        <w:t>. Neither the Company nor any of its subsidiaries has taken or will take, directly or indirectly, any 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designed to, or that might reasonably be expected to, cause or result in stabilization or manipulation of the price of the Offered Securities.</w:t>
      </w:r>
    </w:p>
    <w:p>
      <w:pPr>
        <w:spacing w:after="0" w:line="6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68" w:right="459" w:bottom="1440" w:gutter="0" w:footer="0" w:header="0"/>
        </w:sectPr>
      </w:pPr>
    </w:p>
    <w:bookmarkStart w:id="13" w:name="page14"/>
    <w:bookmarkEnd w:id="13"/>
    <w:p>
      <w:pPr>
        <w:ind w:left="4" w:firstLine="419"/>
        <w:spacing w:after="0" w:line="267"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Statistical and Market-Related Data</w:t>
      </w:r>
      <w:r>
        <w:rPr>
          <w:rFonts w:ascii="Times New Roman" w:cs="Times New Roman" w:eastAsia="Times New Roman" w:hAnsi="Times New Roman"/>
          <w:sz w:val="18"/>
          <w:szCs w:val="18"/>
          <w:color w:val="auto"/>
        </w:rPr>
        <w:t>. Any third party statistical and market-related data included or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General Disclosure Package or the Final Prospectus are based on or derived from sources that the Company believes to be reliable and accurate.</w:t>
      </w:r>
    </w:p>
    <w:p>
      <w:pPr>
        <w:spacing w:after="0" w:line="65" w:lineRule="exact"/>
        <w:rPr>
          <w:rFonts w:ascii="Times New Roman" w:cs="Times New Roman" w:eastAsia="Times New Roman" w:hAnsi="Times New Roman"/>
          <w:sz w:val="18"/>
          <w:szCs w:val="18"/>
          <w:color w:val="auto"/>
        </w:rPr>
      </w:pPr>
    </w:p>
    <w:p>
      <w:pPr>
        <w:ind w:left="4" w:firstLine="419"/>
        <w:spacing w:after="0" w:line="270" w:lineRule="auto"/>
        <w:tabs>
          <w:tab w:leader="none" w:pos="72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Internal Controls and Compliance with the Sarbanes-Oxley Act</w:t>
      </w:r>
      <w:r>
        <w:rPr>
          <w:rFonts w:ascii="Times New Roman" w:cs="Times New Roman" w:eastAsia="Times New Roman" w:hAnsi="Times New Roman"/>
          <w:sz w:val="17"/>
          <w:szCs w:val="17"/>
          <w:color w:val="auto"/>
        </w:rPr>
        <w:t>. Except as set forth in the Registration Statement, the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Package and the Final Prospectus, the Company, its subsidiaries and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are in compliance in all material respects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7"/>
          <w:szCs w:val="17"/>
          <w:b w:val="1"/>
          <w:bCs w:val="1"/>
          <w:color w:val="auto"/>
        </w:rPr>
        <w:t>Internal Controls</w:t>
      </w:r>
      <w:r>
        <w:rPr>
          <w:rFonts w:ascii="Times New Roman" w:cs="Times New Roman" w:eastAsia="Times New Roman" w:hAnsi="Times New Roman"/>
          <w:sz w:val="17"/>
          <w:szCs w:val="17"/>
          <w:color w:val="auto"/>
        </w:rPr>
        <w:t>”) sufficient to provide reasonable assurances that</w:t>
      </w:r>
    </w:p>
    <w:p>
      <w:pPr>
        <w:ind w:left="4" w:right="100" w:hanging="4"/>
        <w:spacing w:after="0" w:line="251" w:lineRule="auto"/>
        <w:tabs>
          <w:tab w:leader="none" w:pos="2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U.S. Generally Accepted Accounting Principles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incorporated by reference in the Registration Statement, the General Disclosure Package and the Final Prospectus has been prepared in all material respects in accordance with the Commission’s rules and guidelines applicable thereto. The Internal Controls are, or upon consummation of the offering of the Offered Securities will be, overseen by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in accordance with Exchange Rules. The Company has not publicly disclosed or reported to the Audit Committee or the Board, and the Company does not reasonably expect to publicly disclose or report to the Audit Committee or the Board within the next 90 days, a significant deficiency, material weakness or fraud involving management or other employees who have a significant role in Internal Controls, any material violation of, or material failure to comply with, the Securities Laws, or any matter which, if determined adversely, would reasonably be expected to have a Material Adverse Effect.</w:t>
      </w:r>
    </w:p>
    <w:p>
      <w:pPr>
        <w:spacing w:after="0" w:line="82" w:lineRule="exact"/>
        <w:rPr>
          <w:rFonts w:ascii="Times New Roman" w:cs="Times New Roman" w:eastAsia="Times New Roman" w:hAnsi="Times New Roman"/>
          <w:sz w:val="18"/>
          <w:szCs w:val="18"/>
          <w:color w:val="auto"/>
        </w:rPr>
      </w:pPr>
    </w:p>
    <w:p>
      <w:pPr>
        <w:ind w:left="4" w:right="160" w:firstLine="419"/>
        <w:spacing w:after="0" w:line="257" w:lineRule="auto"/>
        <w:tabs>
          <w:tab w:leader="none" w:pos="6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disclosed in the Registration Statement, the General Disclosure Package and the Final Prospectus, there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suit, proceeding, inquiry or investigation before or brought by any Governmental Entity, now pending, or, to the knowledge of the Company, threatened, against or affecting the Company or any of its subsidiaries, which (A) is required to be disclosed under the Act, (B) would reasonably be expected to be determined adversely to the Company or such subsidiary and, if so adversely determined, would reasonably be expected to have a Material Adverse Effect or (C) could materially and adversely affect the consummation of the transactions contemplated by this Agreement or the performance by the Company of its obligations hereunder or thereunder.</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68" w:right="459" w:bottom="1440" w:gutter="0" w:footer="0" w:header="0"/>
        </w:sectPr>
      </w:pPr>
    </w:p>
    <w:bookmarkStart w:id="14" w:name="page15"/>
    <w:bookmarkEnd w:id="14"/>
    <w:p>
      <w:pPr>
        <w:ind w:left="680" w:hanging="26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firstLine="408"/>
        <w:spacing w:after="0" w:line="253" w:lineRule="auto"/>
        <w:tabs>
          <w:tab w:leader="none" w:pos="11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the General Disclosure Package and the Final Prospectus, together with the related schedules and notes, present fairly, in all material respects, the financial position of the Company and its consolidated subsidiaries as of the dates shown and their results of operations and cash flows for the periods shown, and, except as otherwise disclosed in the Registration Statement, the General Disclosure Package and the Final Prospectus, such financial statements have been prepared in conformity with U.S. Generally Accepted Accounting Principles applied on a consistent basis, and the financial statement schedules included in the Registration Statement present fairly, in all material respects, the information contained therein. Except as included or incorporated by reference therein, no historical or pro forma financial statements are required to be included or incorporated by reference in the Registration Statement, the General Disclosure Package and the Final Prospectus under the Act and the Rules and Regulations. The interactive data in eXtensible Business Reporting Language incorporated by reference in the Registration Statement, the General Disclosure Package and the Final Prospectus has been prepared in all material respects in accordance with, the Commission’s rules and guidelines applicable thereto.</w:t>
      </w:r>
    </w:p>
    <w:p>
      <w:pPr>
        <w:spacing w:after="0" w:line="83" w:lineRule="exact"/>
        <w:rPr>
          <w:rFonts w:ascii="Times New Roman" w:cs="Times New Roman" w:eastAsia="Times New Roman" w:hAnsi="Times New Roman"/>
          <w:sz w:val="18"/>
          <w:szCs w:val="18"/>
          <w:color w:val="auto"/>
        </w:rPr>
      </w:pPr>
    </w:p>
    <w:p>
      <w:pPr>
        <w:jc w:val="both"/>
        <w:ind w:left="540" w:right="180" w:firstLine="408"/>
        <w:spacing w:after="0" w:line="266" w:lineRule="auto"/>
        <w:tabs>
          <w:tab w:leader="none" w:pos="12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financial statements of First Data and its consolidated subsidiaries and the related notes and schedules thereto incorporated by reference in the Registration Statement, the General Disclosure Package and the Final Prospectus fairly present, in all material respects, the information contained therein.</w:t>
      </w:r>
    </w:p>
    <w:p>
      <w:pPr>
        <w:spacing w:after="0" w:line="65" w:lineRule="exact"/>
        <w:rPr>
          <w:rFonts w:ascii="Times New Roman" w:cs="Times New Roman" w:eastAsia="Times New Roman" w:hAnsi="Times New Roman"/>
          <w:sz w:val="18"/>
          <w:szCs w:val="18"/>
          <w:color w:val="auto"/>
        </w:rPr>
      </w:pPr>
    </w:p>
    <w:p>
      <w:pPr>
        <w:ind w:right="20" w:firstLine="419"/>
        <w:spacing w:after="0" w:line="258" w:lineRule="auto"/>
        <w:tabs>
          <w:tab w:leader="none" w:pos="6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r>
        <w:rPr>
          <w:rFonts w:ascii="Times New Roman" w:cs="Times New Roman" w:eastAsia="Times New Roman" w:hAnsi="Times New Roman"/>
          <w:sz w:val="18"/>
          <w:szCs w:val="18"/>
          <w:color w:val="auto"/>
        </w:rPr>
        <w:t>. The pro forma consolidated financial statements and the related notes thereto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General Disclosure Package and the Final Prospectus present fairly, in all material respects, the information contained therein, have been prepared in accordance with Article 11 of Regulation S-X with respect to pro forma financial statements and have been properly presented on the basis described therein, and the assumptions used in the preparation thereof are reasonable and the adjustments used therein are appropriate to give effect to the transactions and circumstances referred to therein.</w:t>
      </w:r>
    </w:p>
    <w:p>
      <w:pPr>
        <w:spacing w:after="0" w:line="1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880" w:top="268" w:right="499" w:bottom="1440" w:gutter="0" w:footer="0" w:header="0"/>
        </w:sectPr>
      </w:pPr>
    </w:p>
    <w:bookmarkStart w:id="15" w:name="page16"/>
    <w:bookmarkEnd w:id="15"/>
    <w:p>
      <w:pPr>
        <w:ind w:left="4" w:firstLine="419"/>
        <w:spacing w:after="0" w:line="281" w:lineRule="auto"/>
        <w:tabs>
          <w:tab w:leader="none" w:pos="75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Material Adverse Change in Business</w:t>
      </w:r>
      <w:r>
        <w:rPr>
          <w:rFonts w:ascii="Times New Roman" w:cs="Times New Roman" w:eastAsia="Times New Roman" w:hAnsi="Times New Roman"/>
          <w:sz w:val="17"/>
          <w:szCs w:val="17"/>
          <w:color w:val="auto"/>
        </w:rPr>
        <w:t>. Except as disclosed in the Registration Statement, the General Disclosure Package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Final Prospectus, since the end of the period covered by the latest audited financial statements included in the Registration Statement, the General Disclosure Package and the Final Prospectus, there has been no change, nor any development or event involving a prospective change, in the financial condition, results of operations, business or properties of the Company and its subsidiaries, taken as a whole, that is material and adverse.</w:t>
      </w:r>
    </w:p>
    <w:p>
      <w:pPr>
        <w:spacing w:after="0" w:line="56" w:lineRule="exact"/>
        <w:rPr>
          <w:rFonts w:ascii="Times New Roman" w:cs="Times New Roman" w:eastAsia="Times New Roman" w:hAnsi="Times New Roman"/>
          <w:sz w:val="17"/>
          <w:szCs w:val="17"/>
          <w:color w:val="auto"/>
        </w:rPr>
      </w:pPr>
    </w:p>
    <w:p>
      <w:pPr>
        <w:ind w:left="4" w:right="300" w:firstLine="419"/>
        <w:spacing w:after="0" w:line="267" w:lineRule="auto"/>
        <w:tabs>
          <w:tab w:leader="none" w:pos="7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Share Repurchase as herein contemplated,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register as an “investment company,” as defined in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 w:right="40" w:firstLine="419"/>
        <w:spacing w:after="0" w:line="267" w:lineRule="auto"/>
        <w:tabs>
          <w:tab w:leader="none" w:pos="7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No “nationally recognized statistical rating organization” as such term is defined for purposes of Section 3(a)(62)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has indicated to the Company that it is considering imposing any condition (financial or otherwise) on the Company’s retaining any rating assigned to the Company or any securities of the Company.</w:t>
      </w:r>
    </w:p>
    <w:p>
      <w:pPr>
        <w:spacing w:after="0" w:line="65" w:lineRule="exact"/>
        <w:rPr>
          <w:rFonts w:ascii="Times New Roman" w:cs="Times New Roman" w:eastAsia="Times New Roman" w:hAnsi="Times New Roman"/>
          <w:sz w:val="18"/>
          <w:szCs w:val="18"/>
          <w:color w:val="auto"/>
        </w:rPr>
      </w:pPr>
    </w:p>
    <w:p>
      <w:pPr>
        <w:ind w:left="4" w:right="200" w:firstLine="419"/>
        <w:spacing w:after="0" w:line="273" w:lineRule="auto"/>
        <w:tabs>
          <w:tab w:leader="none" w:pos="7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Foreign Corrupt Practices Act</w:t>
      </w:r>
      <w:r>
        <w:rPr>
          <w:rFonts w:ascii="Times New Roman" w:cs="Times New Roman" w:eastAsia="Times New Roman" w:hAnsi="Times New Roman"/>
          <w:sz w:val="17"/>
          <w:szCs w:val="17"/>
          <w:color w:val="auto"/>
        </w:rPr>
        <w:t>. Neither the Company nor any of its subsidiaries, nor, to the knowledge of the Company, any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employee, agent, affiliate or other person acting on behalf of the Company or any of its subsidiaries has taken any action (in each case, while acting on behalf of the Company or any of its subsidiaries), directly or indirectly, that would result in a violation by such persons of either</w:t>
      </w:r>
    </w:p>
    <w:p>
      <w:pPr>
        <w:spacing w:after="0" w:line="1" w:lineRule="exact"/>
        <w:rPr>
          <w:rFonts w:ascii="Times New Roman" w:cs="Times New Roman" w:eastAsia="Times New Roman" w:hAnsi="Times New Roman"/>
          <w:sz w:val="17"/>
          <w:szCs w:val="17"/>
          <w:color w:val="auto"/>
        </w:rPr>
      </w:pPr>
    </w:p>
    <w:p>
      <w:pPr>
        <w:ind w:left="4" w:right="80" w:hanging="4"/>
        <w:spacing w:after="0" w:line="251" w:lineRule="auto"/>
        <w:tabs>
          <w:tab w:leader="none" w:pos="2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(B) the U.K. Bribery Act 2010 (the “</w:t>
      </w:r>
      <w:r>
        <w:rPr>
          <w:rFonts w:ascii="Times New Roman" w:cs="Times New Roman" w:eastAsia="Times New Roman" w:hAnsi="Times New Roman"/>
          <w:sz w:val="18"/>
          <w:szCs w:val="18"/>
          <w:b w:val="1"/>
          <w:bCs w:val="1"/>
          <w:color w:val="auto"/>
        </w:rPr>
        <w:t>Bribery Act</w:t>
      </w:r>
      <w:r>
        <w:rPr>
          <w:rFonts w:ascii="Times New Roman" w:cs="Times New Roman" w:eastAsia="Times New Roman" w:hAnsi="Times New Roman"/>
          <w:sz w:val="18"/>
          <w:szCs w:val="18"/>
          <w:color w:val="auto"/>
        </w:rPr>
        <w:t>”); and the Company, its subsidiaries and, to the knowledge of the Company, its other affiliates have conducted their businesses in compliance with the FCPA and the Bribery Act and have instituted, maintain and enforce policies and procedures designed to ensure continued compliance with all applicable anti-bribery and anti-corruption laws.</w:t>
      </w:r>
    </w:p>
    <w:p>
      <w:pPr>
        <w:spacing w:after="0" w:line="83" w:lineRule="exact"/>
        <w:rPr>
          <w:rFonts w:ascii="Times New Roman" w:cs="Times New Roman" w:eastAsia="Times New Roman" w:hAnsi="Times New Roman"/>
          <w:sz w:val="18"/>
          <w:szCs w:val="18"/>
          <w:color w:val="auto"/>
        </w:rPr>
      </w:pPr>
    </w:p>
    <w:p>
      <w:pPr>
        <w:ind w:left="4" w:firstLine="419"/>
        <w:spacing w:after="0" w:line="257" w:lineRule="auto"/>
        <w:tabs>
          <w:tab w:leader="none" w:pos="7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and the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knowledge of the Company, threatened.</w:t>
      </w:r>
    </w:p>
    <w:p>
      <w:pPr>
        <w:spacing w:after="0" w:line="11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68" w:right="459" w:bottom="1440" w:gutter="0" w:footer="0" w:header="0"/>
        </w:sectPr>
      </w:pPr>
    </w:p>
    <w:bookmarkStart w:id="16" w:name="page17"/>
    <w:bookmarkEnd w:id="16"/>
    <w:p>
      <w:pPr>
        <w:ind w:left="-20" w:firstLine="408"/>
        <w:spacing w:after="0" w:line="254" w:lineRule="auto"/>
        <w:tabs>
          <w:tab w:leader="none" w:pos="6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OFAC</w:t>
      </w:r>
      <w:r>
        <w:rPr>
          <w:rFonts w:ascii="Times New Roman" w:cs="Times New Roman" w:eastAsia="Times New Roman" w:hAnsi="Times New Roman"/>
          <w:sz w:val="18"/>
          <w:szCs w:val="18"/>
          <w:color w:val="auto"/>
        </w:rPr>
        <w:t>. Neither the Company nor any of its subsidiaries, nor, to the knowledge of the Company, any director, officer,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and the Company will not directly or indirectly use the proceeds of the sale of the Offered Securities, or lend, contribute or otherwise make available such proceeds to any subsidiaries, joint venture partners or other Person, to fund or facilitate any activities of or business with any Person, or in any country or territory, that, at the time of such funding, is the subject of Sanctions or in any other manner that will result in a violation by the Company or its subsidiaries of Sanctions.</w:t>
      </w:r>
    </w:p>
    <w:p>
      <w:pPr>
        <w:spacing w:after="0" w:line="80" w:lineRule="exact"/>
        <w:rPr>
          <w:rFonts w:ascii="Times New Roman" w:cs="Times New Roman" w:eastAsia="Times New Roman" w:hAnsi="Times New Roman"/>
          <w:sz w:val="18"/>
          <w:szCs w:val="18"/>
          <w:color w:val="auto"/>
        </w:rPr>
      </w:pPr>
    </w:p>
    <w:p>
      <w:pPr>
        <w:ind w:left="-20" w:firstLine="408"/>
        <w:spacing w:after="0" w:line="252"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Except as disclosed in the Registration Statement, the General Disclosure Package and the Final Prospectus, 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individually or in the aggregate, reasonably be expected to have a Material Adverse Effect, (A) to the Company’s knowledge, there has been no security breach or incident, unauthorized access or disclosure, or other 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(B) the Company and its subsidiaries have not been notified of, and have no knowledge of any event or condition that would result in, any security breach or incident, unauthorized access or disclosure or other compromise to their IT Systems and Data;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as disclosed in the Registration Statement, the General Disclosure Package and the Final Prospectus, or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00"/>
          </w:cols>
          <w:pgMar w:left="1440" w:top="268" w:right="459" w:bottom="1440" w:gutter="0" w:footer="0" w:header="0"/>
        </w:sectPr>
      </w:pPr>
    </w:p>
    <w:bookmarkStart w:id="17" w:name="page18"/>
    <w:bookmarkEnd w:id="17"/>
    <w:p>
      <w:pPr>
        <w:ind w:left="1680" w:hanging="352"/>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 Shares</w:t>
      </w:r>
      <w:r>
        <w:rPr>
          <w:rFonts w:ascii="Times New Roman" w:cs="Times New Roman" w:eastAsia="Times New Roman" w:hAnsi="Times New Roman"/>
          <w:sz w:val="18"/>
          <w:szCs w:val="18"/>
          <w:color w:val="auto"/>
        </w:rPr>
        <w:t>. The Company will retire the Repurchase Shares it acquires in connection with the Offering.</w:t>
      </w:r>
    </w:p>
    <w:p>
      <w:pPr>
        <w:spacing w:after="0" w:line="117" w:lineRule="exact"/>
        <w:rPr>
          <w:rFonts w:ascii="Times New Roman" w:cs="Times New Roman" w:eastAsia="Times New Roman" w:hAnsi="Times New Roman"/>
          <w:sz w:val="18"/>
          <w:szCs w:val="18"/>
          <w:color w:val="auto"/>
        </w:rPr>
      </w:pPr>
    </w:p>
    <w:p>
      <w:pPr>
        <w:ind w:left="-60" w:right="60" w:firstLine="436"/>
        <w:spacing w:after="0" w:line="284"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Selling Shareholder</w:t>
      </w:r>
      <w:r>
        <w:rPr>
          <w:rFonts w:ascii="Times New Roman" w:cs="Times New Roman" w:eastAsia="Times New Roman" w:hAnsi="Times New Roman"/>
          <w:sz w:val="18"/>
          <w:szCs w:val="18"/>
          <w:color w:val="auto"/>
        </w:rPr>
        <w:t>. The Selling Shareholder represents and warrants to, and agrees with,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Underwriter as set forth below in this Section 3.</w:t>
      </w:r>
    </w:p>
    <w:p>
      <w:pPr>
        <w:spacing w:after="0" w:line="52"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or on behalf of the Selling Shareholder.</w:t>
      </w:r>
    </w:p>
    <w:p>
      <w:pPr>
        <w:spacing w:after="0" w:line="117" w:lineRule="exact"/>
        <w:rPr>
          <w:rFonts w:ascii="Times New Roman" w:cs="Times New Roman" w:eastAsia="Times New Roman" w:hAnsi="Times New Roman"/>
          <w:sz w:val="18"/>
          <w:szCs w:val="18"/>
          <w:color w:val="auto"/>
        </w:rPr>
      </w:pPr>
    </w:p>
    <w:p>
      <w:pPr>
        <w:ind w:left="920" w:firstLine="408"/>
        <w:spacing w:after="0" w:line="252" w:lineRule="auto"/>
        <w:tabs>
          <w:tab w:leader="none" w:pos="157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full right, power and authority to enter into this Agreement, and to sell, assign, transfer and deliver the Offered Securities to be sold by the Selling Shareholder hereunder; and, upon payment for the Offered Securities to be sold by the Selling Shareholder pursuant to this Agreement, delivery of such Offered Securities, as directed by the Representatives, to Cede &amp; Co. (“Cede”) or such other nominee as may be designated by The Depository Trust Company (“DTC”), registration of such Offered Securities in the name of Cede or such other nominee and the crediting of such Offered Securities on the books of DTC to the securities account of the Underwriters (assuming that neither DTC nor the Underwriters has notice of any adverse claim (within the meaning of Section 8-105 of the New York Uniform Commercial Code (the “UCC”)) to such Offered Securities), (A) DTC shall be a “protected purchaser” of such Offered Securities within the meaning of Section 8-303 of the UCC, (B) under Section 8-501 of the UCC, the Underwriters will acquire a valid security entitlement in respect of such Offered Securities and (C) no action based on any “adverse claim,” within the meaning of Section 8-102 of the UCC, to such Offered Securities may be asserted against the Underwriters with respect to such security entitlement; for purposes of this representation, the Selling Shareholder may assume that when such payment, delivery and crediting occur, (x) such Offered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88" w:lineRule="exact"/>
        <w:rPr>
          <w:rFonts w:ascii="Times New Roman" w:cs="Times New Roman" w:eastAsia="Times New Roman" w:hAnsi="Times New Roman"/>
          <w:sz w:val="18"/>
          <w:szCs w:val="18"/>
          <w:color w:val="auto"/>
        </w:rPr>
      </w:pPr>
    </w:p>
    <w:p>
      <w:pPr>
        <w:ind w:left="920" w:right="20" w:firstLine="408"/>
        <w:spacing w:after="0" w:line="255" w:lineRule="auto"/>
        <w:tabs>
          <w:tab w:leader="none" w:pos="15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Selling Shareholder of, and the performance by the Selling Shareholder of its obligations under, this Agreement will not contravene or conflict with, result in a breach of, or constitute a default (or, with the giving of notice or lapse of time, would be in default) under, or require the consent of any other party to (i) any agreement or instrument to which the Selling Shareholder is a party or by which it is bound or under which it is entitled to any right or benefit including any pledge of Offered Securities or (ii) any provision of applicable law or any judgment, order, decree or regulation applicable to the Selling Shareholder of any court, regulatory body, administrative agency, governmental body or arbitrator having jurisdiction over the Selling Shareholder, except, in the case of the foregoing clauses (i) and (ii) as would not,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18" w:name="page19"/>
    <w:bookmarkEnd w:id="18"/>
    <w:p>
      <w:pPr>
        <w:ind w:left="98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individually or in the aggregate, reasonably be expected to materially impact the Selling Shareholder’s ability to perform its obligations under this Agreement. No consent, approval, authorization or other order of, or registration or filing with, any court or other governmental authority or agency, is required for the consummation by the Selling Shareholder of the transactions contemplated in this Agreement, except such as may be required under the Securities Act, applicable state securities or blue sky laws and from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such other approvals as have been or will be made or obtained on or prior to the First Closing Date.</w:t>
      </w:r>
    </w:p>
    <w:p>
      <w:pPr>
        <w:spacing w:after="0" w:line="79" w:lineRule="exact"/>
        <w:rPr>
          <w:sz w:val="20"/>
          <w:szCs w:val="20"/>
          <w:color w:val="auto"/>
        </w:rPr>
      </w:pPr>
    </w:p>
    <w:p>
      <w:pPr>
        <w:ind w:left="980" w:right="40" w:firstLine="408"/>
        <w:spacing w:after="0" w:line="256" w:lineRule="auto"/>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furnished to the Company or the Underwriters by or on behalf of the Selling Shareholder in writing expressly for use in the Registration Statement, the General Disclosure Package or the Final Prospectus is, and on each Closing Date will be, true, correct and complete in all material respects, and on each Closing Date will not, contain any untrue statement of a material fact or omit to state any material fact necessary to make such information not misleading, it being understood and agreed that the only such information consists of the information with respect to the Selling Shareholder under the caption “Selling Shareholder” in the Registration Statement, the General Disclosure Package and the Final Prospectus (such information, the “</w:t>
      </w:r>
      <w:r>
        <w:rPr>
          <w:rFonts w:ascii="Times New Roman" w:cs="Times New Roman" w:eastAsia="Times New Roman" w:hAnsi="Times New Roman"/>
          <w:sz w:val="18"/>
          <w:szCs w:val="18"/>
          <w:b w:val="1"/>
          <w:bCs w:val="1"/>
          <w:color w:val="auto"/>
        </w:rPr>
        <w:t>Selling Shareholder Information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Underwriters’ distribution of the Offered Securities, the Selling Shareholder has not distributed and will not distribute any offering material in connection with the offering and sale of the Offered Securities other than the Registration Statement, the General Disclosure Package and the Final Prospectus.</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Offered Securities.</w:t>
      </w:r>
    </w:p>
    <w:p>
      <w:pPr>
        <w:spacing w:after="0" w:line="6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is a United States person (as the term is defined in 7701(a)(30) of the Internal Revenue Code of 1986, as amended) for U.S. federal income tax purposes.</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Selling Shareholder and delivered to the Representatives or to counsel for the Underwriters in connection with the offering of the Offered Securities shall be deemed a representation and warranty by the Selling Shareholder to the Underwriters as to the matters covered thereby with respect to the Selling Shareholder.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9" w:name="page20"/>
    <w:bookmarkEnd w:id="1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Selling Shareholder has a reasonable basis for making each of the representations set forth in this Section 3. The Selling Shareholder acknowledges that the Company, Underwriters and, for purposes of the opinions to be delivered pursuant to Section 9(d), Section 9(e), Section 9(f) and Section 9(g) hereof, counsel to the Company, the Company’s general counsel or any assistant general counsel, the Selling Shareholder and counsel to the Underwriters, will rely upon the accuracy and truthfulness of the foregoing representations and hereby consents to such reliance.</w:t>
      </w:r>
    </w:p>
    <w:p>
      <w:pPr>
        <w:spacing w:after="0" w:line="70" w:lineRule="exact"/>
        <w:rPr>
          <w:sz w:val="20"/>
          <w:szCs w:val="20"/>
          <w:color w:val="auto"/>
        </w:rPr>
      </w:pPr>
    </w:p>
    <w:p>
      <w:pPr>
        <w:ind w:right="40" w:firstLine="436"/>
        <w:spacing w:after="0" w:line="256"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Offered Securities</w:t>
      </w:r>
      <w:r>
        <w:rPr>
          <w:rFonts w:ascii="Times New Roman" w:cs="Times New Roman" w:eastAsia="Times New Roman" w:hAnsi="Times New Roman"/>
          <w:sz w:val="18"/>
          <w:szCs w:val="18"/>
          <w:color w:val="auto"/>
        </w:rPr>
        <w:t>. 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Selling Shareholder agrees to sell to each of the several Underwriters, and each of the Underwriters agrees, severally and not jointly, to purchase from the Selling Shareholder, at a purchase price of $110.04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number of the Firm Securities set forth opposite the names of the Underwriters in Schedule A hereto. Subject to the sale of the Offered Securities by the Selling Shareholder to the Underwriters in compliance with the terms of this Agreement, the Underwriters have agreed to sell to the Company, and the Company has agreed herein to purchase from the Underwriters, the number of Repurchase Shares specified herein at the Purchase Price, as described in the General Disclosure Package and the Final Prospectus.</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Selling Shareholder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Underwriters as specified by the Selling Shareholder to the Underwriters at least 24 hours prior to the First Closing Date (as defined below), at 9:30 A.M., New York time, on December 11, 2020, or at such other time not later than seven full business days thereafter as the Representatives, the Company and the Selling Shareholder determine, such time being herein referred to as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In addition, subject to the sale of the Firm Securities by the Selling Shareholder to the Underwriters in compliance with the terms of this Agreement, payment of the purchase price for the Repurchase Shares shall be made by the Company to the Underwriters in federal (same day) funds by wire transfer to an account specified by the Representatives, against delivery of such Repurchase Shares for the account of the Company at the First Closing Date.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least 24 hours prior to the First Closing Date.</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upon not less than two business days written notice from the Underwriters given to the Company and the Selling Shareholder from time to time not more than 30 days subsequent to the date of the Final Prospectus, the Underwriters may purchase all or less than all of the Optional Securities at the purchase price per Security to be paid for the Firm Securities, less an amount per share equal to any dividends or distributions declared by the Company and payable on the Firm Securities but not payable on the Optional Securities. The Selling Shareholder agrees to sell to the Underwriters the number of Optional Securities specified in such notice and the Underwriters agree, severally and not jointly, to purchase such Optional Securities.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Optional Securities shall be purchased for the account of the several Underwriters in the same proportion as the number of shares of Firm Securities set forth opposite such Underwriters’ name bears to the total number of shares of Firm Securities (subject to adjustment by the Underwriters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Underwriters to the Company and the Selling Shareholders.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Each time for the delivery of and payment for the Optional Securities, being herein referred to as an “</w:t>
      </w:r>
      <w:r>
        <w:rPr>
          <w:rFonts w:ascii="Times New Roman" w:cs="Times New Roman" w:eastAsia="Times New Roman" w:hAnsi="Times New Roman"/>
          <w:sz w:val="18"/>
          <w:szCs w:val="18"/>
          <w:b w:val="1"/>
          <w:bCs w:val="1"/>
          <w:color w:val="auto"/>
        </w:rPr>
        <w:t>Optional Closing Date</w:t>
      </w:r>
      <w:r>
        <w:rPr>
          <w:rFonts w:ascii="Times New Roman" w:cs="Times New Roman" w:eastAsia="Times New Roman" w:hAnsi="Times New Roman"/>
          <w:sz w:val="18"/>
          <w:szCs w:val="18"/>
          <w:color w:val="auto"/>
        </w:rPr>
        <w:t>”, which may be the First Closing Date (the First Closing Date and each Optional Closing Date, if any, being sometimes referred to as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determined by the Underwriters but shall be not later than five full business days after written notice of election to purchase Optional Securities is given. The Selling Shareholder will deliver the Optional Securities being purchased on each Optional Closing Date to or as instructed by the Underwriters for the accounts of the several Underwriters in a form reasonably acceptable to the Underwriters, against payment of the purchase price therefor in Federal (same day) funds by wire transfer to an account at a bank acceptable to the Underwriters as specified by the Selling Shareholder. The Optional Securities being purchased on each Optional Closing Date or evidence of their issuance will be made available for checking at a reasonable time in advance of such Optional Closing Date.</w:t>
      </w:r>
    </w:p>
    <w:p>
      <w:pPr>
        <w:spacing w:after="0" w:line="189"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applicability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any other provision of this Agreement, with respect to any Underwriter who is affiliated with any person or entity engaged to act as an investment adviser on behalf of a client who has a direct or indirect interest in the Offered Securities being sold by the Selling Shareholder, the Offered Securities being sold to such Underwriter shall not include any securities attributable to such client (with any such shares instead being allocated and sold to the other Underwriters) and, accordingly, the fees or other amounts received by such Underwriter in connection with the transactions contemplated hereby shall not include any fees or other amounts attributable to such client.</w:t>
      </w:r>
    </w:p>
    <w:p>
      <w:pPr>
        <w:spacing w:after="0" w:line="73" w:lineRule="exact"/>
        <w:rPr>
          <w:sz w:val="20"/>
          <w:szCs w:val="20"/>
          <w:color w:val="auto"/>
        </w:rPr>
      </w:pPr>
    </w:p>
    <w:p>
      <w:pPr>
        <w:ind w:right="40" w:firstLine="436"/>
        <w:spacing w:after="0" w:line="284"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Offered Securities for sale to the public as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Final Prospectus.</w:t>
      </w:r>
    </w:p>
    <w:p>
      <w:pPr>
        <w:spacing w:after="0" w:line="5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Company</w:t>
      </w:r>
      <w:r>
        <w:rPr>
          <w:rFonts w:ascii="Times New Roman" w:cs="Times New Roman" w:eastAsia="Times New Roman" w:hAnsi="Times New Roman"/>
          <w:sz w:val="18"/>
          <w:szCs w:val="18"/>
          <w:color w:val="auto"/>
        </w:rPr>
        <w:t>. As of the date hereof, the Company agrees with the several Underwriters that:</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4" w:lineRule="auto"/>
        <w:tabs>
          <w:tab w:leader="none" w:pos="16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Prospectuses</w:t>
      </w:r>
      <w:r>
        <w:rPr>
          <w:rFonts w:ascii="Times New Roman" w:cs="Times New Roman" w:eastAsia="Times New Roman" w:hAnsi="Times New Roman"/>
          <w:sz w:val="18"/>
          <w:szCs w:val="18"/>
          <w:color w:val="auto"/>
        </w:rPr>
        <w:t>. The Company has filed or will file each Statutory Prospectus (including the Final Prospectus)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accordance with Rule 424(b) not later than the time period prescribed by such Rule.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ind w:left="-7" w:firstLine="408"/>
        <w:spacing w:after="0" w:line="254"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Filing of Amendments; Response to Commission Requests</w:t>
      </w:r>
      <w:r>
        <w:rPr>
          <w:rFonts w:ascii="Times New Roman" w:cs="Times New Roman" w:eastAsia="Times New Roman" w:hAnsi="Times New Roman"/>
          <w:sz w:val="18"/>
          <w:szCs w:val="18"/>
          <w:color w:val="auto"/>
        </w:rPr>
        <w:t>. For so long as a prospectus relating to the Offered Securities is (or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exemption in Rule 172 would be) required to be delivered under the Act by any Underwriter or dealer, the Company will promptly advise the Representatives of any proposal to amend or supplement the Registration Statement or any Statutory Prospectus at any time and will offer the Representatives a reasonable opportunity to comment on any such amendment or supplement; and the Company will also advise the Representatives promptly of (i) the filing of any such amendment or supplement, (ii) any request by the Commission or its staff for any amendment to the Registration Statement, for any supplement to any Statutory Prospectus or for any additional information,</w:t>
      </w:r>
    </w:p>
    <w:p>
      <w:pPr>
        <w:spacing w:after="0" w:line="1" w:lineRule="exact"/>
        <w:rPr>
          <w:rFonts w:ascii="Times New Roman" w:cs="Times New Roman" w:eastAsia="Times New Roman" w:hAnsi="Times New Roman"/>
          <w:sz w:val="18"/>
          <w:szCs w:val="18"/>
          <w:color w:val="auto"/>
        </w:rPr>
      </w:pPr>
    </w:p>
    <w:p>
      <w:pPr>
        <w:ind w:left="-7" w:firstLine="7"/>
        <w:spacing w:after="0" w:line="253" w:lineRule="auto"/>
        <w:tabs>
          <w:tab w:leader="none" w:pos="3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Commission of any stop order proceedings in respect of the Registration Statement or the threatening of any proceeding for that purpose, and (iv) the receipt by the Company of any notification with respect to the suspension of the qualification of the Offered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p>
      <w:pPr>
        <w:spacing w:after="0" w:line="76" w:lineRule="exact"/>
        <w:rPr>
          <w:rFonts w:ascii="Times New Roman" w:cs="Times New Roman" w:eastAsia="Times New Roman" w:hAnsi="Times New Roman"/>
          <w:sz w:val="18"/>
          <w:szCs w:val="18"/>
          <w:color w:val="auto"/>
        </w:rPr>
      </w:pPr>
    </w:p>
    <w:p>
      <w:pPr>
        <w:ind w:left="-7" w:right="20" w:firstLine="408"/>
        <w:spacing w:after="0" w:line="253" w:lineRule="auto"/>
        <w:tabs>
          <w:tab w:leader="none" w:pos="63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If, at any time when a prospectus relating to the Offered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 in Rule 172 would be) required to be delivered under the Act by any Underwriter or dealer, any event occurs as a result of which the Registration Statement, as then amended, would contain an untrue statement of a material fact or omit to state a material fact required to be stated therein or necessary to make the statements therein not misleading, or the General Disclosure Package or the Final Prospectus, as the case may be, would include an untrue statement of a material fact or omit to state any material fact necessary in order to make the statements therein, in the light of the circumstances under which they were made, not misleading, or if it is necessary at any time to amend the Registration Statement or amend or supplement the General Disclosure Package or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9 hereof.</w:t>
      </w:r>
    </w:p>
    <w:p>
      <w:pPr>
        <w:spacing w:after="0" w:line="81" w:lineRule="exact"/>
        <w:rPr>
          <w:rFonts w:ascii="Times New Roman" w:cs="Times New Roman" w:eastAsia="Times New Roman" w:hAnsi="Times New Roman"/>
          <w:sz w:val="18"/>
          <w:szCs w:val="18"/>
          <w:color w:val="auto"/>
        </w:rPr>
      </w:pPr>
    </w:p>
    <w:p>
      <w:pPr>
        <w:ind w:left="-7" w:right="20" w:firstLine="408"/>
        <w:spacing w:after="0" w:line="267"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As soon as practicable, but not later than 16 months after the date of this Agreement, the Company will make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108"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93"/>
          </w:cols>
          <w:pgMar w:left="1427" w:top="268" w:right="479" w:bottom="1440" w:gutter="0" w:footer="0" w:header="0"/>
        </w:sectPr>
      </w:pPr>
    </w:p>
    <w:bookmarkStart w:id="22" w:name="page23"/>
    <w:bookmarkEnd w:id="22"/>
    <w:p>
      <w:pPr>
        <w:jc w:val="both"/>
        <w:ind w:right="120" w:firstLine="408"/>
        <w:spacing w:after="0" w:line="271" w:lineRule="auto"/>
        <w:tabs>
          <w:tab w:leader="none" w:pos="64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Furnishing of Prospectuses</w:t>
      </w:r>
      <w:r>
        <w:rPr>
          <w:rFonts w:ascii="Times New Roman" w:cs="Times New Roman" w:eastAsia="Times New Roman" w:hAnsi="Times New Roman"/>
          <w:sz w:val="17"/>
          <w:szCs w:val="17"/>
          <w:color w:val="auto"/>
        </w:rPr>
        <w:t>. The Company will furnish to the Representatives copies of the Registration Statement, including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exhibits, any Statutory Prospectus, the Final Prospectus and all amendments and supplements to such documents, in each case as soon as available and in such quantities as the Representatives reasonably request and the Company hereby consents to the use of such copies for purposes permitted by the Act. The Company will pay the expenses of printing and distributing to the Underwriters all such documents.</w:t>
      </w:r>
    </w:p>
    <w:p>
      <w:pPr>
        <w:spacing w:after="0" w:line="1"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Statutory Prospectus and the Final Prospectus and any amendment or supplement thereto furnished to the Underwriters will be identical to the electronically transmitted copies thereof filed with the Commission pursuant to EDGAR (as defined below), except to the extent permitted by Regulation S-T.</w:t>
      </w:r>
    </w:p>
    <w:p>
      <w:pPr>
        <w:spacing w:after="0" w:line="75" w:lineRule="exact"/>
        <w:rPr>
          <w:rFonts w:ascii="Times New Roman" w:cs="Times New Roman" w:eastAsia="Times New Roman" w:hAnsi="Times New Roman"/>
          <w:sz w:val="17"/>
          <w:szCs w:val="17"/>
          <w:color w:val="auto"/>
        </w:rPr>
      </w:pPr>
    </w:p>
    <w:p>
      <w:pPr>
        <w:ind w:firstLine="408"/>
        <w:spacing w:after="0" w:line="258" w:lineRule="auto"/>
        <w:tabs>
          <w:tab w:leader="none" w:pos="6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reasonable best efforts to arrange for the qualification of the Offered Securities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and the determination of their eligibility for investment under the securities or blue sky laws of such U.S. jurisdictions as the Representatives designate and will continue such qualifications in effect so long as required for the distribution of the Offered Securities by the Underwriters; provided that the Company will not be required to qualify as a foreign corporation or to file a general consent to service of process or subject itself to taxation in any such jurisdiction.</w:t>
      </w:r>
    </w:p>
    <w:p>
      <w:pPr>
        <w:spacing w:after="0" w:line="75" w:lineRule="exact"/>
        <w:rPr>
          <w:rFonts w:ascii="Times New Roman" w:cs="Times New Roman" w:eastAsia="Times New Roman" w:hAnsi="Times New Roman"/>
          <w:sz w:val="18"/>
          <w:szCs w:val="18"/>
          <w:color w:val="auto"/>
        </w:rPr>
      </w:pPr>
    </w:p>
    <w:p>
      <w:pPr>
        <w:ind w:right="20" w:firstLine="40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For so long as the Offered Securities remain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and, upon request, to each of the other Underwriters, as soon as practicable after the end of each fiscal year, a copy of its annual report to shareholders for such year; and the Company will furnish to the Representatives (i) 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it is not required to furnish such reports or statements to the Underwriters.</w:t>
      </w:r>
    </w:p>
    <w:p>
      <w:pPr>
        <w:spacing w:after="0" w:line="76" w:lineRule="exact"/>
        <w:rPr>
          <w:rFonts w:ascii="Times New Roman" w:cs="Times New Roman" w:eastAsia="Times New Roman" w:hAnsi="Times New Roman"/>
          <w:sz w:val="18"/>
          <w:szCs w:val="18"/>
          <w:color w:val="auto"/>
        </w:rPr>
      </w:pPr>
    </w:p>
    <w:p>
      <w:pPr>
        <w:ind w:right="20" w:firstLine="408"/>
        <w:spacing w:after="0" w:line="25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will pay all expenses incidental to the performance of the obligations of the Company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(other than underwriting discounts, selling commissions and stock transfer taxes applicable to the sale of the Offered Securities), including but not limited to any filing fees and other expenses (including fees and disbursements of counsel to the Company in connection therewith) incurred in connection with qualification of the Offered Securities for sale and determination of their eligibility for investment under the laws of such jurisdictions as the Representatives designate and the preparation and printing (if any) of “Blue Sky” memoranda relating thereto (including the related fees and expenses of counsel for the Underwriters), costs and expenses related to the review by FINRA (if any) of the Offered Securities (including filing fees and the fees and expenses of</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20"/>
          </w:cols>
          <w:pgMar w:left="1420" w:top="268" w:right="45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counsel for the Underwriters relating to such review), costs and expenses relating to investor presentations or any “road show” in connection with the offering and sale of the Offered Securities including, without limitation, any travel expenses of the Company’s officers and employees and any other expenses of the Company, including the chartering of airplanes, fees and expenses incident to listing the Offered Securities on the NASDAQ Stock Exchange,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6(h), Section 7(c) or Section 10 hereof, the Underwriters will pay all of their own costs and expenses, including the fees and expenses of counsel to the Underwriters and any advertising expenses incurred in connection with the offering of the Offered Securities.</w:t>
      </w:r>
    </w:p>
    <w:p>
      <w:pPr>
        <w:spacing w:after="0" w:line="82" w:lineRule="exact"/>
        <w:rPr>
          <w:sz w:val="20"/>
          <w:szCs w:val="20"/>
          <w:color w:val="auto"/>
        </w:rPr>
      </w:pPr>
    </w:p>
    <w:p>
      <w:pPr>
        <w:ind w:right="120" w:firstLine="408"/>
        <w:spacing w:after="0" w:line="267" w:lineRule="auto"/>
        <w:tabs>
          <w:tab w:leader="none" w:pos="6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of its subsidiaries will take, directly or indirectly, any action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that would constitute or that might reasonably be expected to cause or result in, stabilization or manipulation of the price of any securities of the Company to facilitate the sale or resale of the Offered Securities.</w:t>
      </w:r>
    </w:p>
    <w:p>
      <w:pPr>
        <w:spacing w:after="0" w:line="65" w:lineRule="exact"/>
        <w:rPr>
          <w:rFonts w:ascii="Times New Roman" w:cs="Times New Roman" w:eastAsia="Times New Roman" w:hAnsi="Times New Roman"/>
          <w:sz w:val="18"/>
          <w:szCs w:val="18"/>
          <w:color w:val="auto"/>
        </w:rPr>
      </w:pPr>
    </w:p>
    <w:p>
      <w:pPr>
        <w:ind w:right="40" w:firstLine="408"/>
        <w:spacing w:after="0" w:line="252" w:lineRule="auto"/>
        <w:tabs>
          <w:tab w:leader="none" w:pos="6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The Company will not, without the prior written consent of the Representatives, (i) offer, sell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controlled affiliate of the Company (which for the avoidance of doubt, does not include the Company’s officers, employees or directors)),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shares of common stock of the Company or any securities convertible into, or exercisable, or exchangeable for, shares of common stock of the Company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or (ii) publicly announce an intention to effect any such transaction, in either case, for a period of 30 days after the date of the Underwriting Agreement. The foregoing sentence shall not apply to (A) any shares of common stock issued by the Company under its employee stock purchase plan (including subplans) or upon the vesting or exercise of awards issued under its equity incentive plans, including upon the exercise of options to purchase shares of common stock or upon the vesting of restricted stock units, performance share units, restricted stock awards or deferred compensation notional units, in each case outstanding as of the date of this Agreement, (B) the grant of awards, shares or interests pursuant to employee benefit plans or similar arrangements in place as of the date of this Agreement described in the General Disclosure Package and the Final Prospectus, (C) the issuance or grant of shares of common stock pursuant to stock-based awards registered or to be registered pursuant to any registration</w:t>
      </w:r>
    </w:p>
    <w:p>
      <w:pPr>
        <w:spacing w:after="0" w:line="1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20"/>
          </w:cols>
          <w:pgMar w:left="1420" w:top="270" w:right="459" w:bottom="1440" w:gutter="0" w:footer="0" w:header="0"/>
        </w:sectPr>
      </w:pPr>
    </w:p>
    <w:bookmarkStart w:id="24" w:name="page25"/>
    <w:bookmarkEnd w:id="24"/>
    <w:p>
      <w:pPr>
        <w:ind w:left="5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statement on Form S-8 pursuant to employee benefit plans or arrangements, (D) the issuance of shares of common stock (or securities convertible into common stock) in connection with the acquisition by the Company or any of its controlled affiliates of the securities, business, property or other assets of another person or business entity or pursuant to any employee benefit plan assumed by the Company in connection with any such acquisition, (E) the issuance of shares of common stock (or securities convertible into common stock), of restricted stock awards (or similar equity awards) or of options to purchase shares of common stock, in each case, in connection with joint ventures, commercial relationships or other strategic transactions or (F) the Share Repurchase;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immediately preceding clauses (D) and (E) only, (i) the aggregate number of restricted stock awards and shares of common stock issued in connection with, or issuable pursuant to the exercise of any options issued in connection with, all such acquisitions and other transactions described in clause (E) does not exceed 5% of the aggregate number of shares of common stock outstanding immediately following the consummation of the offering of the Offered Securities and (ii) any recipient of shares of common stock representing more than 1% of the aggregate number of shares of common stock outstanding immediately following the consummation of the offering of the Offered Securities in connection with such acquisitions or other transactions described in clause (E) agrees in writing to be bound by the same terms described in the agreement attached hereto as Exhibit C.</w:t>
      </w:r>
    </w:p>
    <w:p>
      <w:pPr>
        <w:spacing w:after="0" w:line="79" w:lineRule="exact"/>
        <w:rPr>
          <w:sz w:val="20"/>
          <w:szCs w:val="20"/>
          <w:color w:val="auto"/>
        </w:rPr>
      </w:pPr>
    </w:p>
    <w:p>
      <w:pPr>
        <w:ind w:left="544" w:right="400" w:firstLine="408"/>
        <w:spacing w:after="0" w:line="282" w:lineRule="auto"/>
        <w:tabs>
          <w:tab w:leader="none" w:pos="11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may, in their sole discretion, waive in writing the performance by the Company of any one or more of the foregoing covenants or extend the time for their performance.</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Agreements of the Selling Shareholder</w:t>
      </w:r>
      <w:r>
        <w:rPr>
          <w:rFonts w:ascii="Times New Roman" w:cs="Times New Roman" w:eastAsia="Times New Roman" w:hAnsi="Times New Roman"/>
          <w:sz w:val="18"/>
          <w:szCs w:val="18"/>
          <w:color w:val="auto"/>
        </w:rPr>
        <w:t>. The Selling Shareholder covenants and agrees with each Underwriter that:</w:t>
      </w:r>
    </w:p>
    <w:p>
      <w:pPr>
        <w:spacing w:after="0" w:line="117" w:lineRule="exact"/>
        <w:rPr>
          <w:rFonts w:ascii="Times New Roman" w:cs="Times New Roman" w:eastAsia="Times New Roman" w:hAnsi="Times New Roman"/>
          <w:sz w:val="18"/>
          <w:szCs w:val="18"/>
          <w:color w:val="auto"/>
        </w:rPr>
      </w:pPr>
    </w:p>
    <w:p>
      <w:pPr>
        <w:ind w:left="544" w:firstLine="408"/>
        <w:spacing w:after="0" w:line="258" w:lineRule="auto"/>
        <w:tabs>
          <w:tab w:leader="none" w:pos="11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Material Changes</w:t>
      </w:r>
      <w:r>
        <w:rPr>
          <w:rFonts w:ascii="Times New Roman" w:cs="Times New Roman" w:eastAsia="Times New Roman" w:hAnsi="Times New Roman"/>
          <w:sz w:val="18"/>
          <w:szCs w:val="18"/>
          <w:color w:val="auto"/>
        </w:rPr>
        <w:t>. The Selling Shareholder will advise you promptly, and if requested by you, will confirm such advice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writing, during the period when a prospectus relating to the Offered Securities is required by the Securities Act to be delivered (whether physically or through compliance with Rule 172 under the Securities Act or any similar rule), of any change in the Selling Shareholder’s Information in the Registration Statement, any preliminary prospectus, any free writing prospectus, the Final Prospectus or any amendment or supplement thereto relating to the Selling Shareholder.</w:t>
      </w:r>
    </w:p>
    <w:p>
      <w:pPr>
        <w:spacing w:after="0" w:line="75" w:lineRule="exact"/>
        <w:rPr>
          <w:rFonts w:ascii="Times New Roman" w:cs="Times New Roman" w:eastAsia="Times New Roman" w:hAnsi="Times New Roman"/>
          <w:sz w:val="18"/>
          <w:szCs w:val="18"/>
          <w:color w:val="auto"/>
        </w:rPr>
      </w:pPr>
    </w:p>
    <w:p>
      <w:pPr>
        <w:ind w:left="544" w:right="380" w:firstLine="408"/>
        <w:spacing w:after="0" w:line="284" w:lineRule="auto"/>
        <w:tabs>
          <w:tab w:leader="none" w:pos="11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Form</w:t>
      </w:r>
      <w:r>
        <w:rPr>
          <w:rFonts w:ascii="Times New Roman" w:cs="Times New Roman" w:eastAsia="Times New Roman" w:hAnsi="Times New Roman"/>
          <w:sz w:val="18"/>
          <w:szCs w:val="18"/>
          <w:color w:val="auto"/>
        </w:rPr>
        <w:t>. The Selling Shareholder will deliver to the Underwriters prior to the First Closing Date a properly completed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United States Treasury Department Form W-9, together with all required attachments, if any.</w:t>
      </w:r>
    </w:p>
    <w:p>
      <w:pPr>
        <w:spacing w:after="0" w:line="50" w:lineRule="exact"/>
        <w:rPr>
          <w:rFonts w:ascii="Times New Roman" w:cs="Times New Roman" w:eastAsia="Times New Roman" w:hAnsi="Times New Roman"/>
          <w:sz w:val="18"/>
          <w:szCs w:val="18"/>
          <w:color w:val="auto"/>
        </w:rPr>
      </w:pPr>
    </w:p>
    <w:p>
      <w:pPr>
        <w:ind w:left="544" w:firstLine="408"/>
        <w:spacing w:after="0" w:line="258" w:lineRule="auto"/>
        <w:tabs>
          <w:tab w:leader="none" w:pos="11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Selling Shareholder will pay all fees and expenses of counsel to the Selling Shareholder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discounts, selling commissions and stock transfer taxes applicable to the sale of the Offered Securities to the Underwriters. It is understood, however, that, except as provided in Section 6(h), this Section 7(c) or Section 10 hereof, the Underwriters will pay all of their own costs and expenses, including the fees and expenses of counsel to the Underwriters and any advertising expenses incurred in connection with the offering of the Offered Securities.</w:t>
      </w:r>
    </w:p>
    <w:p>
      <w:pPr>
        <w:spacing w:after="0" w:line="11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24"/>
          </w:cols>
          <w:pgMar w:left="876" w:top="270" w:right="499" w:bottom="1440" w:gutter="0" w:footer="0" w:header="0"/>
        </w:sectPr>
      </w:pPr>
    </w:p>
    <w:bookmarkStart w:id="25" w:name="page26"/>
    <w:bookmarkEnd w:id="25"/>
    <w:p>
      <w:pPr>
        <w:ind w:left="980" w:right="140" w:firstLine="408"/>
        <w:spacing w:after="0" w:line="282" w:lineRule="auto"/>
        <w:tabs>
          <w:tab w:leader="none" w:pos="16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may, in their sole discretion, waive in writing the performance by the Selling Shareholder of any one or more of the foregoing covenants or extend the time for their performance.</w:t>
      </w:r>
    </w:p>
    <w:p>
      <w:pPr>
        <w:spacing w:after="0" w:line="15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The Company and the Selling Shareholder each represents and agrees that, unless it obtains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consent of the Representatives, and each 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complied and will comply with the requirements of Rules 164 and 433 applicable to any Permitted Free Writing Prospectus, including timely Commission filing where required, legending and record keeping.</w:t>
      </w:r>
    </w:p>
    <w:p>
      <w:pPr>
        <w:spacing w:after="0" w:line="184" w:lineRule="exact"/>
        <w:rPr>
          <w:rFonts w:ascii="Times New Roman" w:cs="Times New Roman" w:eastAsia="Times New Roman" w:hAnsi="Times New Roman"/>
          <w:sz w:val="18"/>
          <w:szCs w:val="18"/>
          <w:color w:val="auto"/>
        </w:rPr>
      </w:pPr>
    </w:p>
    <w:p>
      <w:pPr>
        <w:jc w:val="both"/>
        <w:ind w:right="160" w:firstLine="436"/>
        <w:spacing w:after="0" w:line="258"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Firm Securities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Closing Date and the Optional Securities to be purchased on each Optional Closing Date will be subject to the accuracy of the representations and warranties of the Company and the Selling Shareholder herein (as though made on such Closing Date), to the accuracy of the statements of Company officers made pursuant to the provisions hereof, to the performance by the Company and the Selling Shareholder of their obligations hereunder and to the following additional conditions precedent:</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420" w:firstLine="391"/>
        <w:spacing w:after="0" w:line="255" w:lineRule="auto"/>
        <w:tabs>
          <w:tab w:leader="none" w:pos="201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at the request of the Company, letters, in a form reasonably acceptable to the Representatives, dated the date hereof and each Closing Date, of Deloitte &amp; Touche LLP, confirming that they are a registered public accounting firm and independent public accountants within the meaning of the Securities Laws and containing statements and information of the type customarily included in accountants’ “comfort letters” to underwriters with respect to the financial statements and certain financial information of the Company and its consolidated subsidiaries contained or incorporated by reference in the Registration Statement, the General Disclosure Package and the Final Prospectus; provided that the letter delivered on such Closing Date shall use a “cut-off” date no more than three business days prior to such Closing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6" w:name="page27"/>
    <w:bookmarkEnd w:id="26"/>
    <w:p>
      <w:pPr>
        <w:ind w:left="433" w:firstLine="391"/>
        <w:spacing w:after="0" w:line="255" w:lineRule="auto"/>
        <w:tabs>
          <w:tab w:leader="none" w:pos="108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Representatives shall have received, at the request of the Company and First Data, letters, in a form reasonably acceptable to the Representatives, dated the date hereof and each Closing Date, of Ernst &amp; Young LLP confirming that they are a registered public accounting firm and independent public accountants within the meaning of the Securities Laws and containing statements and information of the type customarily included in accountants’ “comfort letters” to underwriters with respect to the financial statements and certain financial information of the First Data and its consolidated subsidiaries incorporated by reference in the Registration Statement, the General Disclosure Package and the Final Prospectus; provided that the letter delivered on such Closing Date shall use a “cut-off” date no more than three business days prior to such Closing Date.</w:t>
      </w:r>
    </w:p>
    <w:p>
      <w:pPr>
        <w:spacing w:after="0" w:line="78" w:lineRule="exact"/>
        <w:rPr>
          <w:rFonts w:ascii="Times New Roman" w:cs="Times New Roman" w:eastAsia="Times New Roman" w:hAnsi="Times New Roman"/>
          <w:sz w:val="18"/>
          <w:szCs w:val="18"/>
          <w:color w:val="auto"/>
        </w:rPr>
      </w:pPr>
    </w:p>
    <w:p>
      <w:pPr>
        <w:ind w:left="-7" w:right="60" w:firstLine="408"/>
        <w:spacing w:after="0" w:line="261" w:lineRule="auto"/>
        <w:tabs>
          <w:tab w:leader="none" w:pos="6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Prospectus</w:t>
      </w:r>
      <w:r>
        <w:rPr>
          <w:rFonts w:ascii="Times New Roman" w:cs="Times New Roman" w:eastAsia="Times New Roman" w:hAnsi="Times New Roman"/>
          <w:sz w:val="18"/>
          <w:szCs w:val="18"/>
          <w:color w:val="auto"/>
        </w:rPr>
        <w:t>. The Final Prospectus shall have been filed with the Commission in accordance with the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Section 6(a)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71" w:lineRule="exact"/>
        <w:rPr>
          <w:rFonts w:ascii="Times New Roman" w:cs="Times New Roman" w:eastAsia="Times New Roman" w:hAnsi="Times New Roman"/>
          <w:sz w:val="18"/>
          <w:szCs w:val="18"/>
          <w:color w:val="auto"/>
        </w:rPr>
      </w:pPr>
    </w:p>
    <w:p>
      <w:pPr>
        <w:ind w:left="-7" w:right="20" w:firstLine="408"/>
        <w:spacing w:after="0" w:line="252" w:lineRule="auto"/>
        <w:tabs>
          <w:tab w:leader="none" w:pos="63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any development or event involving a prospective change, in the financial condition, results of operations, business or properties of the Company and its subsidiaries, taken as a whole, which, in the judgment of the Representatives, is material and adverse and makes it impractical or inadvisable to market, or to enforce contracts for the sale of, the Offered Securities; (ii)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(iii)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(iv) any suspension or material limitation of trading in securities generally on the New York Stock Exchange or NASDAQ Stock Market, or any setting of minimum or maximum prices for trading on such exchange; (v)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w:t>
      </w:r>
    </w:p>
    <w:p>
      <w:pPr>
        <w:spacing w:after="0" w:line="5" w:lineRule="exact"/>
        <w:rPr>
          <w:rFonts w:ascii="Times New Roman" w:cs="Times New Roman" w:eastAsia="Times New Roman" w:hAnsi="Times New Roman"/>
          <w:sz w:val="18"/>
          <w:szCs w:val="18"/>
          <w:color w:val="auto"/>
        </w:rPr>
      </w:pPr>
    </w:p>
    <w:p>
      <w:pPr>
        <w:ind w:left="-7" w:right="260" w:firstLine="7"/>
        <w:spacing w:after="0" w:line="253" w:lineRule="auto"/>
        <w:tabs>
          <w:tab w:leader="none" w:pos="3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attack on, or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or to enforce contracts for the sale of, the Offered Securities or to enforce contracts for the sale of the Offered Securities.</w:t>
      </w:r>
    </w:p>
    <w:p>
      <w:pPr>
        <w:spacing w:after="0" w:line="121"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953"/>
          </w:cols>
          <w:pgMar w:left="1427" w:top="270" w:right="519" w:bottom="1440" w:gutter="0" w:footer="0" w:header="0"/>
        </w:sectPr>
      </w:pPr>
    </w:p>
    <w:bookmarkStart w:id="27" w:name="page28"/>
    <w:bookmarkEnd w:id="27"/>
    <w:p>
      <w:pPr>
        <w:ind w:left="-20" w:right="20" w:firstLine="408"/>
        <w:spacing w:after="0" w:line="25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 of Counsel for Company</w:t>
      </w:r>
      <w:r>
        <w:rPr>
          <w:rFonts w:ascii="Times New Roman" w:cs="Times New Roman" w:eastAsia="Times New Roman" w:hAnsi="Times New Roman"/>
          <w:sz w:val="18"/>
          <w:szCs w:val="18"/>
          <w:color w:val="auto"/>
        </w:rPr>
        <w:t>. The Representatives shall have received an opinion and negative assurance letter, each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Closing Date, of Sullivan &amp; Cromwell LLP, counsel for the Company, substantially to the effect set forth in </w:t>
      </w:r>
      <w:r>
        <w:rPr>
          <w:rFonts w:ascii="Times New Roman" w:cs="Times New Roman" w:eastAsia="Times New Roman" w:hAnsi="Times New Roman"/>
          <w:sz w:val="18"/>
          <w:szCs w:val="18"/>
          <w:b w:val="1"/>
          <w:bCs w:val="1"/>
          <w:color w:val="auto"/>
        </w:rPr>
        <w:t>Exhibit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Exhibit A-2 </w:t>
      </w:r>
      <w:r>
        <w:rPr>
          <w:rFonts w:ascii="Times New Roman" w:cs="Times New Roman" w:eastAsia="Times New Roman" w:hAnsi="Times New Roman"/>
          <w:sz w:val="18"/>
          <w:szCs w:val="18"/>
          <w:color w:val="auto"/>
        </w:rPr>
        <w:t>hereto, respectively. The Company intends and agrees that Sullivan &amp; Cromwell LLP is authorized to rely upon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made by the Company and the Selling Shareholder in this Agreement in connection with rendering its opinions pursuant to this paragraph (d).</w:t>
      </w:r>
    </w:p>
    <w:p>
      <w:pPr>
        <w:spacing w:after="0" w:line="75" w:lineRule="exact"/>
        <w:rPr>
          <w:rFonts w:ascii="Times New Roman" w:cs="Times New Roman" w:eastAsia="Times New Roman" w:hAnsi="Times New Roman"/>
          <w:sz w:val="18"/>
          <w:szCs w:val="18"/>
          <w:color w:val="auto"/>
        </w:rPr>
      </w:pPr>
    </w:p>
    <w:p>
      <w:pPr>
        <w:ind w:left="-20" w:right="300" w:firstLine="408"/>
        <w:spacing w:after="0" w:line="284" w:lineRule="auto"/>
        <w:tabs>
          <w:tab w:leader="none" w:pos="6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Company’s General Counsel</w:t>
      </w:r>
      <w:r>
        <w:rPr>
          <w:rFonts w:ascii="Times New Roman" w:cs="Times New Roman" w:eastAsia="Times New Roman" w:hAnsi="Times New Roman"/>
          <w:sz w:val="18"/>
          <w:szCs w:val="18"/>
          <w:color w:val="auto"/>
        </w:rPr>
        <w:t>. The Representatives shall have received an opinion, dated such Closing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general counsel or any assistant general counsel, substantially to the effect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w:t>
      </w:r>
    </w:p>
    <w:p>
      <w:pPr>
        <w:spacing w:after="0" w:line="50" w:lineRule="exact"/>
        <w:rPr>
          <w:rFonts w:ascii="Times New Roman" w:cs="Times New Roman" w:eastAsia="Times New Roman" w:hAnsi="Times New Roman"/>
          <w:sz w:val="18"/>
          <w:szCs w:val="18"/>
          <w:color w:val="auto"/>
        </w:rPr>
      </w:pPr>
    </w:p>
    <w:p>
      <w:pPr>
        <w:ind w:left="-20" w:right="100" w:firstLine="408"/>
        <w:spacing w:after="0" w:line="284" w:lineRule="auto"/>
        <w:tabs>
          <w:tab w:leader="none" w:pos="6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Selling Shareholder</w:t>
      </w:r>
      <w:r>
        <w:rPr>
          <w:rFonts w:ascii="Times New Roman" w:cs="Times New Roman" w:eastAsia="Times New Roman" w:hAnsi="Times New Roman"/>
          <w:sz w:val="18"/>
          <w:szCs w:val="18"/>
          <w:color w:val="auto"/>
        </w:rPr>
        <w:t>. The Representatives shall have received an opinion, dated such Closing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Simpson Thacher &amp; Bartlett LLP, U.S. counsel for the Selling Shareholder, in form and substance acceptable to the Underwriters.</w:t>
      </w:r>
    </w:p>
    <w:p>
      <w:pPr>
        <w:spacing w:after="0" w:line="50" w:lineRule="exact"/>
        <w:rPr>
          <w:rFonts w:ascii="Times New Roman" w:cs="Times New Roman" w:eastAsia="Times New Roman" w:hAnsi="Times New Roman"/>
          <w:sz w:val="18"/>
          <w:szCs w:val="18"/>
          <w:color w:val="auto"/>
        </w:rPr>
      </w:pPr>
    </w:p>
    <w:p>
      <w:pPr>
        <w:ind w:left="-20" w:firstLine="408"/>
        <w:spacing w:after="0" w:line="25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The Representatives shall have received from Davis Polk &amp; Wardwell LLP,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opinion or opinions, dated such Closing Date, with respect to such matters as the Representatives may require, and the Company shall have furnished to such counsel such documents as they request for the purpose of enabling them to pass upon such matters. In rendering such opinion, Davis Polk &amp; Wardwell LLP may rely as to all matters governed by Wisconsin law upon the opinion of the general counsel or assistant general counsel to the Company.</w:t>
      </w:r>
    </w:p>
    <w:p>
      <w:pPr>
        <w:spacing w:after="0" w:line="75" w:lineRule="exact"/>
        <w:rPr>
          <w:rFonts w:ascii="Times New Roman" w:cs="Times New Roman" w:eastAsia="Times New Roman" w:hAnsi="Times New Roman"/>
          <w:sz w:val="18"/>
          <w:szCs w:val="18"/>
          <w:color w:val="auto"/>
        </w:rPr>
      </w:pPr>
    </w:p>
    <w:p>
      <w:pPr>
        <w:ind w:left="-20" w:right="20" w:firstLine="408"/>
        <w:spacing w:after="0" w:line="25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Representatives shall have received a certificate, dated such Closing Date, (i) of an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a principal financial or accounting officer of the Company in which such officers shall state that: the representations and warranties of the Company in this Agreement are true and correct; the Company has complied in all material respects with all agreements and satisfied all conditions on its part to be performed or satisfied hereunder at or prior to such Closing Date; no stop order suspending the effectiveness of the Registration Statement has been issued and no proceedings for that purpose have been instituted or, to their knowledge, are threatened by the Commission; and, subsequent to the respective dates of the most recent financial statements in the Registration Statement, the General Disclosure Package and the Final Prospectus, there has been no material adverse change, nor any development or event involving a prospective material adverse change, in the financial condition, results of operations, business or properties of the Company and its subsidiaries, taken as a whole, except as set forth in the Registration</w:t>
      </w:r>
    </w:p>
    <w:p>
      <w:pPr>
        <w:spacing w:after="0" w:line="1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980"/>
          </w:cols>
          <w:pgMar w:left="1440" w:top="268" w:right="479" w:bottom="1440" w:gutter="0" w:footer="0" w:header="0"/>
        </w:sectPr>
      </w:pPr>
    </w:p>
    <w:bookmarkStart w:id="28" w:name="page29"/>
    <w:bookmarkEnd w:id="28"/>
    <w:p>
      <w:pPr>
        <w:ind w:left="980"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the General Disclosure Package and the Final Prospectus, and (ii) of an authorized person on behalf of the general partner of the Selling Shareholder, to the effect that (A) the representations and warranties of the Selling Shareholder in this Agreement are true and correct in all material respects (except to the extent already qualified by materiality, in which case such representations and warranties shall be subject to accuracy in all respects) with the same force and effect as though expressly made at and as of such Closing Date and</w:t>
      </w:r>
    </w:p>
    <w:p>
      <w:pPr>
        <w:spacing w:after="0" w:line="3" w:lineRule="exact"/>
        <w:rPr>
          <w:sz w:val="20"/>
          <w:szCs w:val="20"/>
          <w:color w:val="auto"/>
        </w:rPr>
      </w:pPr>
    </w:p>
    <w:p>
      <w:pPr>
        <w:ind w:left="980" w:firstLine="7"/>
        <w:spacing w:after="0" w:line="260" w:lineRule="auto"/>
        <w:tabs>
          <w:tab w:leader="none" w:pos="1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Shareholder has complied in all material respects with all agreements and satisfied all conditions on its part to be performed under this Agreement at or prior to such Closing Date.</w:t>
      </w:r>
    </w:p>
    <w:p>
      <w:pPr>
        <w:spacing w:after="0" w:line="71" w:lineRule="exact"/>
        <w:rPr>
          <w:rFonts w:ascii="Times New Roman" w:cs="Times New Roman" w:eastAsia="Times New Roman" w:hAnsi="Times New Roman"/>
          <w:sz w:val="18"/>
          <w:szCs w:val="18"/>
          <w:color w:val="auto"/>
        </w:rPr>
      </w:pPr>
    </w:p>
    <w:p>
      <w:pPr>
        <w:ind w:left="980" w:right="420" w:firstLine="408"/>
        <w:spacing w:after="0" w:line="284" w:lineRule="auto"/>
        <w:tabs>
          <w:tab w:leader="none" w:pos="15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w:t>
      </w:r>
      <w:r>
        <w:rPr>
          <w:rFonts w:ascii="Times New Roman" w:cs="Times New Roman" w:eastAsia="Times New Roman" w:hAnsi="Times New Roman"/>
          <w:sz w:val="18"/>
          <w:szCs w:val="18"/>
          <w:color w:val="auto"/>
        </w:rPr>
        <w:t>. On or prior to the date hereof, the Underwriters shall have received a signed lockup letter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hereto from the Selling Shareholder.</w:t>
      </w:r>
    </w:p>
    <w:p>
      <w:pPr>
        <w:spacing w:after="0" w:line="50" w:lineRule="exact"/>
        <w:rPr>
          <w:rFonts w:ascii="Times New Roman" w:cs="Times New Roman" w:eastAsia="Times New Roman" w:hAnsi="Times New Roman"/>
          <w:sz w:val="18"/>
          <w:szCs w:val="18"/>
          <w:color w:val="auto"/>
        </w:rPr>
      </w:pPr>
    </w:p>
    <w:p>
      <w:pPr>
        <w:ind w:left="980" w:right="180" w:firstLine="408"/>
        <w:spacing w:after="0" w:line="284" w:lineRule="auto"/>
        <w:tabs>
          <w:tab w:leader="none" w:pos="15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Repurchase</w:t>
      </w:r>
      <w:r>
        <w:rPr>
          <w:rFonts w:ascii="Times New Roman" w:cs="Times New Roman" w:eastAsia="Times New Roman" w:hAnsi="Times New Roman"/>
          <w:sz w:val="18"/>
          <w:szCs w:val="18"/>
          <w:color w:val="auto"/>
        </w:rPr>
        <w:t>. Contemporaneously with the consummation of the offering of the Firm Securities, the Share Repurchase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consummated.</w:t>
      </w:r>
    </w:p>
    <w:p>
      <w:pPr>
        <w:spacing w:after="0" w:line="16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Selling Shareholder will furnish the Representatives with such conformed copies of such opinions, certificates, letters and documents as the Representatives reasonably request. The Representatives may waive on behalf of the Underwriters compliance with any conditions to the obligations of the Underwriters hereunder, whether in respect of a Closing Date or otherwise.</w:t>
      </w:r>
    </w:p>
    <w:p>
      <w:pPr>
        <w:spacing w:after="0" w:line="174" w:lineRule="exact"/>
        <w:rPr>
          <w:sz w:val="20"/>
          <w:szCs w:val="20"/>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3" w:lineRule="auto"/>
        <w:tabs>
          <w:tab w:leader="none" w:pos="162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Underwriters by the Company</w:t>
      </w:r>
      <w:r>
        <w:rPr>
          <w:rFonts w:ascii="Times New Roman" w:cs="Times New Roman" w:eastAsia="Times New Roman" w:hAnsi="Times New Roman"/>
          <w:sz w:val="18"/>
          <w:szCs w:val="18"/>
          <w:color w:val="auto"/>
        </w:rPr>
        <w:t>. The Company will indemnify and hold harmless each Underwriter,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their respective 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each as amended or supplemented, or any Issuer Free Writing Prospectus or arise out of or are based upon the omission or alleged omission of a material fact required to be stated therein or necessary in order to make the statements therein (in the case of any Statutory Prospectus, the Final Prospectus or any Issuer Free Writing Prospectus, in the light of the circumstances under which they were made) not misleading, and will reimburse each Indemnified Party for any legal or other expenses reasonably incurred by such Indemnified Party in connection with investigating or defending against any such loss, claim, damage, liability, action, litigation, investigation or proceeding (whether or not such Indemnified Party is a party thereto), whether threatened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based upon (i) written information furnished to the Company by or on behalf of any Underwriter through the Representatives specifically for use therein, it being understood and agreed that the only such information furnished by any Underwriter consists of the information described as such in paragraph (c) below or (ii) the Selling Shareholder Information.</w:t>
      </w:r>
    </w:p>
    <w:p>
      <w:pPr>
        <w:spacing w:after="0" w:line="77" w:lineRule="exact"/>
        <w:rPr>
          <w:sz w:val="20"/>
          <w:szCs w:val="20"/>
          <w:color w:val="auto"/>
        </w:rPr>
      </w:pPr>
    </w:p>
    <w:p>
      <w:pPr>
        <w:ind w:firstLine="408"/>
        <w:spacing w:after="0" w:line="254" w:lineRule="auto"/>
        <w:tabs>
          <w:tab w:leader="none" w:pos="6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 by the Selling Shareholder</w:t>
      </w:r>
      <w:r>
        <w:rPr>
          <w:rFonts w:ascii="Times New Roman" w:cs="Times New Roman" w:eastAsia="Times New Roman" w:hAnsi="Times New Roman"/>
          <w:sz w:val="18"/>
          <w:szCs w:val="18"/>
          <w:color w:val="auto"/>
        </w:rPr>
        <w:t>. The Selling Shareholder hereunder agrees to indemnify and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harmless each Underwriter, the directors, officers, selling agents and affiliates of each Underwriter and each person who controls any Underwriter within the meaning of either the Act or the Exchange Act, to the same extent as the foregoing indemnity from the Company to each Underwriter, but only with reference to Selling Shareholder’s Information relating to the Selling Shareholder furnished to the Company and/or the Underwriters in writing by or on behalf of the Selling Shareholder specifically for inclusion in the documents referred to in the foregoing indemnity. This indemnity agreement will be in addition to any liability that the Selling Shareholder may otherwise have. The aggregate liability of the Selling Shareholder under this paragraph (b) and the contribution provisions under paragraph 10(e) shall be limited to an amount equal to the aggregate gross proceeds after underwriting commissions and discounts, but before expenses, received by the Selling Shareholder from the Offered Securities sold by the Selling Shareholder hereunder.</w:t>
      </w:r>
    </w:p>
    <w:p>
      <w:pPr>
        <w:spacing w:after="0" w:line="80" w:lineRule="exact"/>
        <w:rPr>
          <w:rFonts w:ascii="Times New Roman" w:cs="Times New Roman" w:eastAsia="Times New Roman" w:hAnsi="Times New Roman"/>
          <w:sz w:val="18"/>
          <w:szCs w:val="18"/>
          <w:color w:val="auto"/>
        </w:rPr>
      </w:pPr>
    </w:p>
    <w:p>
      <w:pPr>
        <w:ind w:right="220" w:firstLine="408"/>
        <w:spacing w:after="0" w:line="273" w:lineRule="auto"/>
        <w:tabs>
          <w:tab w:leader="none" w:pos="645"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Company and Selling Shareholder by the Underwriters</w:t>
      </w:r>
      <w:r>
        <w:rPr>
          <w:rFonts w:ascii="Times New Roman" w:cs="Times New Roman" w:eastAsia="Times New Roman" w:hAnsi="Times New Roman"/>
          <w:sz w:val="17"/>
          <w:szCs w:val="17"/>
          <w:color w:val="auto"/>
        </w:rPr>
        <w:t>. Each Underwriter will, severally and not jointly,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indemnify and hold harmless (i) the Company, (ii) each of the Company’s directors, officers or employees, (iii) each person, if any, who controls the Company within the meaning of Section 15 of the Act or Section 20 of the Exchange Act, (iv) the Selling Shareholder and</w:t>
      </w:r>
    </w:p>
    <w:p>
      <w:pPr>
        <w:spacing w:after="0" w:line="1" w:lineRule="exact"/>
        <w:rPr>
          <w:rFonts w:ascii="Times New Roman" w:cs="Times New Roman" w:eastAsia="Times New Roman" w:hAnsi="Times New Roman"/>
          <w:sz w:val="17"/>
          <w:szCs w:val="17"/>
          <w:color w:val="auto"/>
        </w:rPr>
      </w:pPr>
    </w:p>
    <w:p>
      <w:pPr>
        <w:ind w:right="200" w:firstLine="7"/>
        <w:spacing w:after="0" w:line="251"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if any, who controls the Selling Shareholder within the meaning of Section 15 of the Act or Section 20 of the Exchange Act, to the same extent as the foregoing indemnity from the Company and the Selling Shareholder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that any Underwriter may otherwise have. The Company and the Selling Shareholder acknowledge that the statements in the General Disclosure Package and the Final Prospectus set forth in (i) the sixth paragraph, the table showing the public offering price for the Offered Securities and the legal and marketing names of the Underwriters on the front and back cover pages of the Final Prospectus, as applicable, (ii) the information contained in the third, fifth, and sixth paragraphs under the caption “Underwriting (Conflicts of Interest)” and (iii) the first and second paragraphs under the caption “Underwriting (Conflicts of Interest)—Price Stabilization, Short Positions,” constitute the only information furnished in writing by or on behalf of the several Underwriters for inclusion in the Registration Statement, the General Disclosure Package and the Final Prospectus.</w:t>
      </w:r>
    </w:p>
    <w:p>
      <w:pPr>
        <w:spacing w:after="0" w:line="1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20"/>
          </w:cols>
          <w:pgMar w:left="1420" w:top="270" w:right="459" w:bottom="1440" w:gutter="0" w:footer="0" w:header="0"/>
        </w:sectPr>
      </w:pPr>
    </w:p>
    <w:bookmarkStart w:id="30" w:name="page31"/>
    <w:bookmarkEnd w:id="30"/>
    <w:p>
      <w:pPr>
        <w:ind w:left="-20" w:firstLine="408"/>
        <w:spacing w:after="0" w:line="252"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Actions against Parties; Notification</w:t>
      </w:r>
      <w:r>
        <w:rPr>
          <w:rFonts w:ascii="Times New Roman" w:cs="Times New Roman" w:eastAsia="Times New Roman" w:hAnsi="Times New Roman"/>
          <w:sz w:val="18"/>
          <w:szCs w:val="18"/>
          <w:color w:val="auto"/>
        </w:rPr>
        <w:t>. Promptly after receipt by an indemnified party under this Section 10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commencement of any action, such indemnified party will, if a claim in respect thereof is to be made against the indemnifying party under paragraphs (a), (b) or (c) above, notify the indemnifying party of the commencement thereof; but the failure to notify the indemnifying party shall not relieve it from any liability that it may have under paragraphs (a), (b) or (c) above except to the extent that it has been materially prejudiced (through the forfeiture of substantive rights or defenses) by such failure.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10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86" w:lineRule="exact"/>
        <w:rPr>
          <w:rFonts w:ascii="Times New Roman" w:cs="Times New Roman" w:eastAsia="Times New Roman" w:hAnsi="Times New Roman"/>
          <w:sz w:val="18"/>
          <w:szCs w:val="18"/>
          <w:color w:val="auto"/>
        </w:rPr>
      </w:pPr>
    </w:p>
    <w:p>
      <w:pPr>
        <w:ind w:left="-20" w:firstLine="408"/>
        <w:spacing w:after="0" w:line="255" w:lineRule="auto"/>
        <w:tabs>
          <w:tab w:leader="none" w:pos="6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In the event that the indemnity provided in paragraphs (a), (b), (c) or (d) of this Section 10 is unavailable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to hold harmless an indemnified party for any reason (other than by virtue of the failure of an indemnified party to notify the indemnifying party of its right to indemnification pursuant to paragraphs (a), (b), (c) or (d) above, where such failure materially prejudices the indemnifying party (through the forfeiture of substantial rights or defenses)), the Company and/or the Selling Shareholder,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Shareholder, as applicable, and one or more of the Underwriters may be subject in such proportion as is appropriate to reflect the relative benefits</w:t>
      </w:r>
    </w:p>
    <w:p>
      <w:pPr>
        <w:spacing w:after="0" w:line="11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960"/>
          </w:cols>
          <w:pgMar w:left="1440" w:top="268" w:right="499" w:bottom="1440" w:gutter="0" w:footer="0" w:header="0"/>
        </w:sectPr>
      </w:pPr>
    </w:p>
    <w:bookmarkStart w:id="31" w:name="page32"/>
    <w:bookmarkEnd w:id="3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received by the Company and/or the Selling Shareholder, as applicable, on the one hand and by the Underwriters on the other from the offering of the Offered Securities. If the allocation provided by the immediately preceding sentence is unavailable for any reason or not permitted by applicable law, the Company and/or the Selling Shareholder, as applicable, and the Underwriters severally shall contribute in such proportion as is appropriate to reflect not only such relative benefits but also the relative fault of the Company and/or the Selling Shareholder, as applicable, on the one hand and of the Underwriters on the other in connection with the statements or omissions that resulted in such Losses, as well as any other relevant equitable considerations. Benefits received by the Company and/or the Selling Shareholder,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and under the caption “Underwriting.” Relative fault shall be determined by reference to, among other things, whether any untrue or any alleged untrue statement of a material fact or the omission or alleged omission to state a material fact relates to information provided by the Company and/or the Selling Shareholder,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Shareholder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Offered Securities exceeds the amount of any damages that such Underwriter has otherwise been required to pay by reason of such untrue or alleged untrue statement or omission or alleged omission. Notwithstanding the provisions of this paragraph (e), the Selling Shareholder’s obligations to contribute any amount under this paragraph (e) is limited in the manner and to the extent set forth in paragraph 10(b) and in no event shall the aggregate liability of the Selling Shareholder under paragraph 10(b) and this paragraph</w:t>
      </w:r>
    </w:p>
    <w:p>
      <w:pPr>
        <w:spacing w:after="0" w:line="8" w:lineRule="exact"/>
        <w:rPr>
          <w:sz w:val="20"/>
          <w:szCs w:val="20"/>
          <w:color w:val="auto"/>
        </w:rPr>
      </w:pPr>
    </w:p>
    <w:p>
      <w:pPr>
        <w:ind w:right="20" w:firstLine="7"/>
        <w:spacing w:after="0" w:line="251"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the limit set forth in paragraph 10(b).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1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20"/>
          </w:cols>
          <w:pgMar w:left="1420" w:top="270" w:right="459" w:bottom="1440" w:gutter="0" w:footer="0" w:header="0"/>
        </w:sectPr>
      </w:pPr>
    </w:p>
    <w:bookmarkStart w:id="32" w:name="page33"/>
    <w:bookmarkEnd w:id="32"/>
    <w:p>
      <w:pPr>
        <w:ind w:firstLine="436"/>
        <w:spacing w:after="0" w:line="268" w:lineRule="auto"/>
        <w:tabs>
          <w:tab w:leader="none" w:pos="70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 by an Underwriter. </w:t>
      </w:r>
      <w:r>
        <w:rPr>
          <w:rFonts w:ascii="Times New Roman" w:cs="Times New Roman" w:eastAsia="Times New Roman" w:hAnsi="Times New Roman"/>
          <w:sz w:val="17"/>
          <w:szCs w:val="17"/>
          <w:color w:val="auto"/>
        </w:rPr>
        <w:t>If any one or more Underwriters shall fail to purchase and pay for any of the Offered Securities agreed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Offered Securities set forth opposite their names in Schedule A hereto bears to the aggregate amount of the Offered Securities set forth opposite the names of all the remaining Underwriters, as applicable) the Offered Securities that the defaulting Underwriter or Underwriters agreed but failed to purchase;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event that the aggregate amount of the Offered Securities that the defaulting Underwriter or Underwriters agreed but failed to purchase shall exceed 10% of the aggregate amount of the Offered Securities set forth in Schedule A hereto, the Company and the Selling Shareholder shall be entitled to a period of 36 hours within which to procure another party or parties reasonably satisfactory to the non-defaulting Underwriters, as the case may be, to purchase no less than the amount of such unpurchased Offered Securities that exceeds 10% of the amount thereof upon such terms herein set forth. If, however, the Company and the Selling Shareholder shall not have completed such arrangements within 72 hours after such default and the amount of unpurchased Offered Securities exceeds 10% of the amount of such Offered Securities to be purchased on such date, then this Agreement will terminate without liability to any non-defaulting Underwriter or the Company and the Selling Shareholder (provided that if such default occurs with respect to Optional Securities after the First Closing Date, this Agreement will not terminate as to the Firm Securities or any Optional Securities purchased prior to such termination). In the event of a default by any Underwriter as set forth in this Section 11, the applicable Closing Date shall be postponed for such period, not exceeding five Business Days, to effect any changes that in the opinion of counsel for the Company and the Selling Shareholder or counsel for the Representatives are necessary in the Registration Statement, Final Prospectus or in any other documents or arrangements may be effected. Nothing contained in this Agreement shall relieve any defaulting Underwriter of its liability, if any, to the Company and the Selling Shareholder or any nondefaulting Underwriter for damages occasioned by its default hereunder.</w:t>
      </w:r>
    </w:p>
    <w:p>
      <w:pPr>
        <w:spacing w:after="0" w:line="66" w:lineRule="exact"/>
        <w:rPr>
          <w:rFonts w:ascii="Times New Roman" w:cs="Times New Roman" w:eastAsia="Times New Roman" w:hAnsi="Times New Roman"/>
          <w:sz w:val="17"/>
          <w:szCs w:val="17"/>
          <w:color w:val="auto"/>
        </w:rPr>
      </w:pPr>
    </w:p>
    <w:p>
      <w:pPr>
        <w:ind w:right="20" w:firstLine="436"/>
        <w:spacing w:after="0" w:line="257"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its officers, the Selling Shareholder and the several Underwriters set forth in or made pursuant to this Agreement will remain in full force and effect, regardless of any investigation, or statement as to the results thereof, made by or on behalf of any Underwriter, the Selling Shareholder, the Company or any of its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11 hereof, the Company will reimburse the Underwriters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33" w:name="page34"/>
    <w:bookmarkEnd w:id="33"/>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all documented out-of-pocket expenses (including reasonable and documented fees and disbursements of counsel) reasonably incurred by them in connection with the offering of the Offered Securities, and the respective obligations of the Company, the Selling Shareholder and the Underwriters pursuant to Section 10 hereof shall remain in effect. In addition, if any Offered Securities have been purchased hereunder, the representations and warranties in Sections 2 and 3 and all obligations under Sections 6 and 7 shall also remain in effect.</w:t>
      </w:r>
    </w:p>
    <w:p>
      <w:pPr>
        <w:spacing w:after="0" w:line="178" w:lineRule="exact"/>
        <w:rPr>
          <w:sz w:val="20"/>
          <w:szCs w:val="20"/>
          <w:color w:val="auto"/>
        </w:rPr>
      </w:pPr>
    </w:p>
    <w:p>
      <w:pPr>
        <w:ind w:right="20" w:firstLine="436"/>
        <w:spacing w:after="0" w:line="254"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will be in writing and, if sent to the Underwriters, will be mailed, delivered or transmitted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facsimile and confirmed to the Representatives at: BofA Securities, Inc. at One Bryant Park, New York, New York 10036, attention of Syndicate Department (facsimile: (646) 855-3073), with a copy to ECM Legal (facsimile: (212) 230-8730); Citigroup Global Markets Inc. at 388 Greenwich Street, New York, New York 10013, attention of General Counsel (facsimile: (646) 291-1469); and KKR Capital Markets LLC at 9 West 57th St Suite 4200, New York, New York 10019; or, if sent to the Company, will be mailed, delivered or transmitted via facsimile and confirmed to it at Fiserv, Inc., 255 Fiserv Drive, Brookfield, Wisconsin 53045, Attention: Chief Legal Officer, Facsimile: (262) 879-5532; or, if sent to the Selling Shareholder, will be mailed, delivered or transmitted via facsimile and confirmed to it at: New Omaha Holdings L.P., c/o Kohlberg Kravis Roberts &amp; Co. L.P., 9 West 57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Suite 4200, New York, New York 10019; provided, however, that any notice to an Underwriter pursuant to Section 10 will be mailed, delivered or transmitted via facsimile and confirmed to such Underwriter.</w:t>
      </w:r>
    </w:p>
    <w:p>
      <w:pPr>
        <w:spacing w:after="0" w:line="188" w:lineRule="exact"/>
        <w:rPr>
          <w:rFonts w:ascii="Times New Roman" w:cs="Times New Roman" w:eastAsia="Times New Roman" w:hAnsi="Times New Roman"/>
          <w:sz w:val="18"/>
          <w:szCs w:val="18"/>
          <w:color w:val="auto"/>
        </w:rPr>
      </w:pPr>
    </w:p>
    <w:p>
      <w:pPr>
        <w:ind w:right="700" w:firstLine="436"/>
        <w:spacing w:after="0" w:line="284"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persons referred to in Section 10,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right="260" w:firstLine="436"/>
        <w:spacing w:after="0" w:line="284"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of Underwriters</w:t>
      </w:r>
      <w:r>
        <w:rPr>
          <w:rFonts w:ascii="Times New Roman" w:cs="Times New Roman" w:eastAsia="Times New Roman" w:hAnsi="Times New Roman"/>
          <w:sz w:val="18"/>
          <w:szCs w:val="18"/>
          <w:color w:val="auto"/>
        </w:rPr>
        <w:t>. The Representatives will act for the several Underwriters in connection with this financing, and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taken by the Representatives will be binding upon all the Underwriters.</w:t>
      </w:r>
    </w:p>
    <w:p>
      <w:pPr>
        <w:spacing w:after="0" w:line="158" w:lineRule="exact"/>
        <w:rPr>
          <w:rFonts w:ascii="Times New Roman" w:cs="Times New Roman" w:eastAsia="Times New Roman" w:hAnsi="Times New Roman"/>
          <w:sz w:val="18"/>
          <w:szCs w:val="18"/>
          <w:color w:val="auto"/>
        </w:rPr>
      </w:pPr>
    </w:p>
    <w:p>
      <w:pPr>
        <w:ind w:right="180" w:firstLine="436"/>
        <w:spacing w:after="0" w:line="284"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Fiduciary Relationship</w:t>
      </w:r>
      <w:r>
        <w:rPr>
          <w:rFonts w:ascii="Times New Roman" w:cs="Times New Roman" w:eastAsia="Times New Roman" w:hAnsi="Times New Roman"/>
          <w:sz w:val="18"/>
          <w:szCs w:val="18"/>
          <w:color w:val="auto"/>
        </w:rPr>
        <w:t>. The Company and Selling Shareholder acknowledge and agree that:</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6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Underwriters have been retained solely to act as underwriters in connection with the sale of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that no fiduciary, advisory or agency relationship between the Company and the Selling Shareholder, on the one hand, and the Underwriters, on the other hand, has been created in respect of any of the transactions contemplated by this Agreement, the Registration Statement, the General Disclosure Package and the Final Prospectus, irrespective of whether the Underwriters have advised or are advising the Company or the Selling Shareholder on other matters;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4" w:name="page35"/>
    <w:bookmarkEnd w:id="34"/>
    <w:p>
      <w:pPr>
        <w:ind w:left="980" w:right="520" w:firstLine="408"/>
        <w:spacing w:after="0" w:line="261" w:lineRule="auto"/>
        <w:tabs>
          <w:tab w:leader="none" w:pos="16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Arm’s Length Negotiations</w:t>
      </w:r>
      <w:r>
        <w:rPr>
          <w:rFonts w:ascii="Times New Roman" w:cs="Times New Roman" w:eastAsia="Times New Roman" w:hAnsi="Times New Roman"/>
          <w:sz w:val="18"/>
          <w:szCs w:val="18"/>
          <w:color w:val="auto"/>
        </w:rPr>
        <w:t>. The price of the Offered Securities set forth in this Agreement was established by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following discussions and arm’s-length negotiations with the Representatives and the Selling Shareholder is capable of evaluating and understanding and understands and accepts the terms, risks and conditions of the transactions contemplated by this Agreement;</w:t>
      </w:r>
    </w:p>
    <w:p>
      <w:pPr>
        <w:spacing w:after="0" w:line="71" w:lineRule="exact"/>
        <w:rPr>
          <w:rFonts w:ascii="Times New Roman" w:cs="Times New Roman" w:eastAsia="Times New Roman" w:hAnsi="Times New Roman"/>
          <w:sz w:val="18"/>
          <w:szCs w:val="18"/>
          <w:color w:val="auto"/>
        </w:rPr>
      </w:pPr>
    </w:p>
    <w:p>
      <w:pPr>
        <w:jc w:val="both"/>
        <w:ind w:left="980" w:right="120" w:firstLine="408"/>
        <w:spacing w:after="0" w:line="261" w:lineRule="auto"/>
        <w:tabs>
          <w:tab w:leader="none" w:pos="162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Company and the Selling Shareholder have been advised that the Underwriters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are engaged in a broad range of transactions which may involve interests that differ from those of the Company and the Selling Shareholder and that the Underwriters have no obligation to disclose such interests and transactions to the Company or the Selling Shareholder by virtue of any fiduciary, advisory or agency relationship; and</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63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Company and the Selling Shareholder waive, to the fullest extent permitted by law, any claims they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the Underwriters for breach of fiduciary duty or alleged breach of fiduciary duty and agree that the Underwriters shall have no liability (whether direct or indirect) to the Company or the Selling Shareholder in respect of such a fiduciary duty claim or to any person asserting a fiduciary duty claim on behalf of or in right of the Selling Shareholder or the Company, including shareholders, employees or creditors of the Company.</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227"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Each of the parties hereto hereby submits to the non-exclusive jurisdiction of the Federal and state courts in the Borough of Manhattan in The City of New York in any suit or proceeding arising out of or relating to this Agreement or the transactions contemplated hereby. Each of the parties hereto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58" w:lineRule="exact"/>
        <w:rPr>
          <w:sz w:val="20"/>
          <w:szCs w:val="20"/>
          <w:color w:val="auto"/>
        </w:rPr>
      </w:pPr>
    </w:p>
    <w:p>
      <w:pPr>
        <w:ind w:right="100" w:firstLine="436"/>
        <w:spacing w:after="0" w:line="257"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Electronic Signature</w:t>
      </w:r>
      <w:r>
        <w:rPr>
          <w:rFonts w:ascii="Times New Roman" w:cs="Times New Roman" w:eastAsia="Times New Roman" w:hAnsi="Times New Roman"/>
          <w:sz w:val="18"/>
          <w:szCs w:val="18"/>
          <w:color w:val="auto"/>
        </w:rPr>
        <w:t>. The words “execution,” “signed,” “signature,” “delivery,” and words of like import in or relating to this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document to be signed in connection with this Agreement, shall be deemed to include electronic signatures (including .pdf file, .jpeg file or any electronic signature complying with the U.S. federal ESIGN Act of 2000, including Orbit, Adobe Sign, DocuSign, or any other similar platform),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8" w:right="479" w:bottom="1440" w:gutter="0" w:footer="0" w:header="0"/>
        </w:sectPr>
      </w:pPr>
    </w:p>
    <w:bookmarkStart w:id="35" w:name="page36"/>
    <w:bookmarkEnd w:id="35"/>
    <w:p>
      <w:pPr>
        <w:ind w:firstLine="436"/>
        <w:spacing w:after="0" w:line="261"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Contractual Recognition of Bail-in</w:t>
      </w:r>
      <w:r>
        <w:rPr>
          <w:rFonts w:ascii="Times New Roman" w:cs="Times New Roman" w:eastAsia="Times New Roman" w:hAnsi="Times New Roman"/>
          <w:sz w:val="18"/>
          <w:szCs w:val="18"/>
          <w:color w:val="auto"/>
        </w:rPr>
        <w:t>. Notwithstanding and to the exclusion of any other term of this Agreement or any other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or understanding between any Underwriter and the Company, the Company acknowledges and accepts that a BRRD Liability arising under this Agreement may be subject to the exercise of Bail-in Powers by the Relevant Resolution Authority, and acknowledges, accepts, and agrees to be bound by:</w:t>
      </w:r>
    </w:p>
    <w:p>
      <w:pPr>
        <w:spacing w:after="0" w:line="73" w:lineRule="exact"/>
        <w:rPr>
          <w:rFonts w:ascii="Times New Roman" w:cs="Times New Roman" w:eastAsia="Times New Roman" w:hAnsi="Times New Roman"/>
          <w:sz w:val="18"/>
          <w:szCs w:val="18"/>
          <w:color w:val="auto"/>
        </w:rPr>
      </w:pPr>
    </w:p>
    <w:p>
      <w:pPr>
        <w:ind w:left="980" w:right="360" w:firstLine="408"/>
        <w:spacing w:after="0" w:line="266" w:lineRule="auto"/>
        <w:tabs>
          <w:tab w:leader="none" w:pos="16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an Underwriter to the Company under this Agreement, that (without limitation) may include and result in any of the following, or some combination thereof:</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all, or a portion, of the BRRD Liability or outstanding amounts due thereon;</w:t>
      </w:r>
    </w:p>
    <w:p>
      <w:pPr>
        <w:spacing w:after="0" w:line="117" w:lineRule="exact"/>
        <w:rPr>
          <w:rFonts w:ascii="Times New Roman" w:cs="Times New Roman" w:eastAsia="Times New Roman" w:hAnsi="Times New Roman"/>
          <w:sz w:val="18"/>
          <w:szCs w:val="18"/>
          <w:color w:val="auto"/>
        </w:rPr>
      </w:pPr>
    </w:p>
    <w:p>
      <w:pPr>
        <w:ind w:left="1420" w:right="660" w:firstLine="391"/>
        <w:spacing w:after="0" w:line="282" w:lineRule="auto"/>
        <w:tabs>
          <w:tab w:leader="none" w:pos="206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or a portion, of the BRRD Liability into shares, other securities or other obligations of such Underwriter or another person, and the issue to or conferral on the Company of such shares, securities or obligations;</w:t>
      </w:r>
    </w:p>
    <w:p>
      <w:pPr>
        <w:spacing w:after="0" w:line="53"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 and</w:t>
      </w:r>
    </w:p>
    <w:p>
      <w:pPr>
        <w:spacing w:after="0" w:line="117" w:lineRule="exact"/>
        <w:rPr>
          <w:rFonts w:ascii="Times New Roman" w:cs="Times New Roman" w:eastAsia="Times New Roman" w:hAnsi="Times New Roman"/>
          <w:sz w:val="18"/>
          <w:szCs w:val="18"/>
          <w:color w:val="auto"/>
        </w:rPr>
      </w:pPr>
    </w:p>
    <w:p>
      <w:pPr>
        <w:ind w:left="1420" w:right="200" w:firstLine="391"/>
        <w:spacing w:after="0" w:line="282" w:lineRule="auto"/>
        <w:tabs>
          <w:tab w:leader="none" w:pos="210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Section 20,</w:t>
      </w:r>
    </w:p>
    <w:p>
      <w:pPr>
        <w:spacing w:after="0" w:line="221"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Bail-In Legislation</w:t>
      </w:r>
      <w:r>
        <w:rPr>
          <w:rFonts w:ascii="Times New Roman" w:cs="Times New Roman" w:eastAsia="Times New Roman" w:hAnsi="Times New Roman"/>
          <w:sz w:val="17"/>
          <w:szCs w:val="17"/>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3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440" w:top="268" w:right="579" w:bottom="1440" w:gutter="0" w:footer="0" w:header="0"/>
        </w:sectPr>
      </w:pPr>
    </w:p>
    <w:bookmarkStart w:id="36" w:name="page37"/>
    <w:bookmarkEnd w:id="36"/>
    <w:p>
      <w:pPr>
        <w:ind w:right="4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xml:space="preserve">” means the document described as such, then in effect, and published by the Loan Market Association (or any successor person) from time to time at </w:t>
      </w:r>
      <w:r>
        <w:rPr>
          <w:rFonts w:ascii="Times New Roman" w:cs="Times New Roman" w:eastAsia="Times New Roman" w:hAnsi="Times New Roman"/>
          <w:sz w:val="18"/>
          <w:szCs w:val="18"/>
          <w:u w:val="single" w:color="auto"/>
          <w:color w:val="auto"/>
        </w:rPr>
        <w:t>http://www.lma.eu.com/pages.aspx?p=499.</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in the applicable Bail-in Legislation may be exercised.</w:t>
      </w:r>
    </w:p>
    <w:p>
      <w:pPr>
        <w:spacing w:after="0" w:line="49" w:lineRule="exact"/>
        <w:rPr>
          <w:sz w:val="20"/>
          <w:szCs w:val="20"/>
          <w:color w:val="auto"/>
        </w:rPr>
      </w:pPr>
    </w:p>
    <w:p>
      <w:pPr>
        <w:ind w:left="700" w:hanging="264"/>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440" w:firstLine="408"/>
        <w:spacing w:after="0" w:line="266" w:lineRule="auto"/>
        <w:tabs>
          <w:tab w:leader="none" w:pos="162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w:t>
      </w:r>
    </w:p>
    <w:p>
      <w:pPr>
        <w:spacing w:after="0" w:line="67" w:lineRule="exact"/>
        <w:rPr>
          <w:rFonts w:ascii="Times New Roman" w:cs="Times New Roman" w:eastAsia="Times New Roman" w:hAnsi="Times New Roman"/>
          <w:sz w:val="18"/>
          <w:szCs w:val="18"/>
          <w:color w:val="auto"/>
        </w:rPr>
      </w:pPr>
    </w:p>
    <w:p>
      <w:pPr>
        <w:ind w:left="980" w:firstLine="408"/>
        <w:spacing w:after="0" w:line="289" w:lineRule="auto"/>
        <w:tabs>
          <w:tab w:leader="none" w:pos="1636"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w:t>
      </w:r>
    </w:p>
    <w:p>
      <w:pPr>
        <w:spacing w:after="0" w:line="49"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21:</w:t>
      </w:r>
    </w:p>
    <w:p>
      <w:pPr>
        <w:spacing w:after="0" w:line="113" w:lineRule="exact"/>
        <w:rPr>
          <w:rFonts w:ascii="Times New Roman" w:cs="Times New Roman" w:eastAsia="Times New Roman" w:hAnsi="Times New Roman"/>
          <w:sz w:val="18"/>
          <w:szCs w:val="18"/>
          <w:color w:val="auto"/>
        </w:rPr>
      </w:pPr>
    </w:p>
    <w:p>
      <w:pPr>
        <w:ind w:left="1420" w:right="280" w:firstLine="391"/>
        <w:spacing w:after="0" w:line="286" w:lineRule="auto"/>
        <w:tabs>
          <w:tab w:leader="none" w:pos="201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46"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rFonts w:ascii="Times New Roman" w:cs="Times New Roman" w:eastAsia="Times New Roman" w:hAnsi="Times New Roman"/>
          <w:sz w:val="18"/>
          <w:szCs w:val="18"/>
          <w:color w:val="auto"/>
        </w:rPr>
      </w:pPr>
    </w:p>
    <w:p>
      <w:pPr>
        <w:ind w:left="2640" w:hanging="300"/>
        <w:spacing w:after="0"/>
        <w:tabs>
          <w:tab w:leader="none" w:pos="2640"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3"/>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3"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252.81, 47.2 or 382.1, as applicable.</w:t>
      </w:r>
    </w:p>
    <w:p>
      <w:pPr>
        <w:spacing w:after="0" w:line="95" w:lineRule="exact"/>
        <w:rPr>
          <w:sz w:val="20"/>
          <w:szCs w:val="20"/>
          <w:color w:val="auto"/>
        </w:rPr>
      </w:pPr>
    </w:p>
    <w:p>
      <w:pPr>
        <w:ind w:left="1420" w:right="100" w:firstLine="391"/>
        <w:spacing w:after="0" w:line="268" w:lineRule="auto"/>
        <w:tabs>
          <w:tab w:leader="none" w:pos="21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440" w:top="266" w:right="519" w:bottom="1440" w:gutter="0" w:footer="0" w:header="0"/>
        </w:sectPr>
      </w:pPr>
    </w:p>
    <w:bookmarkStart w:id="37" w:name="page38"/>
    <w:bookmarkEnd w:id="3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the Representatives’ understanding of our agreement, kindly sign and return to the Company and the Selling Shareholder one of the counterparts hereof, whereupon it will become a binding agreement between the Company, the Selling Shareholder and the several Underwriters in accordance with its terms.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 Hau</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9160"/>
          </w:cols>
          <w:pgMar w:left="1440" w:top="270" w:right="1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Underwriting Agreement is hereby confirmed and accepted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KKR CAPITAL MARKETS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Adam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Adam Smith</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Partner, Global Head of Capital Markets</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880"/>
          </w:cols>
          <w:pgMar w:left="880" w:top="270" w:right="1139"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BOFA SECURITIES,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Wise</w:t>
      </w:r>
    </w:p>
    <w:p>
      <w:pPr>
        <w:spacing w:after="0" w:line="9" w:lineRule="exact"/>
        <w:rPr>
          <w:sz w:val="20"/>
          <w:szCs w:val="20"/>
          <w:color w:val="auto"/>
        </w:rPr>
      </w:pPr>
    </w:p>
    <w:p>
      <w:pPr>
        <w:jc w:val="right"/>
        <w:ind w:right="1099"/>
        <w:spacing w:after="0"/>
        <w:tabs>
          <w:tab w:leader="none" w:pos="13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9019"/>
          </w:cols>
          <w:pgMar w:left="1440" w:top="270" w:right="1440"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CITIGROUP GLOBAL MARKETS INC.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Ivanov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Alexander Ivanov</w:t>
      </w:r>
    </w:p>
    <w:p>
      <w:pPr>
        <w:spacing w:after="0" w:line="9"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9019"/>
          </w:cols>
          <w:pgMar w:left="1440" w:top="270" w:right="1440"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NEW OMAHA HOLDINGS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NEW OMAHA HOLDINGS LLC, its general partner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C. Nuttall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Name:Scott C. Nuttall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780"/>
          </w:cols>
          <w:pgMar w:left="1440" w:top="270" w:right="6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180" w:type="dxa"/>
            <w:vAlign w:val="bottom"/>
            <w:gridSpan w:val="4"/>
          </w:tcPr>
          <w:p>
            <w:pPr>
              <w:ind w:left="12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06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6100" w:type="dxa"/>
            <w:vAlign w:val="bottom"/>
          </w:tcPr>
          <w:p>
            <w:pPr>
              <w:spacing w:after="0"/>
              <w:rPr>
                <w:sz w:val="15"/>
                <w:szCs w:val="15"/>
                <w:color w:val="auto"/>
              </w:rPr>
            </w:pPr>
          </w:p>
        </w:tc>
        <w:tc>
          <w:tcPr>
            <w:tcW w:w="108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KKR Capital Markets LLC</w:t>
            </w:r>
          </w:p>
        </w:tc>
        <w:tc>
          <w:tcPr>
            <w:tcW w:w="6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SPC Capital Markets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 Securities,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KeyBanc Capital Markets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Guzman &amp; Company</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Tigress Financial Partners LLC</w:t>
            </w:r>
          </w:p>
        </w:tc>
        <w:tc>
          <w:tcPr>
            <w:tcW w:w="7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Roberts &amp; Ryan Investments, Inc.</w:t>
            </w:r>
          </w:p>
        </w:tc>
        <w:tc>
          <w:tcPr>
            <w:tcW w:w="7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A-1</w:t>
      </w:r>
    </w:p>
    <w:p>
      <w:pPr>
        <w:sectPr>
          <w:pgSz w:w="11900" w:h="16838" w:orient="portrait"/>
          <w:cols w:equalWidth="0" w:num="1">
            <w:col w:w="11020"/>
          </w:cols>
          <w:pgMar w:left="440" w:top="266" w:right="439" w:bottom="1440" w:gutter="0" w:footer="0" w:header="0"/>
        </w:sectPr>
      </w:pPr>
    </w:p>
    <w:bookmarkStart w:id="44" w:name="page45"/>
    <w:bookmarkEnd w:id="44"/>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52"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Use Free Writing Prospectuses (included in the General Disclosure Package)</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following information, conveyed orally, is also included in the General Disclosure Package:</w:t>
      </w:r>
    </w:p>
    <w:p>
      <w:pPr>
        <w:spacing w:after="0" w:line="129" w:lineRule="exact"/>
        <w:rPr>
          <w:sz w:val="20"/>
          <w:szCs w:val="20"/>
          <w:color w:val="auto"/>
        </w:rPr>
      </w:pPr>
    </w:p>
    <w:p>
      <w:pPr>
        <w:ind w:left="444"/>
        <w:spacing w:after="0"/>
        <w:tabs>
          <w:tab w:leader="none" w:pos="1944" w:val="left"/>
        </w:tabs>
        <w:rPr>
          <w:sz w:val="20"/>
          <w:szCs w:val="20"/>
          <w:color w:val="auto"/>
        </w:rPr>
      </w:pPr>
      <w:r>
        <w:rPr>
          <w:rFonts w:ascii="Times New Roman" w:cs="Times New Roman" w:eastAsia="Times New Roman" w:hAnsi="Times New Roman"/>
          <w:sz w:val="18"/>
          <w:szCs w:val="18"/>
          <w:color w:val="auto"/>
        </w:rPr>
        <w:t>Price to Public:</w:t>
      </w:r>
      <w:r>
        <w:rPr>
          <w:sz w:val="20"/>
          <w:szCs w:val="20"/>
          <w:color w:val="auto"/>
        </w:rPr>
        <w:tab/>
      </w:r>
      <w:r>
        <w:rPr>
          <w:rFonts w:ascii="Times New Roman" w:cs="Times New Roman" w:eastAsia="Times New Roman" w:hAnsi="Times New Roman"/>
          <w:sz w:val="17"/>
          <w:szCs w:val="17"/>
          <w:color w:val="auto"/>
        </w:rPr>
        <w:t>$112.00 per share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Number of Firm Securities Sold: 17,500,000</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Number of Repurchase Shares: 1,817,520</w:t>
      </w:r>
    </w:p>
    <w:p>
      <w:pPr>
        <w:spacing w:after="0" w:line="15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SCHEDULE B-1</w:t>
      </w:r>
    </w:p>
    <w:p>
      <w:pPr>
        <w:sectPr>
          <w:pgSz w:w="11900" w:h="16838" w:orient="portrait"/>
          <w:cols w:equalWidth="0" w:num="1">
            <w:col w:w="10023"/>
          </w:cols>
          <w:pgMar w:left="436" w:top="266"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major shareholder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KKR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KKR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 57th St., Suite 4200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is being delivered to you in connection with the proposed Underwriting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among Fiserv, Inc., a Wisconsin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New Omaha Holdings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Shareholder”), and you as representatives of a group of Underwriters named therein, relating to an underwritten public offering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$0.01 par value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In order to induce you and the Underwriters to enter into the Underwriting Agreement, the undersigned will not, without the prior written consent of the Representatives,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w:t>
      </w:r>
    </w:p>
    <w:p>
      <w:pPr>
        <w:sectPr>
          <w:pgSz w:w="11900" w:h="16838" w:orient="portrait"/>
          <w:cols w:equalWidth="0" w:num="1">
            <w:col w:w="11020"/>
          </w:cols>
          <w:pgMar w:left="440" w:top="266" w:right="439" w:bottom="1440" w:gutter="0" w:footer="0" w:header="0"/>
        </w:sectPr>
      </w:pPr>
    </w:p>
    <w:bookmarkStart w:id="46" w:name="page47"/>
    <w:bookmarkEnd w:id="46"/>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Securities and Exchange Commission promulgated thereunder with respect to, any shares of Common Stock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any securities convertible into, or exercisable or exchangeable for such Common Stock (“</w:t>
      </w:r>
      <w:r>
        <w:rPr>
          <w:rFonts w:ascii="Times New Roman" w:cs="Times New Roman" w:eastAsia="Times New Roman" w:hAnsi="Times New Roman"/>
          <w:sz w:val="18"/>
          <w:szCs w:val="18"/>
          <w:u w:val="single" w:color="auto"/>
          <w:color w:val="auto"/>
        </w:rPr>
        <w:t>Related Securities</w:t>
      </w:r>
      <w:r>
        <w:rPr>
          <w:rFonts w:ascii="Times New Roman" w:cs="Times New Roman" w:eastAsia="Times New Roman" w:hAnsi="Times New Roman"/>
          <w:sz w:val="18"/>
          <w:szCs w:val="18"/>
          <w:color w:val="auto"/>
        </w:rPr>
        <w:t>”), or publicly announce an intention to effect any such transaction, for a period from the date hereof until 30 days after the date of the Underwriting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foregoing restrictions shall not apply:</w:t>
      </w:r>
    </w:p>
    <w:p>
      <w:pPr>
        <w:spacing w:after="0" w:line="131" w:lineRule="exact"/>
        <w:rPr>
          <w:sz w:val="20"/>
          <w:szCs w:val="20"/>
          <w:color w:val="auto"/>
        </w:rPr>
      </w:pPr>
    </w:p>
    <w:p>
      <w:pPr>
        <w:ind w:left="960" w:hanging="640"/>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sale of the undersigned’s Shares pursuant to the Underwriting Agreement (including in connection with the Share Repurchase);</w:t>
      </w:r>
    </w:p>
    <w:p>
      <w:pPr>
        <w:spacing w:after="0" w:line="130" w:lineRule="exact"/>
        <w:rPr>
          <w:rFonts w:ascii="Times New Roman" w:cs="Times New Roman" w:eastAsia="Times New Roman" w:hAnsi="Times New Roman"/>
          <w:sz w:val="18"/>
          <w:szCs w:val="18"/>
          <w:color w:val="auto"/>
        </w:rPr>
      </w:pPr>
    </w:p>
    <w:p>
      <w:pPr>
        <w:ind w:left="960" w:right="280" w:hanging="640"/>
        <w:spacing w:after="0" w:line="26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 of Shares or Related Securities as a bona fide gift, or by will or intestate succession to a family member or to a trust, partnership, limited liability company or other entity for the direct or indirect benefit of the undersigned and/or a family member or to a charitable organization;</w:t>
      </w:r>
    </w:p>
    <w:p>
      <w:pPr>
        <w:spacing w:after="0" w:line="81" w:lineRule="exact"/>
        <w:rPr>
          <w:rFonts w:ascii="Times New Roman" w:cs="Times New Roman" w:eastAsia="Times New Roman" w:hAnsi="Times New Roman"/>
          <w:sz w:val="18"/>
          <w:szCs w:val="18"/>
          <w:color w:val="auto"/>
        </w:rPr>
      </w:pPr>
    </w:p>
    <w:p>
      <w:pPr>
        <w:ind w:left="960" w:hanging="640"/>
        <w:spacing w:after="0" w:line="281" w:lineRule="auto"/>
        <w:tabs>
          <w:tab w:leader="none" w:pos="9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69" w:lineRule="exact"/>
        <w:rPr>
          <w:rFonts w:ascii="Times New Roman" w:cs="Times New Roman" w:eastAsia="Times New Roman" w:hAnsi="Times New Roman"/>
          <w:sz w:val="17"/>
          <w:szCs w:val="17"/>
          <w:color w:val="auto"/>
        </w:rPr>
      </w:pPr>
    </w:p>
    <w:p>
      <w:pPr>
        <w:ind w:left="960" w:hanging="640"/>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transfers to the beneficiary of such trust;</w:t>
      </w:r>
    </w:p>
    <w:p>
      <w:pPr>
        <w:spacing w:after="0" w:line="130"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to any investment fund or other entity controlled or managed by the undersigned;</w:t>
      </w:r>
    </w:p>
    <w:p>
      <w:pPr>
        <w:spacing w:after="0" w:line="130" w:lineRule="exact"/>
        <w:rPr>
          <w:rFonts w:ascii="Times New Roman" w:cs="Times New Roman" w:eastAsia="Times New Roman" w:hAnsi="Times New Roman"/>
          <w:sz w:val="18"/>
          <w:szCs w:val="18"/>
          <w:color w:val="auto"/>
        </w:rPr>
      </w:pPr>
    </w:p>
    <w:p>
      <w:pPr>
        <w:ind w:left="960" w:hanging="640"/>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to a nominee or custodian of a person or entity to whom a disposition or transfer would be permissible under clauses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through (iv);</w:t>
      </w:r>
    </w:p>
    <w:p>
      <w:pPr>
        <w:spacing w:after="0" w:line="112" w:lineRule="exact"/>
        <w:rPr>
          <w:rFonts w:ascii="Times New Roman" w:cs="Times New Roman" w:eastAsia="Times New Roman" w:hAnsi="Times New Roman"/>
          <w:sz w:val="18"/>
          <w:szCs w:val="18"/>
          <w:color w:val="auto"/>
        </w:rPr>
      </w:pPr>
    </w:p>
    <w:p>
      <w:pPr>
        <w:ind w:left="960" w:right="20" w:hanging="640"/>
        <w:spacing w:after="0" w:line="253"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to the Company (1) pursuant to the exercise, in each case on a “cashless” or “net exercise” basis, of any option to purchase Shares granted by the Company pursuant to any employee benefit plans or arrangements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ectPr>
          <w:pgSz w:w="11900" w:h="16838" w:orient="portrait"/>
          <w:cols w:equalWidth="0" w:num="1">
            <w:col w:w="11000"/>
          </w:cols>
          <w:pgMar w:left="440" w:top="270" w:right="459" w:bottom="1440" w:gutter="0" w:footer="0" w:header="0"/>
        </w:sectPr>
      </w:pPr>
    </w:p>
    <w:bookmarkStart w:id="47" w:name="page48"/>
    <w:bookmarkEnd w:id="47"/>
    <w:p>
      <w:pPr>
        <w:ind w:left="640" w:right="120" w:hanging="640"/>
        <w:spacing w:after="0" w:line="25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transfers pursuant to an order of a court or regulatory agency (for purposes of this lock-up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92" w:lineRule="exact"/>
        <w:rPr>
          <w:rFonts w:ascii="Times New Roman" w:cs="Times New Roman" w:eastAsia="Times New Roman" w:hAnsi="Times New Roman"/>
          <w:sz w:val="18"/>
          <w:szCs w:val="18"/>
          <w:color w:val="auto"/>
        </w:rPr>
      </w:pPr>
    </w:p>
    <w:p>
      <w:pPr>
        <w:ind w:left="640" w:right="160" w:hanging="640"/>
        <w:spacing w:after="0" w:line="261"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transfers of Shares or Related Securities to the Company pursuant to the call provisions of existing employment agreements and equity grant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85" w:lineRule="exact"/>
        <w:rPr>
          <w:rFonts w:ascii="Times New Roman" w:cs="Times New Roman" w:eastAsia="Times New Roman" w:hAnsi="Times New Roman"/>
          <w:sz w:val="18"/>
          <w:szCs w:val="18"/>
          <w:color w:val="auto"/>
        </w:rPr>
      </w:pPr>
    </w:p>
    <w:p>
      <w:pPr>
        <w:ind w:left="640" w:right="80" w:hanging="640"/>
        <w:spacing w:after="0" w:line="282"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from an executive officer to the Company upon death, disability or termination of employment, in each case, of such executive officer;</w:t>
      </w:r>
    </w:p>
    <w:p>
      <w:pPr>
        <w:spacing w:after="0" w:line="67" w:lineRule="exact"/>
        <w:rPr>
          <w:rFonts w:ascii="Times New Roman" w:cs="Times New Roman" w:eastAsia="Times New Roman" w:hAnsi="Times New Roman"/>
          <w:sz w:val="18"/>
          <w:szCs w:val="18"/>
          <w:color w:val="auto"/>
        </w:rPr>
      </w:pPr>
    </w:p>
    <w:p>
      <w:pPr>
        <w:ind w:left="640" w:hanging="640"/>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of Shares acquired in the Offering or in open-market transactions after the completion of the Offering;</w:t>
      </w:r>
    </w:p>
    <w:p>
      <w:pPr>
        <w:spacing w:after="0" w:line="130" w:lineRule="exact"/>
        <w:rPr>
          <w:rFonts w:ascii="Times New Roman" w:cs="Times New Roman" w:eastAsia="Times New Roman" w:hAnsi="Times New Roman"/>
          <w:sz w:val="18"/>
          <w:szCs w:val="18"/>
          <w:color w:val="auto"/>
        </w:rPr>
      </w:pPr>
    </w:p>
    <w:p>
      <w:pPr>
        <w:ind w:left="640" w:right="20" w:hanging="640"/>
        <w:spacing w:after="0" w:line="25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lock-up agreement. For purposes of this clause (xii),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w:t>
      </w:r>
    </w:p>
    <w:p>
      <w:pPr>
        <w:spacing w:after="0" w:line="97" w:lineRule="exact"/>
        <w:rPr>
          <w:rFonts w:ascii="Times New Roman" w:cs="Times New Roman" w:eastAsia="Times New Roman" w:hAnsi="Times New Roman"/>
          <w:sz w:val="18"/>
          <w:szCs w:val="18"/>
          <w:color w:val="auto"/>
        </w:rPr>
      </w:pPr>
    </w:p>
    <w:p>
      <w:pPr>
        <w:jc w:val="both"/>
        <w:ind w:left="640" w:hanging="640"/>
        <w:spacing w:after="0" w:line="26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entry into a written plan meeting the requirements of Rule 10b5-1 under the Exchange Act for the transfer of Shares that does not in any case provide for the transfer of Shares during the lock-up period; or to the transfer Shares or Related Securities pursuant to a written plan in effect on the date hereof meeting the requirements of Rule 10b5-1 under the Exchange Act;</w:t>
      </w:r>
    </w:p>
    <w:p>
      <w:pPr>
        <w:sectPr>
          <w:pgSz w:w="11900" w:h="16838" w:orient="portrait"/>
          <w:cols w:equalWidth="0" w:num="1">
            <w:col w:w="10700"/>
          </w:cols>
          <w:pgMar w:left="760" w:top="270" w:right="439" w:bottom="1440" w:gutter="0" w:footer="0" w:header="0"/>
        </w:sectPr>
      </w:pPr>
    </w:p>
    <w:bookmarkStart w:id="48" w:name="page49"/>
    <w:bookmarkEnd w:id="48"/>
    <w:p>
      <w:pPr>
        <w:ind w:left="960" w:right="20" w:hanging="640"/>
        <w:spacing w:after="0" w:line="261"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to solely reflect a change in method of beneficial ownership by the undersigned of such Shares or Related Securities from direct through the Company’s transfer agent to indirect through a brokerage or similar account established for the benefit of the undersigned, provided that appropriate controls are imposed to provide reasonable assurance that the terms of this lock-up agreement are complied with; and</w:t>
      </w:r>
    </w:p>
    <w:p>
      <w:pPr>
        <w:spacing w:after="0" w:line="85" w:lineRule="exact"/>
        <w:rPr>
          <w:rFonts w:ascii="Times New Roman" w:cs="Times New Roman" w:eastAsia="Times New Roman" w:hAnsi="Times New Roman"/>
          <w:sz w:val="18"/>
          <w:szCs w:val="18"/>
          <w:color w:val="auto"/>
        </w:rPr>
      </w:pPr>
    </w:p>
    <w:p>
      <w:pPr>
        <w:ind w:left="960" w:hanging="640"/>
        <w:spacing w:after="0" w:line="261"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pledge, hypothecation or other granting of a security interest in Common Stock to one or more banks or financial institutions as collateral or security for any loan, advance or extension of credit and any transfer upon foreclosure upon such shares or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undersigned or the Company, as the case may be, shall provide the Representatives prior written notice informing it of any public filing, report or announcement made by or on behalf of the Company or the undersigned with respect thereto;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w:t>
      </w:r>
    </w:p>
    <w:p>
      <w:pPr>
        <w:spacing w:after="0" w:line="133" w:lineRule="exact"/>
        <w:rPr>
          <w:sz w:val="20"/>
          <w:szCs w:val="20"/>
          <w:color w:val="auto"/>
        </w:rPr>
      </w:pPr>
    </w:p>
    <w:p>
      <w:pPr>
        <w:ind w:left="960" w:right="120" w:hanging="532"/>
        <w:spacing w:after="0" w:line="25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(ii) through (vi) above, it shall be a condition to such transfer that each transferee executes and delivers to the Representatives an agreement in form and substance satisfactory to the Representatives stating that such transferee is receiving and holding such Shares and/or Related Securities subject to the provisions of this lock-up agreement and agrees not to sell or offer to sell such Shares and/or Related Securities, engage in any swap or engage in any other activities restricted under this lock-up agreement except in accordance with this lock-up agreement (as if such transferee had been an original signatory hereto);</w:t>
      </w:r>
    </w:p>
    <w:p>
      <w:pPr>
        <w:spacing w:after="0" w:line="92"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(ii) through (vi), (x), (xiii) and (xiv)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If for any reason (i) prior to entering into the Underwriting Agreement, the Selling Shareholder notifies the Representatives in writing that the it does not intend to proceed with the Offering, (ii) the Company, the Selling Shareholder and the Representatives have not entered into the Underwriting Agreement on or before December 31, 2020 or (iii) the Underwriting Agreement shall be terminated prior to the First Closing Date (as defined in the Underwriting Agreement), the agreement set forth above shall likewise be terminated.</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49" w:name="page50"/>
    <w:bookmarkEnd w:id="49"/>
    <w:p>
      <w:pPr>
        <w:jc w:val="right"/>
        <w:ind w:right="2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Yours very truly,</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-127635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Look Up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Fiserv,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 Fiserv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Wisconsin 53045</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Fiserv, Inc. Prospectus Supplement Relating to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I am the Chief Legal Officer and Secretary of Fiserv, Inc., a Wisconsin corporation (the “Company”). My opinion has been requested with respect to the Prospectus Supplement filed pursuant to Rule 424(b)(7) promulgated under the Securities Act of 1933 (the “Act”) relating to the Registration Statement on Form S-3 (File No. 333-227436) (as it may be amended from time to time, the “Registration Statement”), which is being filed in connection with the registration under the Act of 20,125,000 shares (the “Shares”) of the Company’s common stock, par value $0.01 per share (the “Common Stock”). The Company has filed the Prospectus Supplement with the U.S. Securities and Exchange Commission with respect to the Shares.</w:t>
      </w:r>
    </w:p>
    <w:p>
      <w:pPr>
        <w:spacing w:after="0" w:line="168" w:lineRule="exact"/>
        <w:rPr>
          <w:sz w:val="20"/>
          <w:szCs w:val="20"/>
          <w:color w:val="auto"/>
        </w:rPr>
      </w:pPr>
    </w:p>
    <w:p>
      <w:pPr>
        <w:ind w:right="18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foregoing, I have examined such corporate records, certificates and other documents, and such questions of law, as I have considered necessary or appropriate for the purposes of this opinion. Upon the basis of such examination, it is my opinion that, when the Shares have been duly issued as contemplated by the Prospectus Supplement relating to the Shares, the Shares will be validly issued, fully paid and nonassessable.</w:t>
      </w:r>
    </w:p>
    <w:p>
      <w:pPr>
        <w:spacing w:after="0" w:line="158"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I am not passing upon, and assume no responsibility for, any disclosure in any registration statement or any related prospectus or other offering material relating to the offer and sale of the Shares.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laws of the State of Wisconsin, and I am expressing no opinion as to the effect of the laws of any other jurisdiction.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 have relied as to certain factual matters on information obtained from public officials, officers of the Company and other sources believed by me to be responsible.</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a Current Report on Form 8-K to be incorporated by reference into the Registration Statement and to the reference to me under the heading “Legal Matters” in the Prospectus Supplement relating to the Shares. In giving such consent, I do not thereby admit that I am in the category of persons whose consent is required under Section 7 of the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Lynn S. McCreary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(Exhibit 5 Opinion)]</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lvl w:ilvl="1">
      <w:lvlJc w:val="left"/>
      <w:lvlText w:val="(%2)"/>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
    <w:nsid w:val="7C3DBD3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
    <w:nsid w:val="737B8DDC"/>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7">
    <w:nsid w:val="6CEAF08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
    <w:nsid w:val="22221A70"/>
    <w:multiLevelType w:val="hybridMultilevel"/>
    <w:lvl w:ilvl="0">
      <w:lvlJc w:val="left"/>
      <w:lvlText w:val="(%1)"/>
      <w:numFmt w:val="lowerLetter"/>
      <w:start w:val="6"/>
    </w:lvl>
  </w:abstractNum>
  <w:abstractNum w:abstractNumId="9">
    <w:nsid w:val="4516DDE9"/>
    <w:multiLevelType w:val="hybridMultilevel"/>
    <w:lvl w:ilvl="0">
      <w:lvlJc w:val="left"/>
      <w:lvlText w:val="(%1)"/>
      <w:numFmt w:val="lowerLetter"/>
      <w:start w:val="8"/>
    </w:lvl>
  </w:abstractNum>
  <w:abstractNum w:abstractNumId="10">
    <w:nsid w:val="3006C83E"/>
    <w:multiLevelType w:val="hybridMultilevel"/>
    <w:lvl w:ilvl="0">
      <w:lvlJc w:val="left"/>
      <w:lvlText w:val="(%1)"/>
      <w:numFmt w:val="lowerLetter"/>
      <w:start w:val="11"/>
    </w:lvl>
  </w:abstractNum>
  <w:abstractNum w:abstractNumId="11">
    <w:nsid w:val="614FD4A1"/>
    <w:multiLevelType w:val="hybridMultilevel"/>
    <w:lvl w:ilvl="0">
      <w:lvlJc w:val="left"/>
      <w:lvlText w:val="(%1)"/>
      <w:numFmt w:val="lowerLetter"/>
      <w:start w:val="16"/>
    </w:lvl>
  </w:abstractNum>
  <w:abstractNum w:abstractNumId="12">
    <w:nsid w:val="419AC241"/>
    <w:multiLevelType w:val="hybridMultilevel"/>
    <w:lvl w:ilvl="0">
      <w:lvlJc w:val="left"/>
      <w:lvlText w:val="(%1)"/>
      <w:numFmt w:val="lowerLetter"/>
      <w:start w:val="18"/>
    </w:lvl>
  </w:abstractNum>
  <w:abstractNum w:abstractNumId="13">
    <w:nsid w:val="5577F8E1"/>
    <w:multiLevelType w:val="hybridMultilevel"/>
    <w:lvl w:ilvl="0">
      <w:lvlJc w:val="left"/>
      <w:lvlText w:val="%1"/>
      <w:numFmt w:val="lowerLetter"/>
      <w:start w:val="1"/>
    </w:lvl>
    <w:lvl w:ilvl="1">
      <w:lvlJc w:val="left"/>
      <w:lvlText w:val="(%2)"/>
      <w:numFmt w:val="lowerLetter"/>
      <w:start w:val="22"/>
    </w:lvl>
  </w:abstractNum>
  <w:abstractNum w:abstractNumId="14">
    <w:nsid w:val="440BADFC"/>
    <w:multiLevelType w:val="hybridMultilevel"/>
    <w:lvl w:ilvl="0">
      <w:lvlJc w:val="left"/>
      <w:lvlText w:val="(%1)"/>
      <w:numFmt w:val="lowerLetter"/>
      <w:start w:val="9"/>
    </w:lvl>
    <w:lvl w:ilvl="1">
      <w:lvlJc w:val="left"/>
      <w:lvlText w:val="(%2)"/>
      <w:numFmt w:val="lowerLetter"/>
      <w:start w:val="24"/>
    </w:lvl>
  </w:abstractNum>
  <w:abstractNum w:abstractNumId="15">
    <w:nsid w:val="5072367"/>
    <w:multiLevelType w:val="hybridMultilevel"/>
    <w:lvl w:ilvl="0">
      <w:lvlJc w:val="left"/>
      <w:lvlText w:val="(%1)"/>
      <w:numFmt w:val="lowerLetter"/>
      <w:start w:val="25"/>
    </w:lvl>
    <w:lvl w:ilvl="1">
      <w:lvlJc w:val="left"/>
      <w:lvlText w:val="(%2)"/>
      <w:numFmt w:val="lowerRoman"/>
      <w:start w:val="1"/>
    </w:lvl>
  </w:abstractNum>
  <w:abstractNum w:abstractNumId="16">
    <w:nsid w:val="3804823E"/>
    <w:multiLevelType w:val="hybridMultilevel"/>
    <w:lvl w:ilvl="0">
      <w:lvlJc w:val="left"/>
      <w:lvlText w:val="%1"/>
      <w:numFmt w:val="upperLetter"/>
      <w:start w:val="1"/>
    </w:lvl>
    <w:lvl w:ilvl="1">
      <w:lvlJc w:val="left"/>
      <w:lvlText w:val="(%2)"/>
      <w:numFmt w:val="lowerLetter"/>
      <w:start w:val="27"/>
    </w:lvl>
  </w:abstractNum>
  <w:abstractNum w:abstractNumId="17">
    <w:nsid w:val="77465F01"/>
    <w:multiLevelType w:val="hybridMultilevel"/>
    <w:lvl w:ilvl="0">
      <w:lvlJc w:val="left"/>
      <w:lvlText w:val="(%1)"/>
      <w:numFmt w:val="upperLetter"/>
      <w:start w:val="1"/>
    </w:lvl>
    <w:lvl w:ilvl="1">
      <w:lvlJc w:val="left"/>
      <w:lvlText w:val="(%2)"/>
      <w:numFmt w:val="lowerLetter"/>
      <w:start w:val="31"/>
    </w:lvl>
  </w:abstractNum>
  <w:abstractNum w:abstractNumId="18">
    <w:nsid w:val="7724C67E"/>
    <w:multiLevelType w:val="hybridMultilevel"/>
    <w:lvl w:ilvl="0">
      <w:lvlJc w:val="left"/>
      <w:lvlText w:val="(%1)"/>
      <w:numFmt w:val="lowerLetter"/>
      <w:start w:val="32"/>
    </w:lvl>
  </w:abstractNum>
  <w:abstractNum w:abstractNumId="19">
    <w:nsid w:val="5C482A97"/>
    <w:multiLevelType w:val="hybridMultilevel"/>
    <w:lvl w:ilvl="0">
      <w:lvlJc w:val="left"/>
      <w:lvlText w:val="%1"/>
      <w:numFmt w:val="decimal"/>
      <w:start w:val="1"/>
    </w:lvl>
    <w:lvl w:ilvl="1">
      <w:lvlJc w:val="left"/>
      <w:lvlText w:val="(%2)"/>
      <w:numFmt w:val="lowerLetter"/>
      <w:start w:val="34"/>
    </w:lvl>
  </w:abstractNum>
  <w:abstractNum w:abstractNumId="20">
    <w:nsid w:val="2463B9EA"/>
    <w:multiLevelType w:val="hybridMultilevel"/>
    <w:lvl w:ilvl="0">
      <w:lvlJc w:val="left"/>
      <w:lvlText w:val="%1."/>
      <w:numFmt w:val="decimal"/>
      <w:start w:val="3"/>
    </w:lvl>
    <w:lvl w:ilvl="1">
      <w:lvlJc w:val="left"/>
      <w:lvlText w:val="(%2)"/>
      <w:numFmt w:val="lowerLetter"/>
      <w:start w:val="1"/>
    </w:lvl>
  </w:abstractNum>
  <w:abstractNum w:abstractNumId="21">
    <w:nsid w:val="5E884ADC"/>
    <w:multiLevelType w:val="hybridMultilevel"/>
    <w:lvl w:ilvl="0">
      <w:lvlJc w:val="left"/>
      <w:lvlText w:val="(%1)"/>
      <w:numFmt w:val="lowerLetter"/>
      <w:start w:val="4"/>
    </w:lvl>
  </w:abstractNum>
  <w:abstractNum w:abstractNumId="22">
    <w:nsid w:val="51EAD36B"/>
    <w:multiLevelType w:val="hybridMultilevel"/>
    <w:lvl w:ilvl="0">
      <w:lvlJc w:val="left"/>
      <w:lvlText w:val="%1."/>
      <w:numFmt w:val="decimal"/>
      <w:start w:val="4"/>
    </w:lvl>
  </w:abstractNum>
  <w:abstractNum w:abstractNumId="23">
    <w:nsid w:val="2D517796"/>
    <w:multiLevelType w:val="hybridMultilevel"/>
    <w:lvl w:ilvl="0">
      <w:lvlJc w:val="left"/>
      <w:lvlText w:val="%1."/>
      <w:numFmt w:val="decimal"/>
      <w:start w:val="5"/>
    </w:lvl>
    <w:lvl w:ilvl="1">
      <w:lvlJc w:val="left"/>
      <w:lvlText w:val="(%2)"/>
      <w:numFmt w:val="lowerLetter"/>
      <w:start w:val="1"/>
    </w:lvl>
  </w:abstractNum>
  <w:abstractNum w:abstractNumId="24">
    <w:nsid w:val="580BD78F"/>
    <w:multiLevelType w:val="hybridMultilevel"/>
    <w:lvl w:ilvl="0">
      <w:lvlJc w:val="left"/>
      <w:lvlText w:val="%1"/>
      <w:numFmt w:val="lowerLetter"/>
      <w:start w:val="1"/>
    </w:lvl>
    <w:lvl w:ilvl="1">
      <w:lvlJc w:val="left"/>
      <w:lvlText w:val="(%2)"/>
      <w:numFmt w:val="lowerLetter"/>
      <w:start w:val="2"/>
    </w:lvl>
  </w:abstractNum>
  <w:abstractNum w:abstractNumId="25">
    <w:nsid w:val="153EA438"/>
    <w:multiLevelType w:val="hybridMultilevel"/>
    <w:lvl w:ilvl="0">
      <w:lvlJc w:val="left"/>
      <w:lvlText w:val="(%1)"/>
      <w:numFmt w:val="lowerLetter"/>
      <w:start w:val="61"/>
    </w:lvl>
    <w:lvl w:ilvl="1">
      <w:lvlJc w:val="left"/>
      <w:lvlText w:val="(%2)"/>
      <w:numFmt w:val="lowerLetter"/>
      <w:start w:val="3"/>
    </w:lvl>
  </w:abstractNum>
  <w:abstractNum w:abstractNumId="26">
    <w:nsid w:val="3855585C"/>
    <w:multiLevelType w:val="hybridMultilevel"/>
    <w:lvl w:ilvl="0">
      <w:lvlJc w:val="left"/>
      <w:lvlText w:val="(%1)"/>
      <w:numFmt w:val="lowerLetter"/>
      <w:start w:val="5"/>
    </w:lvl>
  </w:abstractNum>
  <w:abstractNum w:abstractNumId="27">
    <w:nsid w:val="70A64E2A"/>
    <w:multiLevelType w:val="hybridMultilevel"/>
    <w:lvl w:ilvl="0">
      <w:lvlJc w:val="left"/>
      <w:lvlText w:val="(%1)"/>
      <w:numFmt w:val="lowerLetter"/>
      <w:start w:val="9"/>
    </w:lvl>
  </w:abstractNum>
  <w:abstractNum w:abstractNumId="28">
    <w:nsid w:val="6A2342EC"/>
    <w:multiLevelType w:val="hybridMultilevel"/>
    <w:lvl w:ilvl="0">
      <w:lvlJc w:val="left"/>
      <w:lvlText w:val="%1"/>
      <w:numFmt w:val="decimal"/>
      <w:start w:val="1"/>
    </w:lvl>
    <w:lvl w:ilvl="1">
      <w:lvlJc w:val="left"/>
      <w:lvlText w:val="(%2)"/>
      <w:numFmt w:val="lowerLetter"/>
      <w:start w:val="11"/>
    </w:lvl>
  </w:abstractNum>
  <w:abstractNum w:abstractNumId="29">
    <w:nsid w:val="2A487CB0"/>
    <w:multiLevelType w:val="hybridMultilevel"/>
    <w:lvl w:ilvl="0">
      <w:lvlJc w:val="left"/>
      <w:lvlText w:val="%1."/>
      <w:numFmt w:val="decimal"/>
      <w:start w:val="7"/>
    </w:lvl>
    <w:lvl w:ilvl="1">
      <w:lvlJc w:val="left"/>
      <w:lvlText w:val="(%2)"/>
      <w:numFmt w:val="lowerLetter"/>
      <w:start w:val="1"/>
    </w:lvl>
  </w:abstractNum>
  <w:abstractNum w:abstractNumId="30">
    <w:nsid w:val="1D4ED43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1">
    <w:nsid w:val="725A06F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2">
    <w:nsid w:val="2CD89A3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3">
    <w:nsid w:val="57E4CCAF"/>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34">
    <w:nsid w:val="7A6D8D3C"/>
    <w:multiLevelType w:val="hybridMultilevel"/>
    <w:lvl w:ilvl="0">
      <w:lvlJc w:val="left"/>
      <w:lvlText w:val="(%1)"/>
      <w:numFmt w:val="lowerRoman"/>
      <w:start w:val="8"/>
    </w:lvl>
    <w:lvl w:ilvl="1">
      <w:lvlJc w:val="left"/>
      <w:lvlText w:val="%2"/>
      <w:numFmt w:val="lowerLetter"/>
      <w:start w:val="1"/>
    </w:lvl>
    <w:lvl w:ilvl="2">
      <w:lvlJc w:val="left"/>
      <w:lvlText w:val="%3"/>
      <w:numFmt w:val="lowerLetter"/>
      <w:start w:val="1"/>
    </w:lvl>
  </w:abstractNum>
  <w:abstractNum w:abstractNumId="35">
    <w:nsid w:val="4B588F54"/>
    <w:multiLevelType w:val="hybridMultilevel"/>
    <w:lvl w:ilvl="0">
      <w:lvlJc w:val="left"/>
      <w:lvlText w:val="(%1)"/>
      <w:numFmt w:val="lowerLetter"/>
      <w:start w:val="4"/>
    </w:lvl>
  </w:abstractNum>
  <w:abstractNum w:abstractNumId="36">
    <w:nsid w:val="542289EC"/>
    <w:multiLevelType w:val="hybridMultilevel"/>
    <w:lvl w:ilvl="0">
      <w:lvlJc w:val="left"/>
      <w:lvlText w:val="(%1)"/>
      <w:numFmt w:val="upperLetter"/>
      <w:start w:val="2"/>
    </w:lvl>
    <w:lvl w:ilvl="1">
      <w:lvlJc w:val="left"/>
      <w:lvlText w:val="(%2)"/>
      <w:numFmt w:val="lowerLetter"/>
      <w:start w:val="9"/>
    </w:lvl>
  </w:abstractNum>
  <w:abstractNum w:abstractNumId="37">
    <w:nsid w:val="6DE91B18"/>
    <w:multiLevelType w:val="hybridMultilevel"/>
    <w:lvl w:ilvl="0">
      <w:lvlJc w:val="left"/>
      <w:lvlText w:val="%1."/>
      <w:numFmt w:val="decimal"/>
      <w:start w:val="10"/>
    </w:lvl>
    <w:lvl w:ilvl="1">
      <w:lvlJc w:val="left"/>
      <w:lvlText w:val="(%2)"/>
      <w:numFmt w:val="lowerLetter"/>
      <w:start w:val="1"/>
    </w:lvl>
  </w:abstractNum>
  <w:abstractNum w:abstractNumId="38">
    <w:nsid w:val="38437FDB"/>
    <w:multiLevelType w:val="hybridMultilevel"/>
    <w:lvl w:ilvl="0">
      <w:lvlJc w:val="left"/>
      <w:lvlText w:val="%1"/>
      <w:numFmt w:val="lowerLetter"/>
      <w:start w:val="1"/>
    </w:lvl>
    <w:lvl w:ilvl="1">
      <w:lvlJc w:val="left"/>
      <w:lvlText w:val="(%2)"/>
      <w:numFmt w:val="lowerLetter"/>
      <w:start w:val="2"/>
    </w:lvl>
  </w:abstractNum>
  <w:abstractNum w:abstractNumId="39">
    <w:nsid w:val="7644A45C"/>
    <w:multiLevelType w:val="hybridMultilevel"/>
    <w:lvl w:ilvl="0">
      <w:lvlJc w:val="left"/>
      <w:lvlText w:val="(%1)"/>
      <w:numFmt w:val="lowerLetter"/>
      <w:start w:val="22"/>
    </w:lvl>
    <w:lvl w:ilvl="1">
      <w:lvlJc w:val="left"/>
      <w:lvlText w:val="%2"/>
      <w:numFmt w:val="lowerLetter"/>
      <w:start w:val="1"/>
    </w:lvl>
  </w:abstractNum>
  <w:abstractNum w:abstractNumId="40">
    <w:nsid w:val="32FFF902"/>
    <w:multiLevelType w:val="hybridMultilevel"/>
    <w:lvl w:ilvl="0">
      <w:lvlJc w:val="left"/>
      <w:lvlText w:val="(%1)"/>
      <w:numFmt w:val="lowerLetter"/>
      <w:start w:val="4"/>
    </w:lvl>
  </w:abstractNum>
  <w:abstractNum w:abstractNumId="41">
    <w:nsid w:val="684A481A"/>
    <w:multiLevelType w:val="hybridMultilevel"/>
    <w:lvl w:ilvl="0">
      <w:lvlJc w:val="left"/>
      <w:lvlText w:val="(%1)"/>
      <w:numFmt w:val="lowerLetter"/>
      <w:start w:val="5"/>
    </w:lvl>
  </w:abstractNum>
  <w:abstractNum w:abstractNumId="42">
    <w:nsid w:val="579478FE"/>
    <w:multiLevelType w:val="hybridMultilevel"/>
    <w:lvl w:ilvl="0">
      <w:lvlJc w:val="left"/>
      <w:lvlText w:val="%1."/>
      <w:numFmt w:val="decimal"/>
      <w:start w:val="11"/>
    </w:lvl>
  </w:abstractNum>
  <w:abstractNum w:abstractNumId="43">
    <w:nsid w:val="749ABB43"/>
    <w:multiLevelType w:val="hybridMultilevel"/>
    <w:lvl w:ilvl="0">
      <w:lvlJc w:val="left"/>
      <w:lvlText w:val="%1."/>
      <w:numFmt w:val="decimal"/>
      <w:start w:val="13"/>
    </w:lvl>
    <w:lvl w:ilvl="1">
      <w:lvlJc w:val="left"/>
      <w:lvlText w:val="(%2)"/>
      <w:numFmt w:val="lowerLetter"/>
      <w:start w:val="1"/>
    </w:lvl>
  </w:abstractNum>
  <w:abstractNum w:abstractNumId="44">
    <w:nsid w:val="3DC240FB"/>
    <w:multiLevelType w:val="hybridMultilevel"/>
    <w:lvl w:ilvl="0">
      <w:lvlJc w:val="left"/>
      <w:lvlText w:val="%1"/>
      <w:numFmt w:val="decimal"/>
      <w:start w:val="1"/>
    </w:lvl>
    <w:lvl w:ilvl="1">
      <w:lvlJc w:val="left"/>
      <w:lvlText w:val="(%2)"/>
      <w:numFmt w:val="lowerLetter"/>
      <w:start w:val="2"/>
    </w:lvl>
  </w:abstractNum>
  <w:abstractNum w:abstractNumId="45">
    <w:nsid w:val="1BA026FA"/>
    <w:multiLevelType w:val="hybridMultilevel"/>
    <w:lvl w:ilvl="0">
      <w:lvlJc w:val="left"/>
      <w:lvlText w:val="%1."/>
      <w:numFmt w:val="decimal"/>
      <w:start w:val="18"/>
    </w:lvl>
    <w:lvl w:ilvl="1">
      <w:lvlJc w:val="left"/>
      <w:lvlText w:val="%2"/>
      <w:numFmt w:val="lowerLetter"/>
      <w:start w:val="1"/>
    </w:lvl>
  </w:abstractNum>
  <w:abstractNum w:abstractNumId="46">
    <w:nsid w:val="79A1DEAA"/>
    <w:multiLevelType w:val="hybridMultilevel"/>
    <w:lvl w:ilvl="0">
      <w:lvlJc w:val="left"/>
      <w:lvlText w:val="%1."/>
      <w:numFmt w:val="decimal"/>
      <w:start w:val="19"/>
    </w:lvl>
  </w:abstractNum>
  <w:abstractNum w:abstractNumId="47">
    <w:nsid w:val="75C6C33A"/>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48">
    <w:nsid w:val="12E685FB"/>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9">
    <w:nsid w:val="70C6A529"/>
    <w:multiLevelType w:val="hybridMultilevel"/>
    <w:lvl w:ilvl="0">
      <w:lvlJc w:val="left"/>
      <w:lvlText w:val="(%1)"/>
      <w:numFmt w:val="lowerRoman"/>
      <w:start w:val="4"/>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1)"/>
      <w:numFmt w:val="lowerRoman"/>
      <w:start w:val="1"/>
    </w:lvl>
  </w:abstractNum>
  <w:abstractNum w:abstractNumId="53">
    <w:nsid w:val="23F9C13C"/>
    <w:multiLevelType w:val="hybridMultilevel"/>
    <w:lvl w:ilvl="0">
      <w:lvlJc w:val="left"/>
      <w:lvlText w:val="(%1)"/>
      <w:numFmt w:val="lowerRoman"/>
      <w:start w:val="8"/>
    </w:lvl>
  </w:abstractNum>
  <w:abstractNum w:abstractNumId="54">
    <w:nsid w:val="649BB77C"/>
    <w:multiLevelType w:val="hybridMultilevel"/>
    <w:lvl w:ilvl="0">
      <w:lvlJc w:val="left"/>
      <w:lvlText w:val="(%1)"/>
      <w:numFmt w:val="lowerRoman"/>
      <w:start w:val="14"/>
    </w:lvl>
  </w:abstractNum>
  <w:abstractNum w:abstractNumId="55">
    <w:nsid w:val="275AC79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2020-12-14T15:27:29Z</dcterms:created>
  <dcterms:modified xsi:type="dcterms:W3CDTF">2020-12-14T15:27:29Z</dcterms:modified>
</cp:coreProperties>
</file>