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020" w:right="128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260"/>
          </w:cols>
          <w:pgMar w:left="440" w:top="382" w:right="11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3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39-1506125</w:t>
      </w:r>
    </w:p>
    <w:p>
      <w:pPr>
        <w:spacing w:after="0" w:line="50" w:lineRule="exact"/>
        <w:rPr>
          <w:sz w:val="24"/>
          <w:szCs w:val="24"/>
          <w:color w:val="auto"/>
        </w:rPr>
      </w:pPr>
    </w:p>
    <w:p>
      <w:pPr>
        <w:sectPr>
          <w:pgSz w:w="11900" w:h="16838" w:orient="portrait"/>
          <w:cols w:equalWidth="0" w:num="2">
            <w:col w:w="7180" w:space="720"/>
            <w:col w:w="2360"/>
          </w:cols>
          <w:pgMar w:left="440" w:top="382" w:right="1199" w:bottom="1440" w:gutter="0" w:footer="0" w:header="0"/>
          <w:type w:val="continuous"/>
        </w:sectPr>
      </w:pPr>
    </w:p>
    <w:p>
      <w:pPr>
        <w:ind w:left="92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2">
            <w:col w:w="6580" w:space="720"/>
            <w:col w:w="2960"/>
          </w:cols>
          <w:pgMar w:left="440" w:top="382" w:right="1199" w:bottom="1440" w:gutter="0" w:footer="0" w:header="0"/>
          <w:type w:val="continuous"/>
        </w:sectPr>
      </w:pPr>
    </w:p>
    <w:p>
      <w:pPr>
        <w:ind w:left="3740"/>
        <w:spacing w:after="0"/>
        <w:rPr>
          <w:sz w:val="20"/>
          <w:szCs w:val="20"/>
          <w:color w:val="auto"/>
        </w:rPr>
      </w:pPr>
      <w:r>
        <w:rPr>
          <w:rFonts w:ascii="Arial" w:cs="Arial" w:eastAsia="Arial" w:hAnsi="Arial"/>
          <w:sz w:val="18"/>
          <w:szCs w:val="18"/>
          <w:b w:val="1"/>
          <w:bCs w:val="1"/>
          <w:color w:val="auto"/>
        </w:rPr>
        <w:t>255 Fiserv Drive, Brookfield, Wisconsin 53045</w:t>
      </w:r>
    </w:p>
    <w:p>
      <w:pPr>
        <w:spacing w:after="0" w:line="21" w:lineRule="exact"/>
        <w:rPr>
          <w:sz w:val="24"/>
          <w:szCs w:val="24"/>
          <w:color w:val="auto"/>
        </w:rPr>
      </w:pPr>
    </w:p>
    <w:p>
      <w:pPr>
        <w:jc w:val="center"/>
        <w:ind w:right="-7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118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54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gridSpan w:val="3"/>
          </w:tcPr>
          <w:p>
            <w:pPr>
              <w:jc w:val="center"/>
              <w:ind w:left="1319"/>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71"/>
        </w:trPr>
        <w:tc>
          <w:tcPr>
            <w:tcW w:w="1040" w:type="dxa"/>
            <w:vAlign w:val="bottom"/>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to be so registered</w:t>
            </w:r>
          </w:p>
        </w:tc>
        <w:tc>
          <w:tcPr>
            <w:tcW w:w="2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320" w:type="dxa"/>
            <w:vAlign w:val="bottom"/>
          </w:tcPr>
          <w:p>
            <w:pPr>
              <w:spacing w:after="0"/>
              <w:rPr>
                <w:sz w:val="14"/>
                <w:szCs w:val="14"/>
                <w:color w:val="auto"/>
              </w:rPr>
            </w:pPr>
          </w:p>
        </w:tc>
      </w:tr>
      <w:tr>
        <w:trPr>
          <w:trHeight w:val="228"/>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w w:val="90"/>
              </w:rPr>
              <w:t>Common Stock, par value $</w:t>
            </w:r>
          </w:p>
        </w:tc>
        <w:tc>
          <w:tcPr>
            <w:tcW w:w="2420" w:type="dxa"/>
            <w:vAlign w:val="bottom"/>
          </w:tcPr>
          <w:p>
            <w:pPr>
              <w:spacing w:after="0"/>
              <w:rPr>
                <w:sz w:val="20"/>
                <w:szCs w:val="20"/>
                <w:color w:val="auto"/>
              </w:rPr>
            </w:pPr>
            <w:r>
              <w:rPr>
                <w:rFonts w:ascii="Arial" w:cs="Arial" w:eastAsia="Arial" w:hAnsi="Arial"/>
                <w:sz w:val="18"/>
                <w:szCs w:val="18"/>
                <w:b w:val="1"/>
                <w:bCs w:val="1"/>
                <w:color w:val="auto"/>
              </w:rPr>
              <w:t>0.01 per share</w:t>
            </w:r>
          </w:p>
        </w:tc>
        <w:tc>
          <w:tcPr>
            <w:tcW w:w="3760" w:type="dxa"/>
            <w:vAlign w:val="bottom"/>
            <w:gridSpan w:val="3"/>
          </w:tcPr>
          <w:p>
            <w:pPr>
              <w:jc w:val="center"/>
              <w:ind w:left="1319"/>
              <w:spacing w:after="0"/>
              <w:rPr>
                <w:sz w:val="20"/>
                <w:szCs w:val="20"/>
                <w:color w:val="auto"/>
              </w:rPr>
            </w:pPr>
            <w:r>
              <w:rPr>
                <w:rFonts w:ascii="Arial" w:cs="Arial" w:eastAsia="Arial" w:hAnsi="Arial"/>
                <w:sz w:val="18"/>
                <w:szCs w:val="18"/>
                <w:b w:val="1"/>
                <w:bCs w:val="1"/>
                <w:color w:val="auto"/>
                <w:w w:val="89"/>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Act registration statement or Regulation A offering statement file number to which this form relates: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Not applicable</w:t>
      </w:r>
    </w:p>
    <w:p>
      <w:pPr>
        <w:spacing w:after="0" w:line="20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60"/>
          </w:cols>
          <w:pgMar w:left="440" w:top="382" w:right="11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EXPLANATORY NOTE</w:t>
      </w:r>
    </w:p>
    <w:p>
      <w:pPr>
        <w:spacing w:after="0" w:line="229"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Fiserv, Inc. (the “Registrant”) is filing this Registration Statement on Form 8-A in connection with the transfer of the listing of its common stock, par value $0.01 per share (the “Common Stock”), from The Nasdaq Stock Market LLC (“Nasdaq”) to The New York Stock Exchange (the “NYSE”).</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Common Stock will trade on the NYSE under the symbol “FI”. The Registrant expects the listing and trading of its Common Stock on Nasdaq to cease at the close of trading on or about June 6, 2023, and the listing and trading of its Common Stock on the NYSE to begin at market open on or about June 7, 2023.</w:t>
      </w:r>
    </w:p>
    <w:p>
      <w:pPr>
        <w:spacing w:after="0" w:line="396"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21" w:lineRule="exact"/>
        <w:rPr>
          <w:sz w:val="20"/>
          <w:szCs w:val="20"/>
          <w:color w:val="auto"/>
        </w:rPr>
      </w:pPr>
    </w:p>
    <w:p>
      <w:pPr>
        <w:jc w:val="both"/>
        <w:ind w:right="480" w:firstLine="440"/>
        <w:spacing w:after="0" w:line="263" w:lineRule="auto"/>
        <w:rPr>
          <w:rFonts w:ascii="Arial" w:cs="Arial" w:eastAsia="Arial" w:hAnsi="Arial"/>
          <w:sz w:val="18"/>
          <w:szCs w:val="18"/>
          <w:color w:val="0000EE"/>
        </w:rPr>
      </w:pPr>
      <w:hyperlink r:id="rId18">
        <w:r>
          <w:rPr>
            <w:rFonts w:ascii="Arial" w:cs="Arial" w:eastAsia="Arial" w:hAnsi="Arial"/>
            <w:sz w:val="18"/>
            <w:szCs w:val="18"/>
            <w:color w:val="auto"/>
          </w:rPr>
          <w:t xml:space="preserve">The description of the Common Stock under the caption “Description of Common Stock” included in </w:t>
        </w:r>
        <w:r>
          <w:rPr>
            <w:rFonts w:ascii="Arial" w:cs="Arial" w:eastAsia="Arial" w:hAnsi="Arial"/>
            <w:sz w:val="18"/>
            <w:szCs w:val="18"/>
            <w:u w:val="single" w:color="auto"/>
            <w:color w:val="0000EE"/>
          </w:rPr>
          <w:t>Exhibit 4.1 to the Registrant’s Annual</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Report on Form 10-K for the fiscal year ended December 31, 2019 (File No. 001-38962)</w:t>
        </w:r>
        <w:r>
          <w:rPr>
            <w:rFonts w:ascii="Arial" w:cs="Arial" w:eastAsia="Arial" w:hAnsi="Arial"/>
            <w:sz w:val="18"/>
            <w:szCs w:val="18"/>
            <w:color w:val="000000"/>
          </w:rPr>
          <w:t>, filed with the Securities and Exchange Commission on</w:t>
        </w:r>
      </w:hyperlink>
      <w:r>
        <w:rPr>
          <w:rFonts w:ascii="Arial" w:cs="Arial" w:eastAsia="Arial" w:hAnsi="Arial"/>
          <w:sz w:val="18"/>
          <w:szCs w:val="18"/>
          <w:color w:val="0000EE"/>
        </w:rPr>
        <w:t xml:space="preserve"> </w:t>
      </w:r>
      <w:r>
        <w:rPr>
          <w:rFonts w:ascii="Arial" w:cs="Arial" w:eastAsia="Arial" w:hAnsi="Arial"/>
          <w:sz w:val="18"/>
          <w:szCs w:val="18"/>
          <w:color w:val="000000"/>
        </w:rPr>
        <w:t>February 27, 2020, is incorporated by reference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because no other securities of the Registrant are registered on the NYSE, and the securities registered hereby are not being registered pursuant to Section 12(g) of the Securities Exchange Act of 1934, as amended.</w:t>
      </w:r>
    </w:p>
    <w:p>
      <w:pPr>
        <w:sectPr>
          <w:pgSz w:w="11900" w:h="16838" w:orient="portrait"/>
          <w:cols w:equalWidth="0" w:num="1">
            <w:col w:w="10980"/>
          </w:cols>
          <w:pgMar w:left="440" w:top="486"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hereto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500" w:type="dxa"/>
            <w:vAlign w:val="bottom"/>
            <w:gridSpan w:val="2"/>
          </w:tcPr>
          <w:p>
            <w:pPr>
              <w:ind w:left="2100"/>
              <w:spacing w:after="0"/>
              <w:rPr>
                <w:sz w:val="20"/>
                <w:szCs w:val="20"/>
                <w:color w:val="auto"/>
              </w:rPr>
            </w:pPr>
            <w:r>
              <w:rPr>
                <w:rFonts w:ascii="Arial" w:cs="Arial" w:eastAsia="Arial" w:hAnsi="Arial"/>
                <w:sz w:val="18"/>
                <w:szCs w:val="18"/>
                <w:color w:val="auto"/>
              </w:rPr>
              <w:t>FISERV,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May 25, 2023</w:t>
            </w:r>
          </w:p>
        </w:tc>
        <w:tc>
          <w:tcPr>
            <w:tcW w:w="7500" w:type="dxa"/>
            <w:vAlign w:val="bottom"/>
            <w:gridSpan w:val="2"/>
          </w:tcPr>
          <w:p>
            <w:pPr>
              <w:ind w:left="2100"/>
              <w:spacing w:after="0"/>
              <w:rPr>
                <w:sz w:val="20"/>
                <w:szCs w:val="20"/>
                <w:color w:val="auto"/>
              </w:rPr>
            </w:pPr>
            <w:r>
              <w:rPr>
                <w:rFonts w:ascii="Arial" w:cs="Arial" w:eastAsia="Arial" w:hAnsi="Arial"/>
                <w:sz w:val="18"/>
                <w:szCs w:val="18"/>
                <w:color w:val="auto"/>
              </w:rPr>
              <w:t>By:  /s/ Robert W. Hau</w:t>
            </w:r>
          </w:p>
        </w:tc>
      </w:tr>
      <w:tr>
        <w:trPr>
          <w:trHeight w:val="195"/>
        </w:trPr>
        <w:tc>
          <w:tcPr>
            <w:tcW w:w="3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Robert W. Hau</w:t>
            </w:r>
          </w:p>
        </w:tc>
      </w:tr>
      <w:tr>
        <w:trPr>
          <w:trHeight w:val="230"/>
        </w:trPr>
        <w:tc>
          <w:tcPr>
            <w:tcW w:w="3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48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18" Type="http://schemas.openxmlformats.org/officeDocument/2006/relationships/hyperlink" Target="http://www.sec.gov/Archives/edgar/data/798354/000079835420000006/ex4112312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2023-05-25T15:53:08Z</dcterms:created>
  <dcterms:modified xsi:type="dcterms:W3CDTF">2023-05-25T15:53:08Z</dcterms:modified>
</cp:coreProperties>
</file>