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AS FILED WITH THE SECURITIES AND EXCHANGE COMMISSION ON JUNE 15, 1999</w:t>
      </w:r>
    </w:p>
    <w:p>
      <w:pPr>
        <w:spacing w:after="0" w:line="342"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333-79695</w:t>
      </w:r>
    </w:p>
    <w:p>
      <w:pPr>
        <w:spacing w:after="0" w:line="17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1</w:t>
      </w:r>
    </w:p>
    <w:p>
      <w:pPr>
        <w:spacing w:after="0" w:line="200" w:lineRule="exact"/>
        <w:rPr>
          <w:sz w:val="24"/>
          <w:szCs w:val="24"/>
          <w:color w:val="auto"/>
        </w:rPr>
      </w:pPr>
    </w:p>
    <w:p>
      <w:pPr>
        <w:spacing w:after="0" w:line="313"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342"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jc w:val="center"/>
        <w:ind w:right="3631"/>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jc w:val="center"/>
        <w:ind w:right="353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649"/>
          </w:cols>
          <w:pgMar w:left="231" w:top="230" w:right="1019" w:bottom="0" w:gutter="0" w:footer="0" w:header="0"/>
        </w:sectPr>
      </w:pPr>
    </w:p>
    <w:p>
      <w:pPr>
        <w:spacing w:after="0" w:line="200" w:lineRule="exact"/>
        <w:rPr>
          <w:sz w:val="24"/>
          <w:szCs w:val="24"/>
          <w:color w:val="auto"/>
        </w:rPr>
      </w:pPr>
    </w:p>
    <w:p>
      <w:pPr>
        <w:spacing w:after="0" w:line="313"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44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7374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58-2360335</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9" w:lineRule="exact"/>
        <w:rPr>
          <w:sz w:val="24"/>
          <w:szCs w:val="24"/>
          <w:color w:val="auto"/>
        </w:rPr>
      </w:pPr>
    </w:p>
    <w:p>
      <w:pPr>
        <w:sectPr>
          <w:pgSz w:w="11900" w:h="16838" w:orient="portrait"/>
          <w:cols w:equalWidth="0" w:num="3">
            <w:col w:w="3449" w:space="720"/>
            <w:col w:w="2560" w:space="720"/>
            <w:col w:w="3200"/>
          </w:cols>
          <w:pgMar w:left="231" w:top="230" w:right="1019" w:bottom="0" w:gutter="0" w:footer="0" w:header="0"/>
          <w:type w:val="continuous"/>
        </w:sectPr>
      </w:pPr>
    </w:p>
    <w:p>
      <w:pPr>
        <w:spacing w:after="0" w:line="1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375-3387</w:t>
      </w:r>
    </w:p>
    <w:p>
      <w:pPr>
        <w:spacing w:after="0" w:line="3"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9"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PETER J. KIGHT</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375-3387</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COPIES OF CORRESPONDENCE TO:</w:t>
      </w:r>
    </w:p>
    <w:p>
      <w:pPr>
        <w:sectPr>
          <w:pgSz w:w="11900" w:h="16838" w:orient="portrait"/>
          <w:cols w:equalWidth="0" w:num="1">
            <w:col w:w="10649"/>
          </w:cols>
          <w:pgMar w:left="231" w:top="230" w:right="10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CURTIS A. LOVELAND, ESQ.</w:t>
      </w:r>
    </w:p>
    <w:p>
      <w:pPr>
        <w:spacing w:after="0" w:line="3" w:lineRule="exact"/>
        <w:rPr>
          <w:sz w:val="24"/>
          <w:szCs w:val="24"/>
          <w:color w:val="auto"/>
        </w:rPr>
      </w:pPr>
    </w:p>
    <w:p>
      <w:pPr>
        <w:ind w:left="1069"/>
        <w:spacing w:after="0"/>
        <w:rPr>
          <w:sz w:val="20"/>
          <w:szCs w:val="20"/>
          <w:color w:val="auto"/>
        </w:rPr>
      </w:pPr>
      <w:r>
        <w:rPr>
          <w:rFonts w:ascii="Courier New" w:cs="Courier New" w:eastAsia="Courier New" w:hAnsi="Courier New"/>
          <w:sz w:val="14"/>
          <w:szCs w:val="14"/>
          <w:color w:val="auto"/>
        </w:rPr>
        <w:t>PORTER, WRIGHT, MORRIS &amp; ARTHUR LLP</w:t>
      </w:r>
    </w:p>
    <w:p>
      <w:pPr>
        <w:spacing w:after="0" w:line="9"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(614) 227-2004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DAVID C. CHAPIN, ESQ.</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ONE INTERNATIONAL PLACE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BOSTON, MASSACHUSETTS 02110</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(617) 951-7371</w:t>
      </w:r>
    </w:p>
    <w:p>
      <w:pPr>
        <w:spacing w:after="0" w:line="200" w:lineRule="exact"/>
        <w:rPr>
          <w:sz w:val="24"/>
          <w:szCs w:val="24"/>
          <w:color w:val="auto"/>
        </w:rPr>
      </w:pPr>
    </w:p>
    <w:p>
      <w:pPr>
        <w:sectPr>
          <w:pgSz w:w="11900" w:h="16838" w:orient="portrait"/>
          <w:cols w:equalWidth="0" w:num="2">
            <w:col w:w="6109" w:space="720"/>
            <w:col w:w="3820"/>
          </w:cols>
          <w:pgMar w:left="231" w:top="230" w:right="1019" w:bottom="0" w:gutter="0" w:footer="0" w:header="0"/>
          <w:type w:val="continuous"/>
        </w:sectPr>
      </w:pPr>
    </w:p>
    <w:p>
      <w:pPr>
        <w:spacing w:after="0" w:line="313"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720" w:firstLine="355"/>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this Registration Statement becomes effective.</w:t>
      </w:r>
    </w:p>
    <w:p>
      <w:pPr>
        <w:spacing w:after="0" w:line="175" w:lineRule="exact"/>
        <w:rPr>
          <w:sz w:val="24"/>
          <w:szCs w:val="24"/>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9" w:right="3540" w:firstLine="355"/>
        <w:spacing w:after="0" w:line="239" w:lineRule="auto"/>
        <w:rPr>
          <w:sz w:val="20"/>
          <w:szCs w:val="20"/>
          <w:color w:val="auto"/>
        </w:rPr>
      </w:pPr>
      <w:r>
        <w:rPr>
          <w:rFonts w:ascii="Courier New" w:cs="Courier New" w:eastAsia="Courier New" w:hAnsi="Courier New"/>
          <w:sz w:val="15"/>
          <w:szCs w:val="15"/>
          <w:color w:val="auto"/>
        </w:rPr>
        <w:t>If any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6" w:lineRule="exact"/>
        <w:rPr>
          <w:sz w:val="24"/>
          <w:szCs w:val="24"/>
          <w:color w:val="auto"/>
        </w:rPr>
      </w:pPr>
    </w:p>
    <w:p>
      <w:pPr>
        <w:ind w:left="9" w:right="35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ind w:left="9" w:right="35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ectPr>
          <w:pgSz w:w="11900" w:h="16838" w:orient="portrait"/>
          <w:cols w:equalWidth="0" w:num="1">
            <w:col w:w="10649"/>
          </w:cols>
          <w:pgMar w:left="231" w:top="230" w:right="1019" w:bottom="0" w:gutter="0" w:footer="0" w:header="0"/>
          <w:type w:val="continuous"/>
        </w:sectPr>
      </w:pPr>
    </w:p>
    <w:bookmarkStart w:id="1" w:name="page2"/>
    <w:bookmarkEnd w:id="1"/>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 w:right="4260" w:firstLine="355"/>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9"/>
        <w:spacing w:after="0"/>
        <w:tabs>
          <w:tab w:leader="none" w:pos="4589" w:val="left"/>
          <w:tab w:leader="none" w:pos="6909"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1" w:lineRule="exact"/>
        <w:rPr>
          <w:sz w:val="20"/>
          <w:szCs w:val="20"/>
          <w:color w:val="auto"/>
        </w:rPr>
      </w:pPr>
    </w:p>
    <w:p>
      <w:pPr>
        <w:ind w:left="349"/>
        <w:spacing w:after="0"/>
        <w:tabs>
          <w:tab w:leader="none" w:pos="2649" w:val="left"/>
          <w:tab w:leader="none" w:pos="4689" w:val="left"/>
          <w:tab w:leader="none" w:pos="6809" w:val="left"/>
          <w:tab w:leader="none" w:pos="9469" w:val="left"/>
        </w:tabs>
        <w:rPr>
          <w:sz w:val="20"/>
          <w:szCs w:val="20"/>
          <w:color w:val="auto"/>
        </w:rPr>
      </w:pPr>
      <w:r>
        <w:rPr>
          <w:rFonts w:ascii="Courier New" w:cs="Courier New" w:eastAsia="Courier New" w:hAnsi="Courier New"/>
          <w:sz w:val="15"/>
          <w:szCs w:val="15"/>
          <w:color w:val="auto"/>
        </w:rPr>
        <w:t>SECURITIES TO BE</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1" w:lineRule="exact"/>
        <w:rPr>
          <w:sz w:val="20"/>
          <w:szCs w:val="20"/>
          <w:color w:val="auto"/>
        </w:rPr>
      </w:pPr>
    </w:p>
    <w:p>
      <w:pPr>
        <w:ind w:left="629"/>
        <w:spacing w:after="0"/>
        <w:tabs>
          <w:tab w:leader="none" w:pos="2649" w:val="left"/>
          <w:tab w:leader="none" w:pos="4869" w:val="left"/>
          <w:tab w:leader="none" w:pos="7349" w:val="left"/>
          <w:tab w:leader="none" w:pos="912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REGISTERED(1)</w:t>
      </w:r>
      <w:r>
        <w:rPr>
          <w:sz w:val="20"/>
          <w:szCs w:val="20"/>
          <w:color w:val="auto"/>
        </w:rPr>
        <w:tab/>
      </w: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4"/>
          <w:szCs w:val="14"/>
          <w:color w:val="auto"/>
        </w:rPr>
        <w:t>REGISTRATION FEE*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Common stock, $.01 par</w:t>
            </w: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value..................</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4,370,000</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$37.25</w:t>
            </w:r>
          </w:p>
        </w:tc>
        <w:tc>
          <w:tcPr>
            <w:tcW w:w="25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$162,782,500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$45,254</w:t>
            </w:r>
          </w:p>
        </w:tc>
      </w:tr>
    </w:tbl>
    <w:p>
      <w:pPr>
        <w:spacing w:after="0" w:line="3"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9" w:right="4180" w:hanging="169"/>
        <w:spacing w:after="0" w:line="239" w:lineRule="auto"/>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based on the average high and low prices of the common stock as reported on the Nasdaq National Market on June 11, 1999, which was previously paid on May 19, 1999.</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Represents 345,000 additional shares to be registered.</w:t>
      </w:r>
    </w:p>
    <w:p>
      <w:pPr>
        <w:spacing w:after="0" w:line="342"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4080"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189"/>
          </w:cols>
          <w:pgMar w:left="231" w:top="139" w:right="4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SUBJECT TO COMPLETION</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PRELIMINARY PROSPECTUS DATED JUNE 15,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3,800,000 SHARES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(CHECKFREE HOLDINGS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are offering and selling 2,425,000 shares of common stock with this prospectus. Certain of our stockholders are offering and selling a total of 1,375,000 shares of common stock with this prospectus. We will not receive any of the proceeds from the sale of shares by the selling stockholders. Our shares are traded on the Nasdaq National Market under the symbol "CKFR." On June 11, 1999, the last reported sale price of our common stock on the Nasdaq National Market was $37.25 per share.</w:t>
      </w:r>
    </w:p>
    <w:p>
      <w:pPr>
        <w:spacing w:after="0" w:line="347"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INVESTING IN THE COMMON STOCK INVOLVES RISKS WHICH ARE DESCRIBED IN THE "RISK FACTORS" SECTION BEGINNING ON PAGE 7 OF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040" w:type="dxa"/>
            <w:vAlign w:val="bottom"/>
          </w:tcPr>
          <w:p>
            <w:pPr>
              <w:spacing w:after="0"/>
              <w:rPr>
                <w:sz w:val="24"/>
                <w:szCs w:val="2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PER SHARE</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5040" w:type="dxa"/>
            <w:vAlign w:val="bottom"/>
          </w:tcPr>
          <w:p>
            <w:pPr>
              <w:spacing w:after="0"/>
              <w:rPr>
                <w:sz w:val="14"/>
                <w:szCs w:val="1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CheckFree.................</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Proceeds to the selling stockholders....................</w:t>
            </w: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underwriters may also purchase up to an additional 570,000 shares from us at the public offering price, less the underwriting discount, within 30 days from the date of this prospectus to cover over-allotments.</w:t>
      </w:r>
    </w:p>
    <w:p>
      <w:pPr>
        <w:spacing w:after="0" w:line="200" w:lineRule="exact"/>
        <w:rPr>
          <w:sz w:val="20"/>
          <w:szCs w:val="20"/>
          <w:color w:val="auto"/>
        </w:rPr>
      </w:pPr>
    </w:p>
    <w:p>
      <w:pPr>
        <w:spacing w:after="0" w:line="316"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At our request, the underwriters may reserve up to 250,000 shares of our common stock for sale at the public offering price to one or more persons who have direct business relationships with us. See "Underwriting."</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of common stock will be ready for delivery in New York, New York</w:t>
      </w:r>
    </w:p>
    <w:p>
      <w:pPr>
        <w:spacing w:after="0" w:line="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5"/>
          <w:szCs w:val="15"/>
          <w:color w:val="auto"/>
        </w:rPr>
        <w:t>on or about</w:t>
      </w:r>
      <w:r>
        <w:rPr>
          <w:sz w:val="20"/>
          <w:szCs w:val="20"/>
          <w:color w:val="auto"/>
        </w:rPr>
        <w:tab/>
      </w:r>
      <w:r>
        <w:rPr>
          <w:rFonts w:ascii="Courier New" w:cs="Courier New" w:eastAsia="Courier New" w:hAnsi="Courier New"/>
          <w:sz w:val="14"/>
          <w:szCs w:val="14"/>
          <w:color w:val="auto"/>
        </w:rPr>
        <w:t>, 1999.</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DEUTSCHE BANC ALEX. BROWN</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HAMBRECHT &amp; QUIST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U.S. BANCORP PIPER JAFFRAY</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ectPr>
          <w:pgSz w:w="11900" w:h="16838" w:orient="portrait"/>
          <w:cols w:equalWidth="0" w:num="2">
            <w:col w:w="4960" w:space="720"/>
            <w:col w:w="4539"/>
          </w:cols>
          <w:pgMar w:left="240" w:top="28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ind w:left="274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853"/>
        </w:trPr>
        <w:tc>
          <w:tcPr>
            <w:tcW w:w="54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540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Prospectus Summary..........................................</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Risk Factors................................................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Use of Proceeds.............................................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Dividend Policy.............................................</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Price Range of Common Stock.................................</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Capitalization..............................................</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and Results of Operations.................................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Business....................................................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Selling Stockholders........................................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Underwriting................................................</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Matters...............................................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Experts.....................................................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Forward-Looking Statements..................................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Where You Can Find More Information.........................</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Incorporation of Documents by Reference.....................</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Index to Consolidated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prospectus. We have not, the selling stockholders have not and the underwriters have not authorized any other person to provide you with different information. If anyone provides you with different or inconsistent information, you should not rely on it. We are not, the selling stockholders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CheckFree(R), CheckFree and the logo design together(R), CheckFree in stylized letters(R), M-Watch(R), M-Search(R) and PEP+(R) are registered United States Trademarks of CheckFree Holdings Corporation. This prospectus also includes trademarks of companies other than CheckFree. We have filed applications for the following trademarks: CheckFree ARP/SMS(TM), CheckFree RECON(TM), APL(TM), M-Vest(TM) and CheckFree RECON-PLUS(TM). We have also filed an application for the service mark CheckFree E-Bill(SM).</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PROSPECTUS SUMMARY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information in this prospectus summary may not contain all of the information that may be important to you. You should read the entire prospectus, including the financial statements and related notes and the information incorporated by reference in this prospectus, before making an investment decision. All references to "we," "us," "our," "CheckFree" or the "Company" in this prospectus mean CheckFree Holdings Corporation and all entities owned or controlled by CheckFree Holdings Corporation, except where it is made clear that the term only means the parent company.</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COMPANY</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32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plan to undertake significant marketing initiatives with this and other Internet portals to dramatically accelerate the adoption of our services by consumers.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200" w:lineRule="exact"/>
        <w:rPr>
          <w:sz w:val="20"/>
          <w:szCs w:val="20"/>
          <w:color w:val="auto"/>
        </w:rPr>
      </w:pPr>
    </w:p>
    <w:p>
      <w:pPr>
        <w:spacing w:after="0" w:line="32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that enables merchants to deliver billing as well as marketing materials interactively to their customers over the Internet. To date, we have signed contracts for E-Bill services with over 50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the previous month.</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also are a leading provider of portfolio management and information services and financial application software. Our Investment Services business offers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managing investments of institutions and high net worth individuals. Our Software business provides electronic commerce and financial applications software and services for businesses and financial institutions. We design, market, license and support software products for automated clearinghouse, or ACH, processing, reconciliation and regulatory compliance.</w:t>
      </w:r>
    </w:p>
    <w:p>
      <w:pPr>
        <w:spacing w:after="0" w:line="16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nine months ended March 31, 1999, Electronic Commerce accounted for 69% of our revenues, Software accounted for 16% of our revenues and Investment Services accounted for 15% of our revenues.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to financial institutions, businesses and their customers. The key elements of our business strategy are to:</w:t>
      </w:r>
    </w:p>
    <w:p>
      <w:pPr>
        <w:spacing w:after="0" w:line="174" w:lineRule="exact"/>
        <w:rPr>
          <w:sz w:val="20"/>
          <w:szCs w:val="20"/>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adoption of electronic commerce services by consumers;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customer care and technical support;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improve operational efficiency and effectiveness;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new forms of electronic commerce services.</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April 27, 1999, we announced revenues of $62.9 million for our fiscal third quarter ended March 31, 1999, and revenues of $179.4 million for the nine months ended March 31, 1999. This was a 20% increase over the comparative quarter for the prior fiscal year and a 22% increase over the comparative nine-month period, in both cases adjusted for the effects of the divestitures of some of our software businesses. We had income from operations of $0.3 million and net loss of $0.3 million for our quarter ended March 31, 1999, and loss from operations of $4.5 million and net income of $9.6 million for the nine months ended March 31, 1999. The total number of subscribers to our electronic billing and payment services grew from the prior quarter by approximately 200,000, or 6%, in the fiscal third quarter to more than 2.8 million subscribers. During this three-month period, we processed an average of more than 11 million transactions per month. While our services through traditional personal financial management, or PFM, software continued to grow, our financial institution customers experienced, on average, quarter-to-quarter growth in their Internet-based subscribers of more than 20%.</w:t>
      </w:r>
    </w:p>
    <w:p>
      <w:pPr>
        <w:spacing w:after="0" w:line="35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January 26, 1999, we announced that, as part of our strategy to broaden availability of electronic billing and payment on the Internet, we had entered into a distribution contract with a leading Internet portal. We estimate incurring expenses of less than $10 million in support of this agreement for marketing, promotion, site development and customer care. While we expect this agreement will significantly increase the number of subscribers using our services, we do not expect any material revenues from the agreement in the near term. On June 15, 1999, we announced a plan to invest as much as $50 million during the next fiscal year to dramatically accelerate the rate at which consumers are signing up for electronic billing and payment services. This plan includes marketing incentives such as free trial periods with our Internet portal distribution partners, enhancements to our E-Bill services and investments in our customer care infrastructure.</w:t>
      </w:r>
    </w:p>
    <w:p>
      <w:pPr>
        <w:spacing w:after="0" w:line="200" w:lineRule="exact"/>
        <w:rPr>
          <w:sz w:val="20"/>
          <w:szCs w:val="20"/>
          <w:color w:val="auto"/>
        </w:rPr>
      </w:pPr>
    </w:p>
    <w:p>
      <w:pPr>
        <w:spacing w:after="0" w:line="32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May 4, 1999, we announced an agreement with Cox Communications, Inc., one of the nation's leading broadband communications companies, to provide nearly 3.8 million Cox customers access to on-line electronic billing and payment. Under the agreement with Cox, customers will be able to receive and pay their monthly cable and local and long-distance telephone bills electronically. Following the signing of the Cox agreement, we now have contracts with over 50 of the nation's top 100 billers, including major utilities, financial institutions, insurance companies and telecommunications service providers.</w:t>
      </w:r>
    </w:p>
    <w:p>
      <w:pPr>
        <w:spacing w:after="0" w:line="32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ADDRESS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principal executive offices are located at 4411 East Jones Bridge Road, Norcross, Georgia 30092 and our telephone number is (678) 375-3387. We maintain a web site at www.checkfree.com. This reference to our web site address does not constitute incorporation by reference of the information contained on our web site.</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THE OFFERING</w:t>
      </w:r>
    </w:p>
    <w:p>
      <w:pPr>
        <w:spacing w:after="0" w:line="174" w:lineRule="exact"/>
        <w:rPr>
          <w:sz w:val="20"/>
          <w:szCs w:val="20"/>
          <w:color w:val="auto"/>
        </w:rPr>
      </w:pPr>
    </w:p>
    <w:p>
      <w:pPr>
        <w:ind w:left="9" w:right="3579" w:firstLine="444"/>
        <w:spacing w:after="0" w:line="271" w:lineRule="auto"/>
        <w:rPr>
          <w:sz w:val="20"/>
          <w:szCs w:val="20"/>
          <w:color w:val="auto"/>
        </w:rPr>
      </w:pPr>
      <w:r>
        <w:rPr>
          <w:rFonts w:ascii="Courier New" w:cs="Courier New" w:eastAsia="Courier New" w:hAnsi="Courier New"/>
          <w:sz w:val="14"/>
          <w:szCs w:val="14"/>
          <w:color w:val="auto"/>
        </w:rPr>
        <w:t>Except as otherwise noted, all share and per share information in this prospectus assumes no exercise of the underwriters' over-allotment option.</w:t>
      </w:r>
    </w:p>
    <w:p>
      <w:pPr>
        <w:sectPr>
          <w:pgSz w:w="11900" w:h="16838" w:orient="portrait"/>
          <w:cols w:equalWidth="0" w:num="1">
            <w:col w:w="10228"/>
          </w:cols>
          <w:pgMar w:left="231" w:top="287" w:right="1440" w:bottom="1440" w:gutter="0" w:footer="0" w:header="0"/>
        </w:sectPr>
      </w:pPr>
    </w:p>
    <w:p>
      <w:pPr>
        <w:spacing w:after="0" w:line="32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Common stock offered by CheckFree.......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2,425,000 shares</w:t>
      </w:r>
    </w:p>
    <w:p>
      <w:pPr>
        <w:spacing w:after="0" w:line="20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324" w:lineRule="exact"/>
        <w:rPr>
          <w:sz w:val="20"/>
          <w:szCs w:val="20"/>
          <w:color w:val="auto"/>
        </w:rPr>
      </w:pPr>
    </w:p>
    <w:p>
      <w:pPr>
        <w:ind w:left="169" w:hanging="177"/>
        <w:spacing w:after="0" w:line="271" w:lineRule="auto"/>
        <w:rPr>
          <w:sz w:val="20"/>
          <w:szCs w:val="20"/>
          <w:color w:val="auto"/>
        </w:rPr>
      </w:pPr>
      <w:r>
        <w:rPr>
          <w:rFonts w:ascii="Courier New" w:cs="Courier New" w:eastAsia="Courier New" w:hAnsi="Courier New"/>
          <w:sz w:val="14"/>
          <w:szCs w:val="14"/>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1,375,000 shares</w:t>
      </w:r>
    </w:p>
    <w:p>
      <w:pPr>
        <w:spacing w:after="0" w:line="228"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29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Total offering..........................</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3,800,000 shares</w:t>
      </w:r>
    </w:p>
    <w:p>
      <w:pPr>
        <w:spacing w:after="0" w:line="20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to be outstanding</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after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54,779,223 shares(1)</w:t>
      </w:r>
    </w:p>
    <w:p>
      <w:pPr>
        <w:spacing w:after="0" w:line="20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15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Risk factors............................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in our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involves a high degree of risk. See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 expect to use the net proceeds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this offering for working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general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including expansion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services to a broader market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potential acquisitions.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71"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ind w:left="3989"/>
        <w:spacing w:after="0"/>
        <w:rPr>
          <w:sz w:val="20"/>
          <w:szCs w:val="20"/>
          <w:color w:val="auto"/>
        </w:rPr>
      </w:pPr>
      <w:r>
        <w:rPr>
          <w:rFonts w:ascii="Courier New" w:cs="Courier New" w:eastAsia="Courier New" w:hAnsi="Courier New"/>
          <w:sz w:val="15"/>
          <w:szCs w:val="15"/>
          <w:color w:val="auto"/>
        </w:rPr>
        <w:t>We will not receive any of the</w:t>
      </w:r>
    </w:p>
    <w:p>
      <w:pPr>
        <w:spacing w:after="0" w:line="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proceeds from the shares sold by</w:t>
      </w:r>
    </w:p>
    <w:p>
      <w:pPr>
        <w:spacing w:after="0" w:line="9"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the selling stockholders. See</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"Selling Stockholders."</w:t>
      </w:r>
    </w:p>
    <w:p>
      <w:pPr>
        <w:sectPr>
          <w:pgSz w:w="11900" w:h="16838" w:orient="portrait"/>
          <w:cols w:equalWidth="0" w:num="1">
            <w:col w:w="10228"/>
          </w:cols>
          <w:pgMar w:left="231" w:top="287" w:right="1440" w:bottom="1440" w:gutter="0" w:footer="0" w:header="0"/>
          <w:type w:val="continuous"/>
        </w:sectPr>
      </w:pP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Nasdaq National Market</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symbol................................</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CKFR</w:t>
      </w:r>
    </w:p>
    <w:p>
      <w:pPr>
        <w:spacing w:after="0" w:line="370" w:lineRule="exact"/>
        <w:rPr>
          <w:sz w:val="20"/>
          <w:szCs w:val="20"/>
          <w:color w:val="auto"/>
        </w:rPr>
      </w:pPr>
    </w:p>
    <w:p>
      <w:pPr>
        <w:sectPr>
          <w:pgSz w:w="11900" w:h="16838" w:orient="portrait"/>
          <w:cols w:equalWidth="0" w:num="2">
            <w:col w:w="3549" w:space="440"/>
            <w:col w:w="6239"/>
          </w:cols>
          <w:pgMar w:left="231" w:top="287" w:right="1440" w:bottom="1440" w:gutter="0" w:footer="0" w:header="0"/>
          <w:type w:val="continuous"/>
        </w:sectPr>
      </w:pPr>
    </w:p>
    <w:p>
      <w:pPr>
        <w:spacing w:after="0" w:line="145" w:lineRule="exact"/>
        <w:rPr>
          <w:sz w:val="20"/>
          <w:szCs w:val="20"/>
          <w:color w:val="auto"/>
        </w:rPr>
      </w:pPr>
    </w:p>
    <w:p>
      <w:pPr>
        <w:ind w:left="349" w:right="329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prospectus, this does not include: 7,905,850 shares of our common stock reserved for issuance upon exercise of stock options under our Stock Option Plans, 792,764 shares of our common stock reserved for issuance under our Associate Stock Purchase Plan, 846,762 shares reserved for our 401(k) Plan, and 10,250,000 shares of our common stock reserved for issuance upon the exercise of warrants. Options to purchase 4,126,883 shares of our common stock are outstanding, of which options to purchase 1,245,994 shares are exercisable at a weighted average exercise price of approximately $8.22 per share. Warrants to purchase 10,250,000 shares of our common stock are outstanding, of which warrants to purchase 2,575,000 shares are exercisable at a weighted average exercise price of approximately $20.86 per share.</w:t>
      </w:r>
    </w:p>
    <w:p>
      <w:pPr>
        <w:spacing w:after="0" w:line="348"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type w:val="continuous"/>
        </w:sectPr>
      </w:pPr>
    </w:p>
    <w:bookmarkStart w:id="9" w:name="page10"/>
    <w:bookmarkEnd w:id="9"/>
    <w:p>
      <w:pPr>
        <w:spacing w:after="0" w:line="47"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(IN THOUSANDS, EXCEPT PER SHARE AMOUNTS AND OTHER STATISTICAL DATA)</w:t>
      </w:r>
    </w:p>
    <w:p>
      <w:pPr>
        <w:spacing w:after="0" w:line="345" w:lineRule="exact"/>
        <w:rPr>
          <w:sz w:val="20"/>
          <w:szCs w:val="20"/>
          <w:color w:val="auto"/>
        </w:rPr>
      </w:pPr>
    </w:p>
    <w:p>
      <w:pPr>
        <w:ind w:left="9" w:right="3720" w:firstLine="355"/>
        <w:spacing w:after="0"/>
        <w:rPr>
          <w:sz w:val="20"/>
          <w:szCs w:val="20"/>
          <w:color w:val="auto"/>
        </w:rPr>
      </w:pPr>
      <w:r>
        <w:rPr>
          <w:rFonts w:ascii="Courier New" w:cs="Courier New" w:eastAsia="Courier New" w:hAnsi="Courier New"/>
          <w:sz w:val="15"/>
          <w:szCs w:val="15"/>
          <w:color w:val="auto"/>
        </w:rPr>
        <w:t>Our summary consolidated financial data for the fiscal years ended June 30, 1997 and 1998 have been derived from our financial statements, included elsewhere in this prospectus, which have been audited by Deloitte &amp; Touche LLP, independent auditors, whose report thereon is also included elsewhere in this prospectus. The summary consolidated financial data for the twelve months ended June 30, 1996, for the nine months ended March 31, 1998 and as of and for the nine months ended March 31, 1999, are derived from our unaudited consolidated financial statements which, in the opinion of management, reflect all adjustments necessary for a fair presentation of the results for the respective annual and interim periods. The summary consolidated financial data set forth below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our Consolidated Financial Statements and Notes thereto contained elsewhere in this prospectus.</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center"/>
              <w:ind w:left="26"/>
              <w:spacing w:after="0"/>
              <w:rPr>
                <w:sz w:val="20"/>
                <w:szCs w:val="20"/>
                <w:color w:val="auto"/>
              </w:rPr>
            </w:pPr>
            <w:r>
              <w:rPr>
                <w:rFonts w:ascii="Courier New" w:cs="Courier New" w:eastAsia="Courier New" w:hAnsi="Courier New"/>
                <w:sz w:val="15"/>
                <w:szCs w:val="15"/>
                <w:color w:val="auto"/>
                <w:w w:val="98"/>
              </w:rPr>
              <w:t>NINE MONTHS ENDED</w:t>
            </w:r>
          </w:p>
        </w:tc>
        <w:tc>
          <w:tcPr>
            <w:tcW w:w="3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YEAR ENDED JUNE 30,</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8"/>
              </w:rPr>
              <w:t>MARCH 31,</w:t>
            </w:r>
          </w:p>
        </w:tc>
        <w:tc>
          <w:tcPr>
            <w:tcW w:w="3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6"/>
              </w:rPr>
              <w: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1996(1)</w:t>
            </w: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1998</w:t>
            </w:r>
          </w:p>
        </w:tc>
        <w:tc>
          <w:tcPr>
            <w:tcW w:w="40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1998</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1999</w:t>
            </w:r>
          </w:p>
        </w:tc>
        <w:tc>
          <w:tcPr>
            <w:tcW w:w="3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Electronic commerce................................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85,926</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$137,972</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$ 99,046</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$122,915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2,986</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22,406</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29,749</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21,570</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26,966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18,271</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68,113</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66,143</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49,737</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29,498</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76,789</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176,445</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233,864</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170,353</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179,379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(149,763)</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(175,149)</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(7,176)</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(14,908)</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(138,857)</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(161,813)</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(3,703)</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(9,461)</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0.18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0.17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33,435</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46,988</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55,087</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54,989</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52,696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33,435</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46,988</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55,087</w:t>
            </w:r>
          </w:p>
        </w:tc>
        <w:tc>
          <w:tcPr>
            <w:tcW w:w="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54,989</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56,117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3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AS OF MARCH 31,</w:t>
            </w:r>
          </w:p>
        </w:tc>
      </w:tr>
      <w:tr>
        <w:trPr>
          <w:trHeight w:val="171"/>
        </w:trPr>
        <w:tc>
          <w:tcPr>
            <w:tcW w:w="54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AS</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ADJUSTED(2)</w:t>
            </w:r>
          </w:p>
        </w:tc>
      </w:tr>
      <w:tr>
        <w:trPr>
          <w:trHeight w:val="171"/>
        </w:trPr>
        <w:tc>
          <w:tcPr>
            <w:tcW w:w="54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$ 44,473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$130,128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250,690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336,345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Long-term obligations, less current portion.................</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6,616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185,217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270,872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780" w:type="dxa"/>
            <w:vAlign w:val="bottom"/>
          </w:tcPr>
          <w:p>
            <w:pPr>
              <w:spacing w:after="0"/>
              <w:rPr>
                <w:sz w:val="14"/>
                <w:szCs w:val="14"/>
                <w:color w:val="auto"/>
              </w:rPr>
            </w:pPr>
          </w:p>
        </w:tc>
        <w:tc>
          <w:tcPr>
            <w:tcW w:w="2660" w:type="dxa"/>
            <w:vAlign w:val="bottom"/>
            <w:gridSpan w:val="3"/>
          </w:tcPr>
          <w:p>
            <w:pPr>
              <w:ind w:left="980"/>
              <w:spacing w:after="0"/>
              <w:rPr>
                <w:sz w:val="20"/>
                <w:szCs w:val="20"/>
                <w:color w:val="auto"/>
              </w:rPr>
            </w:pPr>
            <w:r>
              <w:rPr>
                <w:rFonts w:ascii="Courier New" w:cs="Courier New" w:eastAsia="Courier New" w:hAnsi="Courier New"/>
                <w:sz w:val="15"/>
                <w:szCs w:val="15"/>
                <w:color w:val="auto"/>
                <w:w w:val="97"/>
              </w:rPr>
              <w:t>YEAR ENDED JUNE 30,</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78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1996(1)</w:t>
            </w: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EBITDA(3)............................................</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  (141,517)</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  (150,230)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13,480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(6,357)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(7,831)</w:t>
            </w:r>
          </w:p>
        </w:tc>
        <w:tc>
          <w:tcPr>
            <w:tcW w:w="18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(11,673)</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24,709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Total number of subscribers(4).......................</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700,000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1,700,000</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2,400,000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2,800,000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Total number of transactions processed(5)............</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32,051,000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47,333,000</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93,729,000</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67,354,000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92,622,000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72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summary consolidated financial information, unaudited results for the twelve months ended June 30, 1996 are provided.</w:t>
      </w:r>
    </w:p>
    <w:p>
      <w:pPr>
        <w:spacing w:after="0" w:line="176" w:lineRule="exact"/>
        <w:rPr>
          <w:rFonts w:ascii="Courier New" w:cs="Courier New" w:eastAsia="Courier New" w:hAnsi="Courier New"/>
          <w:sz w:val="15"/>
          <w:szCs w:val="15"/>
          <w:color w:val="auto"/>
        </w:rPr>
      </w:pPr>
    </w:p>
    <w:p>
      <w:pPr>
        <w:ind w:left="349" w:right="382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2,425,000 shares of our common stock and the application of the estimated net proceeds of the sale. See "Capitalization" and "Use of Proceeds."</w:t>
      </w:r>
    </w:p>
    <w:p>
      <w:pPr>
        <w:spacing w:after="0" w:line="175" w:lineRule="exact"/>
        <w:rPr>
          <w:rFonts w:ascii="Courier New" w:cs="Courier New" w:eastAsia="Courier New" w:hAnsi="Courier New"/>
          <w:sz w:val="15"/>
          <w:szCs w:val="15"/>
          <w:color w:val="auto"/>
        </w:rPr>
      </w:pPr>
    </w:p>
    <w:p>
      <w:pPr>
        <w:ind w:left="349" w:right="3820" w:hanging="349"/>
        <w:spacing w:after="0" w:line="264"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earnings before interest, taxes, depreciation and amortization. EBITDA is not intended to represent cash flow from operations as defined by generally accepted accounting principles and should not be</w:t>
      </w:r>
    </w:p>
    <w:p>
      <w:pPr>
        <w:sectPr>
          <w:pgSz w:w="11900" w:h="16885" w:orient="portrait"/>
          <w:cols w:equalWidth="0" w:num="1">
            <w:col w:w="10829"/>
          </w:cols>
          <w:pgMar w:left="231" w:top="287" w:right="839" w:bottom="0" w:gutter="0" w:footer="0" w:header="0"/>
        </w:sectPr>
      </w:pPr>
    </w:p>
    <w:bookmarkStart w:id="10" w:name="page11"/>
    <w:bookmarkEnd w:id="10"/>
    <w:p>
      <w:pPr>
        <w:ind w:left="349" w:right="3119"/>
        <w:spacing w:after="0"/>
        <w:rPr>
          <w:sz w:val="20"/>
          <w:szCs w:val="20"/>
          <w:color w:val="auto"/>
        </w:rPr>
      </w:pPr>
      <w:r>
        <w:rPr>
          <w:rFonts w:ascii="Courier New" w:cs="Courier New" w:eastAsia="Courier New" w:hAnsi="Courier New"/>
          <w:sz w:val="15"/>
          <w:szCs w:val="15"/>
          <w:color w:val="auto"/>
        </w:rPr>
        <w:t>considered as an alternative to net income as an indicator of operating performance or to cash flow as a measure of liquidity. We have included information concerning EBITDA as we understand that this measure is used by certain investors to measure operating performance in the industry. EBITDA, as presented, may not be comparable to similarly titled measures reported by other companies and, therefore, is not necessarily an accurate means of comparison between companies.</w:t>
      </w:r>
    </w:p>
    <w:p>
      <w:pPr>
        <w:spacing w:after="0" w:line="5" w:lineRule="exact"/>
        <w:rPr>
          <w:sz w:val="20"/>
          <w:szCs w:val="20"/>
          <w:color w:val="auto"/>
        </w:rPr>
      </w:pPr>
    </w:p>
    <w:p>
      <w:pPr>
        <w:ind w:left="349" w:right="3219" w:hanging="349"/>
        <w:spacing w:after="0" w:line="239"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Subscribers refers to the approximate number of financial institution and Internet portal end-users using our electronic billing and payment services as of the end of the period indicated.</w:t>
      </w:r>
    </w:p>
    <w:p>
      <w:pPr>
        <w:spacing w:after="0" w:line="4" w:lineRule="exact"/>
        <w:rPr>
          <w:rFonts w:ascii="Courier New" w:cs="Courier New" w:eastAsia="Courier New" w:hAnsi="Courier New"/>
          <w:sz w:val="15"/>
          <w:szCs w:val="15"/>
          <w:color w:val="auto"/>
        </w:rPr>
      </w:pPr>
    </w:p>
    <w:p>
      <w:pPr>
        <w:ind w:left="349" w:right="3219" w:hanging="349"/>
        <w:spacing w:after="0" w:line="271" w:lineRule="auto"/>
        <w:tabs>
          <w:tab w:leader="none" w:pos="34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refers to the approximate number of electronic and traditional paper-based transactions that we processed during the period indicated.</w:t>
      </w:r>
    </w:p>
    <w:p>
      <w:pPr>
        <w:spacing w:after="0" w:line="15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investment in the shares offered by this prospectus involves a high degree of risk. You should carefully consider the following factors as well as the other information contained and incorporated by reference in this prospectus before deciding to invest in our common stock. You should also consider these risk factors when you read "forward-looking" statements elsewhere in this prospectus.</w:t>
      </w:r>
    </w:p>
    <w:p>
      <w:pPr>
        <w:spacing w:after="0" w:line="346"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REMAIN CONSISTENTLY PROFITABLE.</w:t>
      </w:r>
    </w:p>
    <w:p>
      <w:pPr>
        <w:spacing w:after="0" w:line="200" w:lineRule="exact"/>
        <w:rPr>
          <w:sz w:val="20"/>
          <w:szCs w:val="20"/>
          <w:color w:val="auto"/>
        </w:rPr>
      </w:pPr>
    </w:p>
    <w:p>
      <w:pPr>
        <w:spacing w:after="0" w:line="29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 If the number of electronic commerce transactions does not continue to grow or if consumers or businesses do not continue to adopt our services, it could have a material adverse effect on our business, financial condition and results of operations.</w:t>
      </w:r>
    </w:p>
    <w:p>
      <w:pPr>
        <w:spacing w:after="0" w:line="200" w:lineRule="exact"/>
        <w:rPr>
          <w:sz w:val="20"/>
          <w:szCs w:val="20"/>
          <w:color w:val="auto"/>
        </w:rPr>
      </w:pPr>
    </w:p>
    <w:p>
      <w:pPr>
        <w:spacing w:after="0" w:line="319"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OUR FUTURE PROFITABILITY IS DEPENDENT UPON OUR ABILITY TO SUCCESSFULLY IMPLEMENT OUR STRATEGY TO INCREASE ADOPTION OF ELECTRONIC BILLING AND PAYMENT METHODS.</w:t>
      </w:r>
    </w:p>
    <w:p>
      <w:pPr>
        <w:spacing w:after="0" w:line="200" w:lineRule="exact"/>
        <w:rPr>
          <w:sz w:val="20"/>
          <w:szCs w:val="20"/>
          <w:color w:val="auto"/>
        </w:rPr>
      </w:pPr>
    </w:p>
    <w:p>
      <w:pPr>
        <w:spacing w:after="0" w:line="29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future profitability will depend, in part, on our ability to successfully implement our strategy to increase adoption of electronic billing and payment methods. Our strategy includes substantial investments in programs designed to:</w:t>
      </w:r>
    </w:p>
    <w:p>
      <w:pPr>
        <w:spacing w:after="0" w:line="200" w:lineRule="exact"/>
        <w:rPr>
          <w:sz w:val="20"/>
          <w:szCs w:val="20"/>
          <w:color w:val="auto"/>
        </w:rPr>
      </w:pPr>
    </w:p>
    <w:p>
      <w:pPr>
        <w:spacing w:after="0" w:line="315" w:lineRule="exact"/>
        <w:rPr>
          <w:sz w:val="20"/>
          <w:szCs w:val="20"/>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enroll for electronic billing and payment with our distribution partners;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200" w:lineRule="exact"/>
        <w:rPr>
          <w:sz w:val="20"/>
          <w:szCs w:val="20"/>
          <w:color w:val="auto"/>
        </w:rPr>
      </w:pPr>
    </w:p>
    <w:p>
      <w:pPr>
        <w:spacing w:after="0" w:line="31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successfully implement these programs or to substantially increase adoption of electronic commerce billing and payment methods by consumers who pay for the services could have a material adverse effect on our business, financial condition and results of operations.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REMAIN CONSISTENTLY PROFITABLE.</w:t>
      </w:r>
    </w:p>
    <w:p>
      <w:pPr>
        <w:spacing w:after="0" w:line="200" w:lineRule="exact"/>
        <w:rPr>
          <w:sz w:val="20"/>
          <w:szCs w:val="20"/>
          <w:color w:val="auto"/>
        </w:rPr>
      </w:pPr>
    </w:p>
    <w:p>
      <w:pPr>
        <w:spacing w:after="0" w:line="31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not consistently operated profitably to date. We incurred a loss from operations of $7.2 million and a net loss of $3.7 million in the fiscal year ended June 30, 1998 and had a loss from operations of $4.5 million and net income of $9.6 million for the nine months ended March 31, 1999. We intend to continue to make significant investments in our research and development, sales and marketing and customer care operations. As a result, we anticipate having a net loss from operations in fiscal 2000 and may experience net losses and may not be able to sustain or increase our profitability in the future. See "Management's Discussion and Analysis of Financial Condition and Results of Operations."</w:t>
      </w:r>
    </w:p>
    <w:p>
      <w:pPr>
        <w:sectPr>
          <w:pgSz w:w="11900" w:h="16838" w:orient="portrait"/>
          <w:cols w:equalWidth="0" w:num="1">
            <w:col w:w="10219"/>
          </w:cols>
          <w:pgMar w:left="240" w:top="287" w:right="1440" w:bottom="818" w:gutter="0" w:footer="0" w:header="0"/>
        </w:sectPr>
      </w:pP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7" w:right="1440" w:bottom="818"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If we are unable to protect the security and privacy of our electronic transactions, our growth and the growth of the electronic commerce market in general could be materially adversely affected. A security or privacy breach may:</w:t>
      </w:r>
    </w:p>
    <w:p>
      <w:pPr>
        <w:spacing w:after="0" w:line="174"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 Any failures in our security and privacy measures could have a material adverse effect on our business, financial condition and results of operations.</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rely on our relationships with financial institutions, businesses, billers, Internet portals and other third parties like Intuit Inc. to provide branding for our electronic commerce services and to market our services to their customers. These relationships are an important source of the growth in demand for our electronic commerce services. If any of these parties abandons, curtails or insufficiently increases its marketing efforts, it could have a material adverse effect on our business, financial condition and results of operations.</w:t>
      </w:r>
    </w:p>
    <w:p>
      <w:pPr>
        <w:spacing w:after="0" w:line="17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to adversely affect our business, financial condition and results of operations. Currently, the banking industry is undergoing large-scale consolidation, causing the number of financial institutions to decline. This consolidation could cause us to lose:</w:t>
      </w:r>
    </w:p>
    <w:p>
      <w:pPr>
        <w:spacing w:after="0" w:line="172" w:lineRule="exact"/>
        <w:rPr>
          <w:sz w:val="20"/>
          <w:szCs w:val="20"/>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4"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 if the combined financial institution determines that it is more efficient to develop in-house home banking services similar to ours or offer our competitors' products or services; and</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the combined financial institution is able to negotiate a greater volume discount for, or discontinues the use of, our products and services.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We rely on our relationships with three key financial institutions for a substantial portion of our subscriber base and the volume of electronic transactions that we process. As of March 31, 1999, these three financial institutions accounted for approximately 1.4 million subscribers, or approximately 50% of our total subscriber base. The loss of the relationship with any of these key financial institutions or a significant decline in the number of transactions processed through them could have a material adverse</w:t>
      </w:r>
    </w:p>
    <w:p>
      <w:pPr>
        <w:spacing w:after="0" w:line="1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effect on our business, financial condition and results of operations. See "Business -- Products and Services."</w:t>
      </w:r>
    </w:p>
    <w:p>
      <w:pPr>
        <w:spacing w:after="0" w:line="175"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In the event that a substantial number of our software customers declined to renew these agreements, our revenues and profits in this business segment would be materially adversely affected.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electronic commerce market is new and evolving rapidly, resulting in a dynamic competitive environment. We face significant competition in all of our customer markets. Increased competition or other competitive pressures may result in price reductions, reduced margins or loss of market share, any of which could have a material adverse effect on our business, financial condition and results of operations. Further, we expect competition to persist, intensify and increase in the future. A number of financial institutions have developed, and others in the future may develop, in-house home banking services similar to ours. Additionally, TransPoint LLC, a joint venture among Microsoft Corporation, First Data Corporation and Citibank N.A., has announced its own agreements with financial institutions to offer on-line home banking and electronic billing and payment services to consumers. We cannot assure you that we will be able to compete effectively against TransPoint or other current and future electronic commerce competitors.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markets for our investment services and software products are also highly competitive. In Investment Services, our competition comes from service bureaus and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 We cannot assure you that we will be able to compete effectively against current and future competitors in these markets.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significant market share, it could have a material adverse effect on our business, financial condition and results of operations. See "Business -- Competition."</w:t>
      </w:r>
    </w:p>
    <w:p>
      <w:pPr>
        <w:spacing w:after="0" w:line="349"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FUTURE PROFITABILITY IS DEPENDENT UPON AN INCREASE IN THE PROPORTION OF TRANSACTIONS WE PROCESS ELECTRONICALLY.</w:t>
      </w:r>
    </w:p>
    <w:p>
      <w:pPr>
        <w:spacing w:after="0" w:line="200" w:lineRule="exact"/>
        <w:rPr>
          <w:sz w:val="20"/>
          <w:szCs w:val="20"/>
          <w:color w:val="auto"/>
        </w:rPr>
      </w:pPr>
    </w:p>
    <w:p>
      <w:pPr>
        <w:spacing w:after="0" w:line="31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future profitability will depend, in part, on our ability to increase the percentage of transactions we process electronically. Compared with conventional paper-based transactions, electronic transactions:</w:t>
      </w:r>
    </w:p>
    <w:p>
      <w:pPr>
        <w:spacing w:after="0" w:line="343"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Accordingly, if we are unable to increase the percentage of transactions that we process electronically, our margins could decrease, which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electronic and conventional paper-based transactions we process expose us to credit risks. These credits risks include risks arising from returned transactions caused 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 Insufficient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funds;</w:t>
            </w:r>
          </w:p>
        </w:tc>
        <w:tc>
          <w:tcPr>
            <w:tcW w:w="3160" w:type="dxa"/>
            <w:vAlign w:val="bottom"/>
            <w:gridSpan w:val="2"/>
          </w:tcPr>
          <w:p>
            <w:pPr>
              <w:ind w:left="1460"/>
              <w:spacing w:after="0"/>
              <w:rPr>
                <w:sz w:val="20"/>
                <w:szCs w:val="20"/>
                <w:color w:val="auto"/>
              </w:rPr>
            </w:pPr>
            <w:r>
              <w:rPr>
                <w:rFonts w:ascii="Courier New" w:cs="Courier New" w:eastAsia="Courier New" w:hAnsi="Courier New"/>
                <w:sz w:val="15"/>
                <w:szCs w:val="15"/>
                <w:color w:val="auto"/>
                <w:w w:val="98"/>
              </w:rPr>
              <w:t>- Unauthorized use;</w:t>
            </w:r>
          </w:p>
        </w:tc>
      </w:tr>
      <w:tr>
        <w:trPr>
          <w:trHeight w:val="341"/>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 Stop payment</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orders;</w:t>
            </w:r>
          </w:p>
        </w:tc>
        <w:tc>
          <w:tcPr>
            <w:tcW w:w="3160" w:type="dxa"/>
            <w:vAlign w:val="bottom"/>
            <w:gridSpan w:val="2"/>
          </w:tcPr>
          <w:p>
            <w:pPr>
              <w:ind w:left="1460"/>
              <w:spacing w:after="0"/>
              <w:rPr>
                <w:sz w:val="20"/>
                <w:szCs w:val="20"/>
                <w:color w:val="auto"/>
              </w:rPr>
            </w:pPr>
            <w:r>
              <w:rPr>
                <w:rFonts w:ascii="Courier New" w:cs="Courier New" w:eastAsia="Courier New" w:hAnsi="Courier New"/>
                <w:sz w:val="15"/>
                <w:szCs w:val="15"/>
                <w:color w:val="auto"/>
                <w:w w:val="98"/>
              </w:rPr>
              <w:t>- Payment disputes;</w:t>
            </w:r>
          </w:p>
        </w:tc>
      </w:tr>
      <w:tr>
        <w:trPr>
          <w:trHeight w:val="341"/>
        </w:trPr>
        <w:tc>
          <w:tcPr>
            <w:tcW w:w="760" w:type="dxa"/>
            <w:vAlign w:val="bottom"/>
          </w:tcPr>
          <w:p>
            <w:pPr>
              <w:spacing w:after="0"/>
              <w:rPr>
                <w:sz w:val="20"/>
                <w:szCs w:val="20"/>
                <w:color w:val="auto"/>
              </w:rPr>
            </w:pPr>
            <w:r>
              <w:rPr>
                <w:rFonts w:ascii="Courier New" w:cs="Courier New" w:eastAsia="Courier New" w:hAnsi="Courier New"/>
                <w:sz w:val="15"/>
                <w:szCs w:val="15"/>
                <w:color w:val="auto"/>
              </w:rPr>
              <w:t>- Closed</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accounts;</w:t>
            </w:r>
          </w:p>
        </w:tc>
        <w:tc>
          <w:tcPr>
            <w:tcW w:w="160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Theft; and</w:t>
            </w:r>
          </w:p>
        </w:tc>
      </w:tr>
      <w:tr>
        <w:trPr>
          <w:trHeight w:val="341"/>
        </w:trPr>
        <w:tc>
          <w:tcPr>
            <w:tcW w:w="760" w:type="dxa"/>
            <w:vAlign w:val="bottom"/>
          </w:tcPr>
          <w:p>
            <w:pPr>
              <w:spacing w:after="0"/>
              <w:rPr>
                <w:sz w:val="20"/>
                <w:szCs w:val="20"/>
                <w:color w:val="auto"/>
              </w:rPr>
            </w:pPr>
            <w:r>
              <w:rPr>
                <w:rFonts w:ascii="Courier New" w:cs="Courier New" w:eastAsia="Courier New" w:hAnsi="Courier New"/>
                <w:sz w:val="15"/>
                <w:szCs w:val="15"/>
                <w:color w:val="auto"/>
              </w:rPr>
              <w:t>- Frozen</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accounts;</w:t>
            </w:r>
          </w:p>
        </w:tc>
        <w:tc>
          <w:tcPr>
            <w:tcW w:w="160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Fraud.</w:t>
            </w:r>
          </w:p>
        </w:tc>
      </w:tr>
    </w:tbl>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also exposed to credit risk from merchant fraud and erroneous transmissions. We attempt to manage all of these risks through our sophisticated risk management systems, which include our patented billing and payment processing system and agreements with some customers to guarantee our losses or to grant us reversal rights. There can be no assurance, however, that these efforts will be successful. Any losses resulting from returned transactions, merchant fraud or erroneous transmissions could result in liability to financial institutions, merchants or subscribers, which could have a material adverse effect on our business, financial condition and results of operations. See "Business -- Remittances."</w:t>
      </w:r>
    </w:p>
    <w:p>
      <w:pPr>
        <w:spacing w:after="0" w:line="17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Events that could cause system interruptions include:</w:t>
      </w:r>
    </w:p>
    <w:p>
      <w:pPr>
        <w:spacing w:after="0" w:line="172" w:lineRule="exact"/>
        <w:rPr>
          <w:sz w:val="20"/>
          <w:szCs w:val="20"/>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currently migrating subscribers from our pre-existing data processing platforms to a new system which we call the Genesis Platform.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data from our operations and take other measures to protect against data loss and system failures, there is still some risk that we may lose critical data or experience system failures.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 See "Business -- Technology."</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5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72" w:lineRule="exact"/>
        <w:rPr>
          <w:sz w:val="20"/>
          <w:szCs w:val="20"/>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which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there can be no assurance that these measures will be successful in limiting our liability. See "Business -- Technology."</w:t>
      </w:r>
    </w:p>
    <w:p>
      <w:pPr>
        <w:spacing w:after="0" w:line="177"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OUR QUARTERLY OPERATING RESULTS FLUCTUATE AND MAY NOT ACCURATELY PREDICT OUR FUTURE PERFORMANCE.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quarterly results of operations have varied significantly and probably will continue to do so in the future as a result of a variety of factors, many of which are outside our control. These factors include:</w:t>
      </w:r>
    </w:p>
    <w:p>
      <w:pPr>
        <w:spacing w:after="0" w:line="172" w:lineRule="exact"/>
        <w:rPr>
          <w:sz w:val="20"/>
          <w:szCs w:val="20"/>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pricing policies or those of our competitors;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rates of acquisition of new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patterns;</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the introduction of new or enhanced services, software and related products by us or our competitors or market acceptance of these products and services; and</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changes in operating expenses, personnel and general economic conditions.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a result, we believe that period-to-period comparisons of our operating results are not necessarily meaningful,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historically experienced and expect to continue to experience seasonal fluctuations in our net sales. If our net sales are below the expectations of securities analysts and investors due to seasonal fluctuations, our stock price could decrease unexpectedly. Our growth in new electronic commerce subscribers is affected by seasonal factors such as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19"/>
          </w:cols>
          <w:pgMar w:left="240" w:top="287"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part, to calendar year-end buying patterns of financial institution customers and our software sales compensation structure, which measures sales performance at our June 30 fiscal year end.</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YEAR 2000 ISSUE MAY ADVERSELY AFFECT OUR INFORMATION TECHNOLOGY SYSTEMS OR CAUSE OUR CURRENT OR POTENTIAL CUSTOMERS TO DELAY IMPLEMENTING OUR PRODUCTS AND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our efforts, or the efforts of our customers and suppliers, fail to adequately address the Year 2000 issue, we would likely incur a substantial loss of revenue and suffer irreparable harm to our reputation. We use computer software, operating systems and embedded micro-processors containing date-related programs in the development and delivery of our products and services and in our own internal information technology systems. In order to accurately process transactions, we also rely on technologies provided by our customers and suppliers. Transaction processing relies on transmissions of data from PCs, through financial institutions and business web servers and the Internet, over third-party data and voice communication lines and through the Federal Funds System. The software we use in our products and in the delivery of our services contains, in addition to code written by our programmers, some software that we license from third parties.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are in the process of testing our internal management information and other critical business systems to identify any Year 2000 issues. We also have inquired of our resellers, vendors and key suppliers about their Year 2000 readiness. To date, we are not aware of any significant resellers, vendors or key suppliers with Year 2000 issues that would materially adversely affect us. We cannot guarantee, however, that our information technology systems or those of other companies on which we rely will successfully address the Year 2000 issue. Any failure by us or other third parties on which we rely to address the Year 2000 issue could have a material adverse effect on our business, financial condition and results of operations.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adoption of our products and services by existing and potential customers and subscribers may be adversely affected by the Year 2000 issue. As companies expend significant resources to correct or upgrade their current software systems for Year 2000 compliance, they may delay or cancel decisions to adopt our products and services. If this occurs, it could have a material adverse effect on our business, financial condition and results of operations. See "Management's Discussion and Analysis of Financial Condition and Results of Operations -- Year 2000 Compliance."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INABILITY TO MANAGE GROWTH COULD ADVERSELY AFFECT OUR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experienced rapid growth in our revenues, from $76.8 million in the twelve months ended June 30, 1996 to $233.9 million in the fiscal year ended June 30, 1998, and we intend to continue to grow our business significantly. To support our growth plans, we will have to significantly expand our existing management, operational, financial and human resources and management information systems and controls. If we are not able to manage our growth successfully, we will not grow as planned which could have a material adverse effect on our business, financial condition and results of operations.</w:t>
      </w:r>
    </w:p>
    <w:p>
      <w:pPr>
        <w:spacing w:after="0" w:line="177"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IF WE ARE UNABLE TO RECRUIT AND RETAIN ADDITIONAL SKILLED PERSONNEL, OUR BUSINESS COULD BE ADVERSELY AFFECTED.</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future success depends upon our ability to attract, train, assimilate and retain additional skilled personnel. Competition for qualified employees in all of our business segments is intense. A significant increase in our customer base would necessitate the hiring of a significant number of additional customer care and technical support personnel, as well as software developers and technicians, qualified candidates for which are currently in short supply. We cannot assure you that we will be able to retain our key employees or that we can attract, train, assimilate or retain other skilled personnel in the future.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 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success and ability to compete in our markets are dependent, in part, upon our proprietary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Because our means of protecting our proprietary rights may not be adequate, it may be possible for a third party to copy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PRICE IS VOLATILE.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market price of our common stock has been volatile in the past and may change rapidly in the future. The following factors, among others, may cause significant volatility in our stock price:</w:t>
      </w:r>
    </w:p>
    <w:p>
      <w:pPr>
        <w:spacing w:after="0" w:line="172" w:lineRule="exact"/>
        <w:rPr>
          <w:sz w:val="20"/>
          <w:szCs w:val="20"/>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4"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the stock market has experienced significant price and volume fluctuations, which have particularly affected the trading prices of equity securities of many technology companies. These price and volume fluctuations often have been unrelated to the operating performance of the affected companies. In the past, following periods of volatility in the market price of a company's securities, securities class action litigation has often been instituted against that company. This type of litigation, regardless of the outcome, could result in substantial costs and a diversion of management's attention and resources, which could have a material adverse effect on our business, financial condition and results of operations.</w:t>
      </w:r>
    </w:p>
    <w:p>
      <w:pPr>
        <w:spacing w:after="0" w:line="349"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AVAILABILITY OF SIGNIFICANT AMOUNTS OF COMMON STOCK FOR SALE IN THE FUTURE COULD ADVERSELY AFFECT OUR STOCK PRICE.</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otherwise could adversely affect the market price for our common stock. Upon completion of this offering, we will have outstanding 54,779,223 shares of common stock, assuming the underwriters do not exercise their over-allotment option. All the shares sold in this offering will be freely tradable, unless they are purchased by our affiliates, as defined in Rule 144 under the Securities Act of 1933. As of May 10, 1999, 33,744,090 shares of our issued and outstanding common stock were held by nonaffiliates and the holders of the remaining 17,983,523 shares were entitled to resell them only pursuant to a registration statement under the Securities Act of 1933 or an applicable exemption from registration thereunder such as an exemption provided by Rule 144, Rule 145 or Rule 701 under the Securities Act of 1933. As of May 10, 1999, we had outstanding options to purchase 4,303,493 shares of our common stock, of which options for 1,422,604 shares were fully vested and exercisable at an average weighted exercise price of approximately $8.89 per share. As of May 10, 1999, we had issued warrants to purchase 10,700,000 shares of our common stock, of which warrants for 3,025,000 shares were fully vested and exercisable at a weighted exercise price of approximately $20.87 per share. In addition, our employees are entitled to purchase up to 792,764 shares under our Associate Stock Purchase Plan and receive up to 846,762 shares under our 401(k) Plan. Any shares purchased thereunder will be eligible for future sale following the expiration of applicable holding periods.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Intuit Inc., which holds 10,175,000 shares of our common stock, and Integrion Financial Network, L.L.C., which holds warrants to purchase up to 10,000,000 shares of our common stock (9,550,000 shares after completion of this offering), of which warrants for 3,000,000 shares are fully vested and exercisable (2,550,000 shares upon completion of this offering), are entitled to "piggy-back" and demand registration rights subject to specified conditions and restrictions. If Intuit or Integrion, by exercising their registration rights, cause a large number of shares to be registered and sold in the public market, such sales may have an adverse effect on the market price of our common stock.</w:t>
      </w:r>
    </w:p>
    <w:p>
      <w:pPr>
        <w:spacing w:after="0" w:line="33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Some of our directors, executive officers and selling stockholders have agreed not to sell or otherwise dispose of any shares of our common stock for a period of at least 90 days after the date of this prospectus without the prior written approval of the underwriters. The underwriters may, in their discretion and at any time without notice, release all or any portion of these shares for sale in the public market, which could adversely affect the market price of our common stock. See "Underwriting."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LOSS OF KEY EXECUTIVES COULD ADVERSELY AFFECT OUR BUSINESS.</w:t>
      </w:r>
    </w:p>
    <w:p>
      <w:pPr>
        <w:spacing w:after="0" w:line="174" w:lineRule="exact"/>
        <w:rPr>
          <w:sz w:val="20"/>
          <w:szCs w:val="20"/>
          <w:color w:val="auto"/>
        </w:rPr>
      </w:pPr>
    </w:p>
    <w:p>
      <w:pPr>
        <w:ind w:right="4279" w:firstLine="444"/>
        <w:spacing w:after="0" w:line="238" w:lineRule="auto"/>
        <w:rPr>
          <w:sz w:val="20"/>
          <w:szCs w:val="20"/>
          <w:color w:val="auto"/>
        </w:rPr>
      </w:pPr>
      <w:r>
        <w:rPr>
          <w:rFonts w:ascii="Courier New" w:cs="Courier New" w:eastAsia="Courier New" w:hAnsi="Courier New"/>
          <w:sz w:val="15"/>
          <w:szCs w:val="15"/>
          <w:color w:val="auto"/>
        </w:rPr>
        <w:t>Our success depends to a significant degree upon the continued contributions of our key management, including:</w:t>
      </w:r>
    </w:p>
    <w:p>
      <w:pPr>
        <w:spacing w:after="0" w:line="172" w:lineRule="exact"/>
        <w:rPr>
          <w:sz w:val="20"/>
          <w:szCs w:val="20"/>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J. Kight, our founder, Chairman and Chief Executive Officer;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 our Vice Chairman, Corporate Development;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F. Sinisgalli, our President;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Ravi Ganesan, our Executive Vice President and Chief Technology Officer.</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19"/>
          </w:cols>
          <w:pgMar w:left="240" w:top="287"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If for any reason any of these officers ceased to be active in our management, it could have a material adverse effect on our business, financial condition and results of operations.</w:t>
      </w:r>
    </w:p>
    <w:p>
      <w:pPr>
        <w:spacing w:after="0" w:line="175"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WE MAY NOT BE SUCCESSFUL IN MAKING ACQUISITIONS AND, EVEN IF WE ARE, RISKS ARISING FROM THOSE ACQUISITIONS COULD HAVE A MATERIAL ADVERSE EFFECT ON US.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expanded, and plan to continue to expand, our operations through the acquisition of additional businesses that complement our core skills and have the potential to increase our overall value. We may not be able to identify and acquire compatible businesses. Acquisitions involve many risks, which could have a material adverse effect on our business, financial condition and results of operations, including:</w:t>
      </w:r>
    </w:p>
    <w:p>
      <w:pPr>
        <w:spacing w:after="0" w:line="175" w:lineRule="exact"/>
        <w:rPr>
          <w:sz w:val="20"/>
          <w:szCs w:val="20"/>
          <w:color w:val="auto"/>
        </w:rPr>
      </w:pPr>
    </w:p>
    <w:p>
      <w:pPr>
        <w:ind w:left="620" w:right="3479" w:hanging="185"/>
        <w:spacing w:after="0" w:line="238"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businesses may not achieve anticipated revenues, earnings or cash flow;</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of acquired businesses and technologies may not be successful and we may not realize anticipated economic, operational and other benefits in a timely manner, particularly if we acquire a business in a market in which we have limited or no current expertise or with a corporate culture different from our own;</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future acquisitions may require issuing common stock or debt for some or all of the purchase price, which could result in dilution of the ownership interests of our stockholders or recognizing amortization expense related to goodwill and other intangible assets;</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Competing with other companies, many of which have greater financial and other resources, to acquire attractive companies makes it more difficult to acquire suitable companies on acceptable terms; and</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Disruption of our existing business, distraction of management and other resources and difficulty in maintaining our current business standards, controls and procedures.</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SUBJECT TO SIGNIFICANT INFLUENCE BY SOME STOCKHOLDERS THAT MAY HAVE THE EFFECT OF DELAYING OR PREVENTING A CHANGE IN CONTROL.</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May 10, 1999, our directors, executive officers and principal stockholders and their affiliates collectively owned approximately 35% of the outstanding shares of our common stock and will own approximately 31% after this offering. As a result, these stockholders are able to exercise significant influence over matters requiring stockholder approval, including the election of directors and approval of significant corporate transactions. This concentration of ownership may have the effect of delaying or preventing a change in control.</w:t>
      </w:r>
    </w:p>
    <w:p>
      <w:pPr>
        <w:spacing w:after="0" w:line="16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OF US MORE DIFFICULT.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74" w:lineRule="exact"/>
        <w:rPr>
          <w:sz w:val="20"/>
          <w:szCs w:val="20"/>
          <w:color w:val="auto"/>
        </w:rPr>
      </w:pPr>
    </w:p>
    <w:p>
      <w:pPr>
        <w:ind w:left="620" w:right="3299" w:hanging="185"/>
        <w:spacing w:after="0" w:line="238"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our stockholders from unilaterally amending our certificate of incorporation or by-laws except with 80% stockholder approval; and</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We have also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6"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those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8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Federal Reserve rules provide that we can only access the Federal Reserve's ACH through a bank. If the Federal Reserve rules were to change to further restrict our access to the ACH or limit our ability to provide ACH transaction processing services, it could have a material adverse effect on our business, financial condition and results of operations. See "Business -- Government Regulation" and "-- Remittances."</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WE MAY NOT BE ABLE TO OBTAIN ADEQUATE FINANCING TO IMPLEMENT OUR GROWTH STRATEGY.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Successful implementation of our growth strategy will likely require continued access to capital. If we do not generate sufficient cash from operations, our growth could be limited unless we are able to obtain capital through additional debt or equity financings. We cannot assure you that debt or equity financings will be available as required for acquisitions or other needs. If additional funds are raised through the issuance of equity securities, the percentage ownership of our then current stockholders may be reduced. In addition, we may issue equity securities that have rights, preferences or privileges senior to those of the holders of our common stock. Even if financing is available, it may not be on terms that are favorable to us or sufficient for our needs. If we are unable to obtain sufficient financing, we may be unable to fully implement our growth strategy.</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BE UNABLE TO EFFECTIVELY MANAGE THE SIGNIFICANT UNALLOCATED NET PROCEEDS FROM THIS OFFERING.</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will have a significant amount of net proceeds from this offering that we have not allocated to a specific use. Our failure to apply these proceeds effectively could have a material adverse effect on our business, financial condition and results of operations and, therefore, the market price of our common stock. We will have broad discretion in how we use the net proceeds of this offering, which may include general corporate purposes, such as increased expenses associated with expansion of our products and services to a broader market, additional customer care needed for the expected growth from the Internet portals, new sales and marketing initiatives, and potential acquisitions. See "Use of Proceeds."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expect to receive approximately $85,655,313 (approximately $105,826,188 if the underwriters exercise their over-allotment option in full) from the sale of the 2,425,000 shares of common stock offered by us at an assumed public offering price of $37.25 per share, and after deducting the underwriting discount and estimated offering expenses payable by us. We expect to use the net proceeds from this offering for working capital and general corporate purposes, including expansion of our services to a broader market and potential acquisitions.</w:t>
      </w:r>
    </w:p>
    <w:p>
      <w:pPr>
        <w:spacing w:after="0" w:line="200" w:lineRule="exact"/>
        <w:rPr>
          <w:sz w:val="20"/>
          <w:szCs w:val="20"/>
          <w:color w:val="auto"/>
        </w:rPr>
      </w:pPr>
    </w:p>
    <w:p>
      <w:pPr>
        <w:spacing w:after="0" w:line="31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We have broad discretion in the allocation of the net proceeds from this offering. Pending such uses, we expect to invest the net proceeds from this offering in short-term income producing investments. While we engage in discussions relating to potential acquisitions from time to time, no such transaction is contemplated as of the date of this prospectus.</w:t>
      </w:r>
    </w:p>
    <w:p>
      <w:pPr>
        <w:spacing w:after="0" w:line="34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We will not receive any proceeds from the sale of common stock by the selling stockholders. See "Selling Stockholders."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anticipate that all of our future earnings will be retained for the development of our business and do not anticipate paying cash dividends on our common stock for the foreseeable future. In addition, our line of credit restricts the payment of dividends on our common stock. Our board of directors will determine future dividend policy based on our results of operations, financial condition, capital requirements and other circumstances. During the last ten years, we have not paid cash dividends.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common stock is traded on the Nasdaq National Market under the symbol "CKFR." The following table sets forth the high and low sales prices of our common stock for the periods indicated as reported by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2040"/>
              <w:spacing w:after="0"/>
              <w:rPr>
                <w:sz w:val="20"/>
                <w:szCs w:val="20"/>
                <w:color w:val="auto"/>
              </w:rPr>
            </w:pPr>
            <w:r>
              <w:rPr>
                <w:rFonts w:ascii="Courier New" w:cs="Courier New" w:eastAsia="Courier New" w:hAnsi="Courier New"/>
                <w:sz w:val="15"/>
                <w:szCs w:val="15"/>
                <w:color w:val="auto"/>
              </w:rPr>
              <w:t>FISCAL PERIOD</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40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$22.13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$25.00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$17.38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$19.63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$ 9.50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$23.13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$31.44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$28.50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$30.63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$31.50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$ 8.25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$23.44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$ 5.75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$46.00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$20.63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Fourth Quarter (through June 11, 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$69.13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June 11, 1999, the last reported sale price for our common stock on the Nasdaq National Market was $37.25 per share. As of June 10, 1999, there were approximately 541 holders of record of our common stock.</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4" w:name="page25"/>
    <w:bookmarkEnd w:id="24"/>
    <w:p>
      <w:pPr>
        <w:ind w:left="269"/>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CAPITALIZATION</w:t>
      </w:r>
    </w:p>
    <w:p>
      <w:pPr>
        <w:spacing w:after="0" w:line="345"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The following table sets forth our capitalization at March 31, 1999 and as adjusted on that date to give effect to the sale of common stock offered by us at an assumed public offering price of $37.25 per share, after deducting the underwriting discount and estimated offering expenses payable by us, and assuming that the underwriters' over-allotment option is not exercised. This table contains unaudited information and should be read in conjunction with the consolidated financial statements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49"/>
        <w:spacing w:after="0"/>
        <w:rPr>
          <w:sz w:val="20"/>
          <w:szCs w:val="20"/>
          <w:color w:val="auto"/>
        </w:rPr>
      </w:pPr>
      <w:r>
        <w:rPr>
          <w:rFonts w:ascii="Courier New" w:cs="Courier New" w:eastAsia="Courier New" w:hAnsi="Courier New"/>
          <w:sz w:val="15"/>
          <w:szCs w:val="15"/>
          <w:color w:val="auto"/>
        </w:rPr>
        <w:t>AS OF MARCH 31, 1999</w:t>
      </w:r>
    </w:p>
    <w:p>
      <w:pPr>
        <w:spacing w:after="0" w:line="3"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589"/>
        <w:spacing w:after="0"/>
        <w:tabs>
          <w:tab w:leader="none" w:pos="7089"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3" w:lineRule="exact"/>
        <w:rPr>
          <w:sz w:val="20"/>
          <w:szCs w:val="20"/>
          <w:color w:val="auto"/>
        </w:rPr>
      </w:pPr>
    </w:p>
    <w:p>
      <w:pPr>
        <w:ind w:left="5329"/>
        <w:spacing w:after="0"/>
        <w:tabs>
          <w:tab w:leader="none" w:pos="698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329"/>
        <w:spacing w:after="0"/>
        <w:rPr>
          <w:sz w:val="20"/>
          <w:szCs w:val="20"/>
          <w:color w:val="auto"/>
        </w:rPr>
      </w:pPr>
      <w:r>
        <w:rPr>
          <w:rFonts w:ascii="Courier New" w:cs="Courier New" w:eastAsia="Courier New" w:hAnsi="Courier New"/>
          <w:sz w:val="14"/>
          <w:szCs w:val="14"/>
          <w:color w:val="auto"/>
        </w:rPr>
        <w:t>(IN THOUSANDS, EXCEPT SHARE DATA)</w:t>
      </w:r>
    </w:p>
    <w:p>
      <w:pPr>
        <w:sectPr>
          <w:pgSz w:w="11900" w:h="16838" w:orient="portrait"/>
          <w:cols w:equalWidth="0" w:num="1">
            <w:col w:w="10228"/>
          </w:cols>
          <w:pgMar w:left="231" w:top="287"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Total debt................................................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5149" w:space="260"/>
            <w:col w:w="1060" w:space="720"/>
            <w:col w:w="303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Stockholders' equity:</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Preferred stock -- 15,000,000 authorized shares, $.01</w:t>
      </w:r>
    </w:p>
    <w:p>
      <w:pPr>
        <w:sectPr>
          <w:pgSz w:w="11900" w:h="16838" w:orient="portrait"/>
          <w:cols w:equalWidth="0" w:num="1">
            <w:col w:w="10228"/>
          </w:cols>
          <w:pgMar w:left="231" w:top="287" w:right="1440" w:bottom="1440" w:gutter="0" w:footer="0" w:header="0"/>
          <w:type w:val="continuous"/>
        </w:sectPr>
      </w:pP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par value; no amounts issued or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5409" w:space="720"/>
            <w:col w:w="1040" w:space="720"/>
            <w:col w:w="2339"/>
          </w:cols>
          <w:pgMar w:left="231" w:top="287" w:right="1440" w:bottom="1440" w:gutter="0" w:footer="0" w:header="0"/>
          <w:type w:val="continuous"/>
        </w:sectPr>
      </w:pPr>
    </w:p>
    <w:p>
      <w:pPr>
        <w:ind w:left="169"/>
        <w:spacing w:after="0"/>
        <w:rPr>
          <w:sz w:val="20"/>
          <w:szCs w:val="20"/>
          <w:color w:val="auto"/>
        </w:rPr>
      </w:pPr>
      <w:r>
        <w:rPr>
          <w:rFonts w:ascii="Courier New" w:cs="Courier New" w:eastAsia="Courier New" w:hAnsi="Courier New"/>
          <w:sz w:val="14"/>
          <w:szCs w:val="14"/>
          <w:color w:val="auto"/>
        </w:rPr>
        <w:t>Common stock -- 150,000,000 authorized shares, $.01 par</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value; 57,219,744 actual shares issued, 59,644,744</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shares issued, as adjusted; 51,670,363 actual shares</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outstanding, 54,095,363 shares outstanding, as</w:t>
      </w:r>
    </w:p>
    <w:p>
      <w:pPr>
        <w:sectPr>
          <w:pgSz w:w="11900" w:h="16838" w:orient="portrait"/>
          <w:cols w:equalWidth="0" w:num="1">
            <w:col w:w="10228"/>
          </w:cols>
          <w:pgMar w:left="231" w:top="287" w:right="1440" w:bottom="1440" w:gutter="0" w:footer="0" w:header="0"/>
          <w:type w:val="continuous"/>
        </w:sectPr>
      </w:pP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adjusted(1)..........................................</w:t>
      </w: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Additional paid-in capital..............................</w:t>
      </w: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Accumulated deficit.....................................</w:t>
      </w:r>
    </w:p>
    <w:p>
      <w:pPr>
        <w:spacing w:after="0" w:line="18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Total stockholders' equity...........................</w:t>
      </w:r>
    </w:p>
    <w:p>
      <w:pPr>
        <w:spacing w:after="0" w:line="183" w:lineRule="exact"/>
        <w:rPr>
          <w:sz w:val="20"/>
          <w:szCs w:val="20"/>
          <w:color w:val="auto"/>
        </w:rPr>
      </w:pPr>
    </w:p>
    <w:p>
      <w:pPr>
        <w:ind w:left="889"/>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517</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479,558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(294,858)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185,217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185,217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541</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565,189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(294,858)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270,872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270,872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149" w:space="260"/>
            <w:col w:w="1060" w:space="720"/>
            <w:col w:w="3039"/>
          </w:cols>
          <w:pgMar w:left="231" w:top="287" w:right="1440" w:bottom="1440" w:gutter="0" w:footer="0" w:header="0"/>
          <w:type w:val="continuous"/>
        </w:sect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29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prospectus, this does not include: 7,905,850 shares of our common stock reserved for issuance upon exercise of stock options under our Stock Option Plans, 792,764 shares of our common stock reserved for issuance under our Associate Stock Purchase Plan, 846,762 shares reserved for our 401(k) Plan, and 10,250,000 shares of our common stock reserved for issuance upon the exercise of warrants. Options to purchase 4,126,883 shares of our common stock are outstanding, of which options to purchase 1,245,994 shares are exercisable at a weighted average exercise price of approximately $8.22 per share. Warrants to purchase 10,250,000 shares of our common stock are outstanding, of which warrants to purchase 2,575,000 shares are exercisable at a weighted average exercise price of approximately $20.86 per share.</w:t>
      </w:r>
    </w:p>
    <w:p>
      <w:pPr>
        <w:spacing w:after="0" w:line="34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Our selected consolidated financial data for the fiscal year ended December 31, 1995, for the six-months ended June 30, 1996 and as of and for the fiscal years ended June 30, 1997 and 1998, have been derived from our consolidated financial statements, included elsewhere in this prospectus, which have been audited by Deloitte &amp; Touche LLP, independent auditors, whose report thereon is also included elsewhere in this prospectus. Our selected consolidated financial data as of and for the fiscal years ended December 31, 1993 and 1994, as of December 31, 1995, and as of June 30, 1996, have been derived from our audited consolidated financial statements which are not included in this prospectus. The selected consolidated financial data for the twelve months ended June 30, 1996 and as of and for each of the nine month periods ended March 31, 1998 and 1999, are derived from unaudited consolidated financial statements which, in the opinion of management, reflect all adjustments necessary for a fair presentation of the results for the respective annual and interim periods. The selected consolidated financial data set forth below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our Consolidated Financial Statements and Notes thereto contained elsewhere in this prospectus.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SIX</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MONTHS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28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1993</w:t>
            </w:r>
          </w:p>
        </w:tc>
        <w:tc>
          <w:tcPr>
            <w:tcW w:w="1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1996(1)</w:t>
            </w:r>
          </w:p>
        </w:tc>
        <w:tc>
          <w:tcPr>
            <w:tcW w:w="14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20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Processing, servicing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$28,986</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$38,282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$49,330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59,053</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$ 104,522</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$159,255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$115,093</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$145,468</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33,088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28,952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22,567</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13,314</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16,268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19,809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10,592</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30,892</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39,266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49,330</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51,040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76,789</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176,445</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233,864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170,353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179,379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Cost of processing, servicing</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support.................</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18,387</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24,212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30,258</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35,438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51,236</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102,721</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129,924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94,332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107,572</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3,605</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6,876</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13,765</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32,869</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36,265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16,539</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4,427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7,242</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21,349</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32,670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21,945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2,381</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2,598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9,598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18,707</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15,748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21,556</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1,377</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1,922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8,246</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24,919</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In-process research and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development(2)..............</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Charge for stock</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warrants(3).................</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32,827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32,409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Exclusivity amortization(4)...</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29,390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37,883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50,995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199,205</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226,552</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357,844</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277,213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213,710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187,814</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gain on dispositions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assets(5).....................</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6,250</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28,449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1,502</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(148,165)</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(149,763)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(175,149)</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(14,908)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2,135</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3,104</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2,153</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2,205</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(484)</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(834)</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 income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1,388</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(146,831)</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(147,143)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(173,830)</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(13,042)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(2,823)</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tax expense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(benefit)(6)................</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(8,628)</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(8,650)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(12,017)</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(3,581)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(12,422)</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(138,203)</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(138,493)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(161,813)</w:t>
            </w:r>
          </w:p>
        </w:tc>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(9,461)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(215)</w:t>
            </w:r>
          </w:p>
        </w:tc>
        <w:tc>
          <w:tcPr>
            <w:tcW w:w="1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5"/>
              </w:rPr>
              <w:t>$(138,567)</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$(138,857)</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$(161,813)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(9,461)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284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common share before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extraordinary item(7).........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(0.01)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common share(7)...............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 (0.01)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equivalent number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outstanding(7).........</w:t>
            </w:r>
          </w:p>
        </w:tc>
        <w:tc>
          <w:tcPr>
            <w:tcW w:w="1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26,886</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27,103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28,219</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37,420</w:t>
            </w:r>
          </w:p>
        </w:tc>
        <w:tc>
          <w:tcPr>
            <w:tcW w:w="1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33,435</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46,988</w:t>
            </w: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54,989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56,117</w:t>
            </w:r>
          </w:p>
        </w:tc>
      </w:tr>
      <w:tr>
        <w:trPr>
          <w:trHeight w:val="853"/>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4"/>
          </w:tcPr>
          <w:p>
            <w:pPr>
              <w:jc w:val="right"/>
              <w:ind w:right="506"/>
              <w:spacing w:after="0"/>
              <w:rPr>
                <w:sz w:val="20"/>
                <w:szCs w:val="20"/>
                <w:color w:val="auto"/>
              </w:rPr>
            </w:pPr>
            <w:r>
              <w:rPr>
                <w:rFonts w:ascii="Courier New" w:cs="Courier New" w:eastAsia="Courier New" w:hAnsi="Courier New"/>
                <w:sz w:val="15"/>
                <w:szCs w:val="15"/>
                <w:color w:val="auto"/>
              </w:rPr>
              <w:t>AS OF DECEMBER 31,</w:t>
            </w:r>
          </w:p>
        </w:tc>
        <w:tc>
          <w:tcPr>
            <w:tcW w:w="1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JUNE 30,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AS OF MARCH 31,</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3"/>
                <w:szCs w:val="13"/>
                <w:color w:val="auto"/>
                <w:w w:val="70"/>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287" w:right="1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$ 11,399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$ 45,496</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$ 20,002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$ 78,238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$ 76,502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$ 44,473</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17,669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30,512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115,642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196,230</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250,112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237,878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250,690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portion...................................</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8,968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8,213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8,324</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8,401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6,467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16,372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99,325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137,675</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148,644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183,854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185,217</w:t>
            </w:r>
          </w:p>
        </w:tc>
      </w:tr>
      <w:tr>
        <w:trPr>
          <w:trHeight w:val="512"/>
        </w:trPr>
        <w:tc>
          <w:tcPr>
            <w:tcW w:w="3460" w:type="dxa"/>
            <w:vAlign w:val="bottom"/>
          </w:tcPr>
          <w:p>
            <w:pPr>
              <w:spacing w:after="0"/>
              <w:rPr>
                <w:sz w:val="24"/>
                <w:szCs w:val="24"/>
                <w:color w:val="auto"/>
              </w:rPr>
            </w:pPr>
          </w:p>
        </w:tc>
        <w:tc>
          <w:tcPr>
            <w:tcW w:w="5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77"/>
              </w:rPr>
              <w:t>21</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40"/>
          </w:cols>
          <w:pgMar w:left="240" w:top="139" w:right="219"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5"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and Note 11 to the interim unaudited consolidated financial statements included elsewhere in this prospectus.</w:t>
      </w:r>
    </w:p>
    <w:p>
      <w:pPr>
        <w:spacing w:after="0" w:line="5"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included elsewhere in this prospectus.</w:t>
      </w:r>
    </w:p>
    <w:p>
      <w:pPr>
        <w:ind w:left="349" w:right="3299"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exclusivity arrangement entered into upon our acquisition of Intuit Services Corporation in January 1997, we recorded amortization expense of $6.0 million and $3.0 million for the fiscal years ended June 30, 1997 and 1998, respectively.</w:t>
      </w:r>
    </w:p>
    <w:p>
      <w:pPr>
        <w:spacing w:after="0" w:line="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such sales were $28.2 million, $3.2 million, and $14.7 million, respectively. The gains were offset by losses on the sale of the leasing business, discontinuation of the web investor business and write-offs of certain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certain equipment and capitalized costs.</w:t>
      </w:r>
    </w:p>
    <w:p>
      <w:pPr>
        <w:spacing w:after="0" w:line="11"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creation of a special purpose subsidiary to administer our employee medical benefits program, we recorded a one-time tax benefit of approximately $12.2 million during the quarter ended December 31, 1998. See Note 10 to the unaudited consolidated financial statements included elsewhere in this prospectus.</w:t>
      </w:r>
    </w:p>
    <w:p>
      <w:pPr>
        <w:spacing w:after="0" w:line="3" w:lineRule="exact"/>
        <w:rPr>
          <w:rFonts w:ascii="Courier New" w:cs="Courier New" w:eastAsia="Courier New" w:hAnsi="Courier New"/>
          <w:sz w:val="15"/>
          <w:szCs w:val="15"/>
          <w:color w:val="auto"/>
        </w:rPr>
      </w:pPr>
    </w:p>
    <w:p>
      <w:pPr>
        <w:ind w:left="349" w:right="3219" w:hanging="349"/>
        <w:spacing w:after="0" w:line="261" w:lineRule="auto"/>
        <w:tabs>
          <w:tab w:leader="none" w:pos="3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consolidated financial statements included elsewhere in this prospectus.</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discussion sets forth our operating revenue and operating income (loss) by business segment. For a complete discussion of our financial condition and results of operations, please refer to our Annual Report on Form 10-K for the fiscal year ended June 30, 1998 and our Quarterly Report on Form 10-Q for the quarter ended March 31, 1999 which are incorporated by reference into this prospectus. See "Where You Can Find More Information" and "Incorporation of Documents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32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plan to undertake significant marketing initiatives with this and other Internet portals to dramatically accelerate the adoption of our services by consumers.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200" w:lineRule="exact"/>
        <w:rPr>
          <w:sz w:val="20"/>
          <w:szCs w:val="20"/>
          <w:color w:val="auto"/>
        </w:rPr>
      </w:pPr>
    </w:p>
    <w:p>
      <w:pPr>
        <w:spacing w:after="0" w:line="32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that enables merchants to deliver billing as well as marketing materials interactively to their customers over the Internet. To date, we have signed contracts for E-Bill services with over 50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during the previous month.</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are a leading provider of portfolio management and information services and financial applications software. During the nine months ended March 31, 1999, Electronic Commerce accounted for 69% of our revenues, Software accounted for 16% of our revenues and Investment Services accounted for 15% of our revenues.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current business was developed through expansion of our core electronic commerce business and the acquisition of companies operating similar or complementary businesses. Our major acquisitions include the acquisition of Servantis Systems Holdings, Inc. in February 1996, Security APL, Inc. in May 1996, Intuit Services Corporation in January 1997 and Mobius Group, Inc. in March 1999.</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 We could dispose of all or a portion of our remaining software businesses if we receive an acceptable offer which we determine is in our best interests.</w:t>
      </w:r>
    </w:p>
    <w:p>
      <w:pPr>
        <w:sectPr>
          <w:pgSz w:w="11900" w:h="16838" w:orient="portrait"/>
          <w:cols w:equalWidth="0" w:num="1">
            <w:col w:w="10219"/>
          </w:cols>
          <w:pgMar w:left="240" w:top="287" w:right="1440" w:bottom="1440" w:gutter="0" w:footer="0" w:header="0"/>
        </w:sectPr>
      </w:pP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19"/>
          </w:cols>
          <w:pgMar w:left="240" w:top="287"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summary of segment information is derived from our consolidated financial statements included elsewhere in this prospectus and should be read in conjunction with Management's Discussion and Analysis of Financial Condition and Results of Operations contained in our Annual Report on Form 10-K for the fiscal year ended June 30, 1998 and our Quarterly Report on Form 10-Q for the quarter ended March 31, 1999, which are incorporated by reference herein, and the Consolidated Financial Statements and Notes thereto contained elsewhere in this prospectus.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4780" w:type="dxa"/>
            <w:vAlign w:val="bottom"/>
          </w:tcPr>
          <w:p>
            <w:pPr>
              <w:spacing w:after="0"/>
              <w:rPr>
                <w:sz w:val="14"/>
                <w:szCs w:val="14"/>
                <w:color w:val="auto"/>
              </w:rPr>
            </w:pPr>
          </w:p>
        </w:tc>
        <w:tc>
          <w:tcPr>
            <w:tcW w:w="20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YEAR ENDED JUNE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8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w:t>
            </w:r>
          </w:p>
        </w:tc>
      </w:tr>
      <w:tr>
        <w:trPr>
          <w:trHeight w:val="171"/>
        </w:trPr>
        <w:tc>
          <w:tcPr>
            <w:tcW w:w="4780" w:type="dxa"/>
            <w:vAlign w:val="bottom"/>
          </w:tcPr>
          <w:p>
            <w:pPr>
              <w:spacing w:after="0"/>
              <w:rPr>
                <w:sz w:val="14"/>
                <w:szCs w:val="14"/>
                <w:color w:val="auto"/>
              </w:rPr>
            </w:pP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Electronic Commerce................................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85,926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$137,972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$ 99,046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$122,915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68,113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66,143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49,737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29,498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Services................................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29,749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26,966</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revenue....................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$ 176,445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$233,864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$170,353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$179,379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 (loss) excluding specific items: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Electronic Commerce.............................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(20,487)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 (1,342)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(515)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(3,904)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4,324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8,393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8,713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Services.............................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2,171</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(20,116)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(16,185)</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Specific items: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(2,963)</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(719)</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(32,827)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(32,409)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36,173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28,449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loss.......................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$(175,149)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 (7,176)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(4,521)</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Nine Months Ended March 31, 1998 and 1999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revenue in the Electronic Commerce segment increased by 24%, or $23.9 million, from $99.0 million for the nine months ended March 31, 1998, to $122.9 million for the nine months ended March 31, 1999. This increase in revenue is due primarily to an increase in subscribers from approximately 2.4 million at March 31, 1998 to approximately 2.8 million at March 31,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the Electronic Commerce segment increased from a loss of $0.5 million for the nine months ended March 31, 1998 to a loss of $3.9 million for the nine months ended March 31, 1999. This increase in our operating loss was due to the temporary slowing of revenue growth caused by financial institutions converting their PC-based systems to our new web-based platform. At the same time, we have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in the period.</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date, we have activated 21 billers for our E-Bill product offering, have an additional 19 billers actively engaged in the implementation process and have another 9 billers awaiting implementation. We believe that as we continue to activate additional billers for our electronic billing and payment product offering, the number of users will continue to increase, which should drive significant revenue and operating income growth in the future.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January 1999, we announced a distribution agreement with a leading Internet portal designed to promote on-line billing and payment and electronic banking to Internet users. Our planned investments related to this agreement will place near-term downward pressure on margins, however, these costs will prepare us for up to 1 million additional subscribers for our services. These investments will allow us to grow our professional services and customer care staff to support anticipated greater deployment of electronic billing and payment services by billers, as well as expand our sales and marketing and related training activities.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in our Software segment declined by $20.2 million, or 41%,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$49.7 million for the nine months ended March 31, 1998, to $29.5 million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March 31, 1999. This decline reflects the impact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of several of our software businesses. Excluding the effects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divestitures, revenue in our Software segment rose by $3.4 million, or 13%, from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$26.1 million for the nine months ended March 31, 1998, to $29.5 million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March 31, 1999. Despite this increase, license sales revenue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our Software segment were lower than anticipated due primarily to purchasing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moratoriums imposed by some potential customers who deferred new software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as a result of addressing their internal Year 2000 issues.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slowdown in software license sales was somewhat offset by greater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related to implementations of prior sales of software licenses.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Operating income in our Software segment increased from $4.5 million for the nine months ended March 31, 1998, to $8.7 million for the nine months ended March 31, 1999. Excluding the effects of the divestitures, operating income increased from $6.6 million for the nine months ended March 31, 1998, to $8.7 million for the nine months ended March 31, 1999. The increase in operating income was due to overhead allocation in the prior year.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Investment Services segment increased by $5.4 million, or 25%, from $21.6 million for the nine months ended March 31, 1998, to $27.0 million for the nine months ended March 31, 1999. This increase was due primarily to an increase in the number of institutional portfolios managed from approximately 447,000 at March 31, 1998, to approximately 630,000 at March 31, 1999, offset somewhat by an increase in the number of retail brokerage accounts managed which carry a somewhat lower price. Operating income in our Investment Services segment increased from $4.1 million for the nine months ended March 31, 1998, to $5.1 million for the nine months ended March 31, 1999. This increase was due to the greater number of portfolios managed, offset somewhat by costs of approximately $0.9 million related to the moving of this segment's main office in the period.</w:t>
      </w:r>
    </w:p>
    <w:p>
      <w:pPr>
        <w:spacing w:after="0" w:line="180"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On March 8, 1999, we acquired Mobius Group to augment the product line of the Investment Services segment. Investment consultants and asset managers may now use Mobius Group's M-Vest service to determine the ideal asset allocation for their clients; use M-Search to determine the ideal investment manager candidates; use CheckFree APL and APL Wrap products to provide investment management platform and trading tools; and use either M-Watch or CheckFree APL for their investment oversight and reporting to the end client. The acquisition had minimal impact on operations in the nine months ended March 31, 1999.</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Expenses in our Corporate segment represent charges for human resources, legal, accounting and various other unallocated overhead charges. Corporate segment costs were $15.4 million for the nine months ended March 31, 1998 versus $16.2 million for the nine months ended March 31, 1999, including a non-recurring one-time charge of $0.6 million incurred in December 1998 for the formation of a special-purpose subsidiary created to administer our employee medical benefits program. Our Corporate segment expenses were relatively stable due to successful efforts to leverage these resources despite the growth of our other operating segments during the most recent nine-month period.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Exclusivity amortization of $2.9 million in the nine months ended March 31,</w:t>
      </w:r>
    </w:p>
    <w:p>
      <w:pPr>
        <w:spacing w:after="0" w:line="12"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1998 represented the final amortization expense related to an exclusivity arrangement we entered into with Intuit in conjunction with the purchase of Intuit Services in January 1997.</w:t>
      </w:r>
    </w:p>
    <w:p>
      <w:pPr>
        <w:spacing w:after="0" w:line="17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In-process research and development charges of $2.2 million in the nine months ended March 31, 1999 resulted from our acquisition of Mobius Group on March 8, 1999. Please refer to Note 11 to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interim unaudited consolidated condensed financial statements included elsewhere in this prospectus. The $0.7 million charge for in-process research and development in the nine months ended March 31, 1998 resulted from the acquisition of Advanced Mortgage Technologies, Inc. in October 1997.</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$32.4 million charge for stock warrants in the nine months ended March 31, 1998 resulted from the vesting of 3,000,000 warrants in March 1998 related to a ten-year processing agreement with Integrion which we announced in October 1997.</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gain on disposition of assets is the result of various transactions in the nine months ended March 31, 1998 and 1999. The net gain on dispositions of assets of $3.9 million in the nine months ended March 31, 1999 is the result of a gain of $6.4 million on the sale of the mortgage business and the loss on the sale of the imaging business of approximately $2.5 million. The net gain on dispositions of assets of $28.4 million in the nine months ended March 31, 1998 is the result of a $28.2 million gain on the sale of the credit management business in August 1997, the gain on the sale of the item processing business of $3.2 million in March 1998 and the write-off of approximately $3.0 million on September 30, 1997 of certain equipment and capitalized costs for which we determined that the book value exceeded their net realizable value.</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June 30, 1997 and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revenue in the Electronic Commerce segment increased by 61%, or $52.0 million, from $85.9 million for the fiscal year ended June 30, 1997, to $137.9 million for the fiscal year ended June 30, 1998. This increase in revenue is due primarily to an increase in subscribers from approximately 1.7 million at June 30, 1997 to approximately 2.4 million at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the Electronic Commerce segment decreased from a loss of $20.5 million for the fiscal year ended June 30, 1997 to a loss of $1.3 million for the fiscal year ended June 30, 1998. This decrease in operating loss was due primarily to the previously mentioned revenue growth as well as improvements in the efficiency of remittances and customer care, reduction in costs from the integration of Intuit Services and the significant economies of scale and leverage inherent in the segment's business model.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Software segment declined from $68.1 million for the fiscal year ended June 30, 1997, to $66.1 million for the fiscal year ended June 30, 1998. This decline reflects the impact of the divestiture of several of our Software businesses. Excluding the effects of purchased profits and the effects of a divestiture of the credit management business, revenue in our Software segment rose by 6% for the fiscal year ended June 30, 1997, to $66.1 million for the fiscal year ended June 30, 1998. This increase is due to increased license sales, which were driven by growth in our reconciliation and compliance products, and related maintenance and services revenue.</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income in our Software segment increased from $4.3 million for the fiscal year ended June 30, 1997, to $8.4 million for the fiscal year ended June 30, 1998. Excluding the effects of the divestitures, operating income increased from $5.3 million for the fiscal year ended June 30, 1997, to $8.3 million for the fiscal year ended June 30, 1998. The increase in operating income was principally due to a decrease in intangible amortization expense of approximately $3.7 million. Gains on the sales of divested businesses allowed us to release a deferred tax benefit valuation allowance, which in turn reduced goodwill and other intangible assets related to the Servantis acquisition.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 our Investment Services segment increased by $7.3 million, or 33%, from $22.4 million for the fiscal year ended June 30, 1997, to $29.7 million for the fiscal year ended June 30, 1998. This increase was due primarily to an increase in the number of institutional portfolios managed from approximately 350,000 at June 30, 1997 to approximately 500,000 at June 30, 1998. Operating income increased from $2.2 million for the year ended June 30, 1997, to $6.2 million for the fiscal year ended June 30, 1998. This increase was due to the greater number of portfolios managed.</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Expenses for our Corporate segment represent charges for human resources, legal, accounting and various other of our unallocated overhead charges. Corporate segment costs decreased from $21.4 million</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for the fiscal year ended June 30, 1997 to $20.1 million for the fiscal year ended June 30, 1998. This decrease was due to successful efforts to leverage these resources despite the growth of our other operating segments during the most recent fiscal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In-process research and development charges of $140.0 million in the fiscal year ended June 30, 1997 resulted from our acquisition of Intuit Services in January 1997. In-process research and development charges of $0.7 million in the fiscal year ended June 30, 1998 resulted from our acquisition of Advanced Mortgage in October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following statements are "Year 2000-Readiness Disclosures" in conformance with the Year 2000 Information and Readiness Disclosure Act (15 U.S.C. 1) enacted on October 19, 1998.</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goal is to ensure that all systems and products will be ready for any date-based processing related to the millennium. The following readiness disclosure is presented for each of our business segments: Electronic Commerce, Investment Services, and Software.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State of Readiness. We are moving all of our Electronic Commerce segment processing to Year 2000-ready environments and are making satisfactory progress to ensure that all of our systems will be ready for any date-based functions related to the millennium. Previous implementation phases included building a Year 2000-ready data center and the physical move of the processing systems to that center. The final implementation phase will include the planned migration of customers from our Chicago and Columbus systems to our Year 2000-ready Genesis Platform followed by applicable testing on that system to be completed by the middle of 1999. In anticipation of limited customer migration from the Austin system to Genesis before January 1, 2000, the Austin system has been made Year 2000 ready and testing with financial institutions is substantially complete. The Electronic Commerce processing systems are subject to regulation by the OCC and are required to meet OCC's Year 2000-readiness requirements by June 30, 1999. All our Software segment products have been made Year 2000 ready and only minor efforts necessary to remediate internal support systems remain. Prior to the acquisition of Mobius Group, all Investment Services customer-related processing systems had been made Year 2000 ready and only customer testing and final remediation of internal systems at Mobius Group remain. Final corporate initiatives require resources to complete installation of date related "patches" to related infrastructure hardware and software applications. All remaining remediation efforts are scheduled to be completed during the quarter ended September 30, 1999.</w:t>
      </w:r>
    </w:p>
    <w:p>
      <w:pPr>
        <w:spacing w:after="0" w:line="18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inventory of all our information technology and non-information technology systems is maintained and periodically updated. We have solicited most of our third-party vendors to determine the status of their Year 2000 readiness and those functions that are likely to have a material effect on our business have been identified and assessed. We have received responses from all of our critical vendors and over half of our other vendors. Validation is based on third party representations and/or internal testing. To date, in excess of 75% of our mission critical applications are deemed to be Year 2000 ready. Based on a review of third party representations, we are not currently aware of any third-party issue applicable to the Year 2000 that is likely to have a material impact on the conduct of our business, the results of our operations or our financial condition. We have not performed our own tests on many of these third-party systems and no assurance can be given at this time that these systems are Year 2000 ready.</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Costs to Address Our Year 2000 Issues. Although the development of our Genesis Platform has taken into account relevant Year 2000 issues, the planned conversion was not accelerated due to Year 2000 issues and Year 2000 costs are not included in development for our Genesis Platform. The following chart reflects our Year 2000 specific costs. The fiscal year 1998 costs were attributed to remediation of our legacy systems and applications. The cost to complete includes remediation, testing and verification, but is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primarily budgeted to remedy any Year 2000 related situations that management has not yet anticipated. We believe that associated costs are adequately budgeted for in our fiscal 1999 business plans.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NINE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MONTHS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FISCAL</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FISCAL</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COST TO</w:t>
            </w:r>
          </w:p>
        </w:tc>
        <w:tc>
          <w:tcPr>
            <w:tcW w:w="76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1997</w:t>
            </w:r>
          </w:p>
        </w:tc>
        <w:tc>
          <w:tcPr>
            <w:tcW w:w="14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1998</w:t>
            </w:r>
          </w:p>
        </w:tc>
        <w:tc>
          <w:tcPr>
            <w:tcW w:w="12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COMPLETE</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Electronic Commerce...............................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959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441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Software..........................................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Investment Services...............................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878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359</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1,612</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Corporate.........................................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385</w:t>
            </w:r>
          </w:p>
        </w:tc>
      </w:tr>
      <w:tr>
        <w:trPr>
          <w:trHeight w:val="171"/>
        </w:trPr>
        <w:tc>
          <w:tcPr>
            <w:tcW w:w="45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$2,545</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$4,597</w:t>
            </w:r>
          </w:p>
        </w:tc>
      </w:tr>
      <w:tr>
        <w:trPr>
          <w:trHeight w:val="171"/>
        </w:trPr>
        <w:tc>
          <w:tcPr>
            <w:tcW w:w="45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Risks of Our Year 2000 Issues. In order to accurately process transactions, we must rely on technology supported by our customers and suppliers. Transaction processing relies on transmissions of data from consumer personal computers, through financial institution and business web servers and the Internet, over third party data and voice communication lines, and through the Federal Funds System. Failure by us, our customers or suppliers to adequately address the Year 2000 issues in a timely manner could impede our ability to process transactions and could have a direct impact on our ability to generate revenue per our agreements with financial institutions, portfolio management companies, merchant and direct customers. This in turn could have a material impact on our business, results of operations and financial condition. Accordingly, we plan to address all Year 2000 issues before problems materialize. Should our efforts, or the efforts of our customers and suppliers fail to adequately address their relevant Year 2000 issues, the most likely worst case scenario would be a total loss of our revenue.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Contingency Plans. We are internally reviewing and testing all mission critical systems and major components for Year 2000 readiness. Our contingency plans are in place to address mission critical customer related processes such as back-up communication plans for incoming customer payment and portfolio transactions, paper based payment transaction processing in the event of electronic payment failure and alternative power supply in the event of prolonged power outages. Additional Year 2000 considerations have been and will continue to be incorporated into our business contingency plans. We cannot guarantee that our efforts will prevent all consequences and there may be undetermined future costs due to business disruption that may be caused by our customers, suppliers or unforeseen circumstances.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quarters ended September 30, 1998 and December 31, 1998, we expended approximately $31.2 million to repurchase shares of our own stock. In spite of this expenditure, we retained in excess of $25 million in cash, cash equivalents and short-term investments as of March 31, 1999. Our March 31, 1999 balance sheet reflects a strong current ratio of 1.76. Over the remainder of the fiscal year ending June 30, 1999, we expect to generate positive cash flow from our operations. Additionally, in conjunction with the purchase of our new building in Dublin, Ohio, we expect to increase cash in the next several months by $10 to $15 million through available financing alternatives. We believe that existing cash, cash equivalents, investments and the proceeds from this offering, combined with projected positive operating cash flow and the financing of our Dublin, Ohio building will be more than sufficient to meet our presently anticipated requirements for the foreseeable future. To the extent that additional capital resources may be needed, we have access to an untapped line of credit totaling $20 million.</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read in conjunction with statements regarding our liquidity and capital resources: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SUMMARY OF CASH FLOWS</w:t>
            </w:r>
          </w:p>
        </w:tc>
        <w:tc>
          <w:tcPr>
            <w:tcW w:w="94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40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JUNE 30,</w:t>
            </w:r>
          </w:p>
        </w:tc>
        <w:tc>
          <w:tcPr>
            <w:tcW w:w="18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520" w:type="dxa"/>
            <w:vAlign w:val="bottom"/>
          </w:tcPr>
          <w:p>
            <w:pPr>
              <w:spacing w:after="0"/>
              <w:rPr>
                <w:sz w:val="14"/>
                <w:szCs w:val="14"/>
                <w:color w:val="auto"/>
              </w:rPr>
            </w:pPr>
          </w:p>
        </w:tc>
        <w:tc>
          <w:tcPr>
            <w:tcW w:w="22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operating</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$(7,831)</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$(11,673)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$ 8,901</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$ 24,709</w:t>
            </w:r>
          </w:p>
        </w:tc>
      </w:tr>
      <w:tr>
        <w:trPr>
          <w:trHeight w:val="17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investing</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24,912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12,767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22,381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(14,390)</w:t>
            </w:r>
          </w:p>
        </w:tc>
      </w:tr>
      <w:tr>
        <w:trPr>
          <w:trHeight w:val="171"/>
        </w:trPr>
        <w:tc>
          <w:tcPr>
            <w:tcW w:w="45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7"/>
              </w:rPr>
              <w:t>Cash flow provided by (used in) financing</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(5,982)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(30,655)</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increase (decrease) in cash and cash</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equivalents............................</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$11,099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4,449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$31,887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$(20,336)</w:t>
            </w:r>
          </w:p>
        </w:tc>
      </w:tr>
      <w:tr>
        <w:trPr>
          <w:trHeight w:val="171"/>
        </w:trPr>
        <w:tc>
          <w:tcPr>
            <w:tcW w:w="45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historically funded our business primarily through cash flows generated from operations, the sale of equity securities and capital lease financing, we have had several acquisitions and divestitures that significantly impacted our cash flow from the six months ended June 30, 1996 through the fiscal year ended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1998, we used $11.7 million of cash flow in our operating activities. During the fiscal year ended June 30, 1998, $24.5 million in net investments in trading securities were reflected as cash used in operations. In previous periods, all our investments were classified as available for sale and, therefore, related investment activities did not impact operating cash flow. The change to trading securities is an effort to maximize yields within our conservative investment guidelines and not to significantly impact the risk profile of our portfolio. From an investing perspective, we generated $54.7 million of cash from the sale of our various software businesses, $23.8 million from sales and maturities of available for sale investments, $8.9 million from receipt of a purchase price adjustment related to the Intuit Services acquisition, and $0.3 million from the sales of other assets. Investing receipts were offset by $27.9 million of investment in property additions, primarily for computer and operational equipment and facilities related to completion of the Genesis Platform; $20.3 million in the purchase of investments ($19.3 million of available for sale and $1.0 million of trading); $14.9 of investment in a note receivable in conjunction with the proposed purchase of our Dublin, Ohio building; $10.0 million as final payment of the purchase price of Intuit Services; payment of $1.0 million for the purchase of Advance Mortgage; and $0.7 million in capitalization of software costs. 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 In total, cash and cash equivalents increased by $4.4 million for fiscal 1998. As a result, our current ratio has improved from 1.3 at June 30, 1997 to 2.3 at June 30 1998 and related working capital has increased from $20.0 million to $78.2 million for the same periods. In the fiscal year ending June 30, 1999, we expect to earn a profit and believe that existing cash and cash equivalents and expected cash from remaining software divestitures early in the fiscal year ending June 30, 1999 will be sufficient to meet our presently anticipated operating, working capital and capital expenditure requirements for the foreseeable future. To the extent that additional capital resources are required, we have access to an unused $20 million line of credit.</w:t>
      </w:r>
    </w:p>
    <w:p>
      <w:pPr>
        <w:spacing w:after="0" w:line="19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1997, we used $7.8 million for operating activities. The sale of businesses generated proceeds of $28.9 million while $0.6 million was received from stock options exercised during the year. We invested $11.4 million, net of cash acquired, for the Intuit Services acquisition. Some stockholders from the Security APL acquisition exercised options to sell back to us 276,469 of common shares at a price of $19.00 per share. We received proceeds of $16.5 million on net maturities and sales of available for sale investments, $9.8 million was invested in property and software additions, while $0.6 million was received on the sale of property and equipment. Principal payments on capital leases totaled $1.1 million, $50,000 was applied to the repayment of stockholder notes payable and an additional $68,750 was expended on repayment of outstanding notes payable balances. Cash and cash equivalents increased by $11.1 million for the fiscal year ended June 30, 1997.</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19"/>
          </w:cols>
          <w:pgMar w:left="240" w:top="287"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are the leading provider of electronic billing and payment services. Our Electronic Commerce business provides services that allow consumers to:</w:t>
      </w:r>
    </w:p>
    <w:p>
      <w:pPr>
        <w:spacing w:after="0" w:line="172" w:lineRule="exact"/>
        <w:rPr>
          <w:sz w:val="20"/>
          <w:szCs w:val="20"/>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32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currently provide services for nearly 3 million consumers through over 350 financial institutions, Internet financial sites like Quicken.com and personal financial management software like Quicken, Microsoft Money and Managing Your Money. As part of our strategy to broaden availability of our electronic billing and payment services on the Internet, we recently entered into a distribution contract with a leading Internet portal. We plan to undertake significant marketing initiatives with this and other Internet portals to dramatically accelerate the adoption of our services by consumers. We have developed relationships with over 1,100 merchants nationwide that enable us to remit more than 50% of all of our bill payments electronically. During the three-month period ended March 31, 1999, we processed an average of more than 11 million transactions per month.</w:t>
      </w:r>
    </w:p>
    <w:p>
      <w:pPr>
        <w:spacing w:after="0" w:line="200" w:lineRule="exact"/>
        <w:rPr>
          <w:sz w:val="20"/>
          <w:szCs w:val="20"/>
          <w:color w:val="auto"/>
        </w:rPr>
      </w:pPr>
    </w:p>
    <w:p>
      <w:pPr>
        <w:spacing w:after="0" w:line="32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as well as marketing materials interactively to their customers over the Internet. To date, we have signed contracts for E-Bill services with over 50 of the country's largest billers, who together deliver more than 500 million bills each month. During the month of March 1999, we presented and paid more than 10,000 electronic bills through 20 financial institutions and Internet portals, double the number of bills presented and paid through E-Bill services the previous month.</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are a leading provider of institutional portfolio management and information services and financial application software. Our Investment Services business offers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managing investments of institutions and high net worth individuals. Our Software businesses provides electronic commerce and financial applications software and services for business and financial institutions. We design, market, license and support software products for automated clearinghouse, or ACH, processing, reconciliation and regulatory compliance.</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nine months ended March 31, 1999, Electronic Commerce accounted for 69% of our revenues, Software accounted for 16% of our revenues and Investment Services accounted for 15% of our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vast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5" w:lineRule="exact"/>
        <w:rPr>
          <w:sz w:val="20"/>
          <w:szCs w:val="20"/>
          <w:color w:val="auto"/>
        </w:rPr>
      </w:pPr>
    </w:p>
    <w:p>
      <w:pPr>
        <w:ind w:left="620" w:right="3119" w:hanging="185"/>
        <w:spacing w:after="0" w:line="262"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Paper Checks. It is estimated that 67 billion checks were written in the U.S. in 1997. The use of checks imposes significant costs on financial institutions, businesses and their customers. These costs include the writing, mailing, recording and manual processing of checks.</w:t>
      </w:r>
    </w:p>
    <w:p>
      <w:pPr>
        <w:spacing w:after="0" w:line="160" w:lineRule="exact"/>
        <w:rPr>
          <w:rFonts w:ascii="Courier New" w:cs="Courier New" w:eastAsia="Courier New" w:hAnsi="Courier New"/>
          <w:sz w:val="14"/>
          <w:szCs w:val="14"/>
          <w:color w:val="auto"/>
        </w:rPr>
      </w:pPr>
    </w:p>
    <w:p>
      <w:pPr>
        <w:ind w:left="620" w:right="3299" w:hanging="185"/>
        <w:spacing w:after="0" w:line="264"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Paper Billing. It is estimated that over 18 billion paper bills are produced each year, with the cost of submitting a paper bill, including printing, postage and billing inserts, as high as $3.00 per bill.</w:t>
      </w:r>
    </w:p>
    <w:p>
      <w:pPr>
        <w:spacing w:after="0" w:line="159" w:lineRule="exact"/>
        <w:rPr>
          <w:rFonts w:ascii="Courier New" w:cs="Courier New" w:eastAsia="Courier New" w:hAnsi="Courier New"/>
          <w:sz w:val="14"/>
          <w:szCs w:val="14"/>
          <w:color w:val="auto"/>
        </w:rPr>
      </w:pPr>
    </w:p>
    <w:p>
      <w:pPr>
        <w:ind w:left="620" w:right="3119" w:hanging="185"/>
        <w:spacing w:after="0" w:line="260"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Conventional Banking. 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U.S. are still conducting most of their financial transactions using conventional banking methods.</w:t>
      </w:r>
    </w:p>
    <w:p>
      <w:pPr>
        <w:spacing w:after="0" w:line="163"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to Business Payments. 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believe the broad impact of the Internet is driving financial institutions, businesses and consumers to adopt practices of electronic billing and payment, banking and business to business payments. We expect that the growth in these electronic commerce activities will increase the need for services that support secure, reliable and cost-effective financial transactions between and among these market participants. We believe the combination of the following trends is driving adoption of electronic commerce:</w:t>
      </w:r>
    </w:p>
    <w:p>
      <w:pPr>
        <w:spacing w:after="0" w:line="163" w:lineRule="exact"/>
        <w:rPr>
          <w:sz w:val="20"/>
          <w:szCs w:val="20"/>
          <w:color w:val="auto"/>
        </w:rPr>
      </w:pPr>
    </w:p>
    <w:p>
      <w:pPr>
        <w:ind w:left="620" w:right="3119"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PC Ownership. Declining prices for PCs and rapid growth in the number of computer-literate consumers are driving increased penetration of PCs in U.S. homes. The Yankee Group estimates that by 1998 the percentage of U.S. consumer households owning a PC grew to 44% and expects this number to increase to 54% by the year 2001.</w:t>
      </w:r>
    </w:p>
    <w:p>
      <w:pPr>
        <w:spacing w:after="0" w:line="174"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Internet Accessibility. Reduced communications costs, improved web browsers and faster connection speeds have made the Internet increasingly accessible to consumers and to businesses offering products and services on-line. International Data Corporation, or IDC, estimates that there were 52 million Internet users in the U.S. at the end of 1998 and that this figure will grow to 136 million by the end of 2002.</w:t>
      </w:r>
    </w:p>
    <w:p>
      <w:pPr>
        <w:spacing w:after="0" w:line="16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Acceptance of Electronic Commerce. Consumers have grown increasingly comfortable with the security of electronic commerce and are willing to conduct large transactions on-line. IDC estimates that the total value of goods and services purchased over the Internet in the U.S. will increase from approximately $26 billion in 1998 to over $269 billion in 2002.</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Industry Participants. 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these solutions should allow consumers at their access point of choice to:</w:t>
      </w:r>
    </w:p>
    <w:p>
      <w:pPr>
        <w:spacing w:after="0" w:line="172" w:lineRule="exact"/>
        <w:rPr>
          <w:sz w:val="20"/>
          <w:szCs w:val="20"/>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believe that these functionalities must be delivered on a platform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 a full suite of electronic commerce services, all of which we offer in an integrated fashion through multiple distribution channels.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Infrastructure</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9" w:lineRule="exact"/>
        <w:rPr>
          <w:sz w:val="20"/>
          <w:szCs w:val="20"/>
          <w:color w:val="auto"/>
        </w:rPr>
      </w:pPr>
    </w:p>
    <w:p>
      <w:pPr>
        <w:ind w:left="620" w:right="3119" w:hanging="185"/>
        <w:spacing w:after="0" w:line="260"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Connectivity with Merchants. 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6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Scalable Genesis Platform. Our Genesis Platform, completed in 1998, is a fully integrated data processing system that was designed by our in-house engineers. The Genesis Platform was designed to be scaled to handle more than 30 million consumers. We have made significant investments in processes and technologies around our Genesis Platform to ensure that transactions are executed with the highest level of security, reliability and efficiency.</w:t>
      </w:r>
    </w:p>
    <w:p>
      <w:pPr>
        <w:spacing w:after="0" w:line="34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Connectivity to Billers. We believe that our ability to provide consumers with access to electronic bills will substantially spur adoption of the electronic solution. By targeting the largest billers in key industries and in selected population centers, we believe we can quickly provide a significant number of bills to most consumers at their access point of choice. We have contracts with over 50 billers, which represent the opportunity to deliver over 500 million bills per month, representing over 70% of the telecom bills, 21% of the utility bills, 22% of the mortgage bills and 22% of the credit card bills in the U.S. Our goal is to distribute bills from over 100 billers by the end of fiscal 2000. To encourage billers to utilize our services, we anticipate funding a portion of some billers' set-up costs.</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620" w:right="3119"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Customer Care Staff. We have nearly 600 trained, experienced customer care and merchant services staff who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relationships with over 350 banks, brokerage houses, credit unions, Internet portals and financial services sites, we are able to distribute our services to whichever access and aggregation site the consumer prefers. Significant among these relationships are our agreements with:</w:t>
      </w:r>
    </w:p>
    <w:p>
      <w:pPr>
        <w:spacing w:after="0" w:line="159" w:lineRule="exact"/>
        <w:rPr>
          <w:sz w:val="20"/>
          <w:szCs w:val="20"/>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Quicken.com;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recently announced leading Internet portal.</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businesses and their customers. We have designed our services and products to take advantage of opportunities we perceive in light of current trends and our fundamental strategy. The key elements of our business strategy are to:</w:t>
      </w:r>
    </w:p>
    <w:p>
      <w:pPr>
        <w:spacing w:after="0" w:line="346" w:lineRule="exact"/>
        <w:rPr>
          <w:sz w:val="20"/>
          <w:szCs w:val="20"/>
          <w:color w:val="auto"/>
        </w:rPr>
      </w:pPr>
    </w:p>
    <w:p>
      <w:pPr>
        <w:ind w:left="620" w:right="3119"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adoption of electronic commerce services by consumers. We believe that consumers will move their financial transactions from traditional paper-based methods to electronic transactions if they have an easy-to-access, easy-to-use, secure, compelling and cost-effective method for receiving and paying their bills electronically. We intend to use the broad adoption of the Internet by consumers to encourage the use of our web-based electronic commerce services by our financial institution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partnering with Internet portals to offer our services to consumers on a free-trial basis. Initially, this strategy will result in foregone revenues, but we anticipate converting a majority of these new customers to fee-based services at the end of the trial period. As consumers continue to adopt electronic commerce services, financial institutions and billers will see greater efficiencies from providing electronic billing and payment services to their customers. Additionally, we believe that financial institutions and Internet portals that offer electronic banking will experience increased customer retention, have a superior marketing channel, and be able to offer enhanced customer service.</w:t>
      </w:r>
    </w:p>
    <w:p>
      <w:pPr>
        <w:spacing w:after="0" w:line="357"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 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PFM software, like Quicken, Microsoft Money and Managing Your Money and of business management software, like QuickBooks, we expand public access to, and awareness of, our services.</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345" w:lineRule="exact"/>
        <w:rPr>
          <w:sz w:val="20"/>
          <w:szCs w:val="20"/>
          <w:color w:val="auto"/>
        </w:rPr>
      </w:pPr>
    </w:p>
    <w:p>
      <w:pPr>
        <w:ind w:left="620" w:right="3119"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customer care and technical support. 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 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have finalized plans to establish a third operational center to house customer care and check printing and distribution functions.</w:t>
      </w:r>
    </w:p>
    <w:p>
      <w:pPr>
        <w:spacing w:after="0" w:line="352"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improve operational efficiency and effectiveness. We believe that as our business grows and the number of transactions we process increases, we will be able to take advantage of operating efficiencies associated with increased volumes, thereby reducing our costs. Additionally, we expect to derive further operational efficiency and effectiveness by increasing our electronic links with billers, enabling a larger percentage of our consumer transactions to be processed electronically.</w:t>
      </w:r>
    </w:p>
    <w:p>
      <w:pPr>
        <w:spacing w:after="0" w:line="347"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new forms of electronic commerce services. 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have arrangements with more than 350 financial institutions through which electronic payment services are provided to their customers. Some of the financial institutions we serve include: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Bank</w:t>
            </w:r>
          </w:p>
        </w:tc>
        <w:tc>
          <w:tcPr>
            <w:tcW w:w="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America</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KeyCorp</w:t>
            </w:r>
          </w:p>
        </w:tc>
      </w:tr>
      <w:tr>
        <w:trPr>
          <w:trHeight w:val="171"/>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Bank</w:t>
            </w:r>
          </w:p>
        </w:tc>
        <w:tc>
          <w:tcPr>
            <w:tcW w:w="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88"/>
              </w:rPr>
              <w:t>One</w:t>
            </w:r>
          </w:p>
        </w:tc>
        <w:tc>
          <w:tcPr>
            <w:tcW w:w="120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w w:val="97"/>
              </w:rPr>
              <w:t>Merrill Lynch &amp; Co.</w:t>
            </w:r>
          </w:p>
        </w:tc>
      </w:tr>
      <w:tr>
        <w:trPr>
          <w:trHeight w:val="171"/>
        </w:trPr>
        <w:tc>
          <w:tcPr>
            <w:tcW w:w="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88"/>
              </w:rPr>
              <w:t>- -</w:t>
            </w:r>
          </w:p>
        </w:tc>
        <w:tc>
          <w:tcPr>
            <w:tcW w:w="8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Charles</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Schwab &amp; Co.</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NationsBank</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Chase</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Manhattan Bank</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Wells Fargo</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First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Union</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U.S. Bancorp</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 Payment and Banking. Our bill payment services enable financial institution customers and direct consumer subscribers to pay bills electronically using a variety of devices such as PCs and touch-tone telephones. Bills paid by consumers using our bill payment services 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electronically make any payment from any checking account at any financial institution in the U.S. Recurring bills such as mortgages can be paid automatically and scheduled in advance, as specified by the consumer. As of March 31, 1999, we had nearly 3 million consumers using our bill payment and home banking services.</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PC and web-based account registers, matching cleared items with previously entered transactions.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Revenues are generated through contracts with individual financial institutions. We typically negotiate with the financial institution an implementation fee, a base monthly fee per customer account on the service provided, and in some cases, a variable per transaction fee which may decrease based on the volume of transactions.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33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such services and, in some cases, will share revenue derived from billers with the financial institutions and the Internet portals. In the near term, we will offer free 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full range of portfolio management services provides our clients with portfolio accounting, tax lot accounting,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pacing w:after="0" w:line="34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Revenues in our portfolio management services are generated through one- to three-year contracts which provide for monthly revenue on a portfolio basis. Revenue from our information services and software is typically generated through annual license agreements.</w:t>
      </w:r>
    </w:p>
    <w:p>
      <w:pPr>
        <w:spacing w:after="0" w:line="34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more than 1,000 portfolios.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ACH</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19"/>
          </w:cols>
          <w:pgMar w:left="240" w:top="287"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processing, reconciliation and regulatory compliance. In addition, we offer software consulting and remote processing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 We also receive revenues from project consulting services and remote transaction processing fees.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34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ACH origination and processing reconciliation, regulatory compliance and safe deposit box accounting. While we have no pending agreements to dispose of our remaining software businesses, we do receive offers for them from time to time. We could dispose of all or a portion of our remaining software businesses if we receive an acceptable offer which we determine is in our best interests.</w:t>
      </w:r>
    </w:p>
    <w:p>
      <w:pPr>
        <w:spacing w:after="0" w:line="34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ACH. The ACH network was developed in the 1970s to permit the electronic transfer of funds, curtailing the growth in the number of paper checks in circulation. The ACH network acts as the clearing facility for routing electronic funds transfer entries between financial institutions. All ACH transfers are handled in a standard format established through the National Automated Clearing House Association. More than 15,000 financial institutions participate in the ACH system. There are 31 Automated Clearinghouses,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7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developed the Paperless Entry Processing System Plus, or PEP+, the most widely used, comprehensive ACH processing system in the United States. PEP+ is an on-line, real-time system providing an operational interface for originating and receiving electronic payments through the ACH.</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Reconciliation. Our reconciliation products provide U.S.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5" w:lineRule="exact"/>
        <w:rPr>
          <w:sz w:val="20"/>
          <w:szCs w:val="20"/>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ATM transactions, ACH transfers and securities transactions.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Account Reconciliation Package, or ARP, is one of the most widely used account reconciliation systems in the U.S. banking industry. The ARP/Service Management System, or ARP/SMS, developed in 1995 to replace and augment the existing ARP package, is a fully integrated on-line and real time system that enables banks to immediately process their customer transactions to produce accurate, timely reconciliations while streamlining back-office processes. ARP/SMS also groups accounts across banks within bank holding companies and allows banks to streamline their operations by reconciling their intra-bank transactions.</w:t>
      </w:r>
    </w:p>
    <w:p>
      <w:pPr>
        <w:sectPr>
          <w:pgSz w:w="11900" w:h="16838" w:orient="portrait"/>
          <w:cols w:equalWidth="0" w:num="1">
            <w:col w:w="10219"/>
          </w:cols>
          <w:pgMar w:left="240" w:top="287" w:right="1440" w:bottom="1440" w:gutter="0" w:footer="0" w:header="0"/>
        </w:sectPr>
      </w:pP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19"/>
          </w:cols>
          <w:pgMar w:left="240" w:top="287"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Portions of the electronic commerce market are becoming increasingly competitive. We face significant competition in all of our customer markets. A number of banks have developed, and others may in the future develop, home banking services in-house. A number of relatively small companies, such as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announced its own agreements with financial institutions to offer on-line home banking and electronic billing and payment to consumers. We also compete for business bill payment customers with ACI and Deluxe Data, which provide ACH processing. We believe that our competitors, however, are a long way from being able to offer electronic commerce services comparable to the services we currently offer to our customers through multiple distribution channels.</w:t>
      </w:r>
    </w:p>
    <w:p>
      <w:pPr>
        <w:spacing w:after="0" w:line="33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such competition will bring to the industry may broaden the market and increase the percentage of financial transactions which are effected by electronic means.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Competition for portfolio services includes two main segments. We compete with providers of portfolio accounting software, including Advent Software, and PORTIA (a division of Thomson Financial). We also compete with service bureau providers such as Shaw Data (a SunGard Company) and FMC Service Bureau.</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 -- Competitive pressures we face may have a material adverse effect on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electronic commerce segment, we offer our services and related products to the nation's largest financial institutions directly through our sales force, and market to smaller institutions through strategic alliances with companies such as EDS, Fiserv, FiTech, Alltel and Gold Leaf. We currently offer substantially all of our services and related products only to the domestic marketplace.</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Recently, we announced our initiative to offer our electronic commerce services through Internet portals. We believe that these Internet portals will enhance and speed up the rate of adoption of electronic commerce services by consumers. Part of this strategy contemplates partnering with Internet portals to offer our services to consumers on a free-trial basis. Initially, this strategy will result in foregone revenue, but we anticipate 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such as Quicken, Microsoft Money and Managing Your Money.</w:t>
      </w:r>
    </w:p>
    <w:p>
      <w:pPr>
        <w:spacing w:after="0" w:line="35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6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partnerships enable us to offer services and related products to a larger customer base than can be reached through stand-alone marketing efforts. We seek distribution alliance partners who have maximum penetration and leading reputations for quality with our target customers. To date, we have entered into or are negotiating distribution alliances with several companies, including AT&amp;T, Alltel, EDS, Fiserv, FiTech, Five Paces, and Home Financial Network. We also have arrangements with MicroBank for RECON-PLUS for Windows. On October 29, 1997, we entered into a 10-year processing partnership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 For</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more detailed information concerning the Integrion partnership, please refer to our Form 8-K filed on November 12, 1997.</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of the ramifications of this strategy is that we do not, for the most part, have a direct relationship with the end-users of our products. See "Risk Factors -- We rely on third parties to distribute our electronic commerce services, which may not result in widespread adoption."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more than 575 employees, supports payment inquiry, customer service and technical support and interfaces with the merchant systems group to improve posting efficiencies. Representatives in our business customer care group are individually assigned to business customers in order to provide high level customer service and technical support. Our retail services customer care group provides various levels of support that depend upon the customer's requirements. This includes providing direct customer care on a private label basis as well as research and support.</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have finalized plans to establish a third operational center to house customer care, check printing and distribution functions. This center will be based in Phoenix, Arizona, and, when fully staffed, will house up to 800 associates focused on customer care services.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ACH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Such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 -- The transactions we process expose us to credit risks" and "Risk Factors -- Our business could become subject to increased government regulation, which could make our business more expensive to operate."</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ACH. The ACH is used by banks, corporations and governmental entities for electronic settlement of transactions, direct deposits of payroll and government benefits and payment of bills like mortgages, utility payments and loans. We use the ACH to execute some of our customers' payment instructions. Like other users of the ACH, we bear credit risk resulting from returned transactions caused by insufficient funds, stop payment orders, closed accounts, frozen accounts, unauthorized use, disputes, theft or fraud. See "Risk Factors -- The transactions we process expose us to credit risks" and "Risk Factors -- Our business could become subject to increased government regulation, which could make our business more expensive to operate."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8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Other Clearance Systems. While we presently utilize the two principal payment clearance systems, we intend to use other clearance systems such as ATM networks to provide balance inquiry and fund transfers functions, and other clearance systems that may develop in the future.</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Risk Mitigation. Our patented bill payment processing system (U.S. Letters Patent No. 5,383,113, issued on January 17, 1995)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such risks, which reserve was $1.6 million at April 30, 1999, and we have not incurred losses in excess of 0.76% of our revenues in any of the past five years. As further protection against losses due to transmission errors, we maintain errors and omissions insurance. See "Risk Factors -- The transactions we process expose us to credit risks" and "Risk Factors -- We may be unable to protect our proprietary technology, permitting competitors to duplicate our products and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59"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bi-synchronous communications to businesses.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a private X.25 network, a frame relay network or the Internet to our computing complex in Norcross, Georgia. Within this complex, there is a wide variety of application servers which capture transactions and route them to our back-end banking, billing and payment applications for processing. The back-end applications are run on either IBM mainframes, Tandems or Unix servers.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ACH and paper transactions to financial institutions. We have also developed a merchant information file consisting of over one million companies that allows accurate editing and initiation of payments to billers. These databases have been constructed over the past 15 years as a result of our transaction processing experience.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are currently migrating our customers to the new Genesis Platform from these three legacy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 -- We may experience breakdowns in our payment processing system that could damage customer relations and expose us to liability."</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600,000 of our nearly 3 million customers have been migrated to the Genesis Platform. Nonetheless, because of the magnitude of the project, and an aggressive schedule, no assurance can be given that the project will be completed on time or successfully. See "Risk Factors -- We may experience software defects and development delays, damaging customer relations, decreasing our potential profitability and exposing us to liability."</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 We may experience breakdowns in our payment processing system that could damage customer relations and expose us to liability."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PCs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April 30, 1999, our research and development group consisted of approximately 230 employees. Additionally, we use independent third party software development contractors as needed. We spent 19.4% of revenues during the six-month transition period ended June 30, 1996, 18.6% of revenues during the fiscal year ended June 30, 1997, 15.5% of revenues during the fiscal year ended June 30, 1998, and 9.2% of revenues during the nine months ended March 31, 1999 on research and development. These research and development expenses have been reduced for capitalized software development costs of $1.3 million in the six-month transition period ended June 30, 1996, none in the fiscal year ended June 30, 1997, $0.7 million in the fiscal year ended June 30, 1998 and $5.1 million in the nine months ended March 31, 1999. We anticipate that we will continue to commit substantial resources to research and development activities for the foreseeable future.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believe that we are not required to be licensed by the OCC, the Federal Reserve Board, or other federal or state agencies that regulate or monitor banks or other types of providers of electronic commerce services. The OCC,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such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such systems from banks. Further, the Federal Reserve rules provide that we can only access the Federal Reserve's ACH through a bank. If the Federal Reserve rules were to change to further restrict our access to the ACH or limit our ability to provide ACH transaction processing services, our business could be materially adversely affected.</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conducting various aspects of our business, we are subject to laws and regulations relating to commercial transactions generally, such as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Such limitations on the consumer's liability may result in liability to us.</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such laws, rules, and regulations could be imposed on our business and industry and could have a material adverse effect on our business, operating results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As of April 30, 1999, we employed 1,794 full-time employees, including 340 in systems and development (including software development), 575 in customer care, and 200 in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480" w:type="dxa"/>
            <w:vAlign w:val="bottom"/>
          </w:tcPr>
          <w:p>
            <w:pPr>
              <w:ind w:left="19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w w:val="97"/>
              </w:rPr>
              <w:t>Vice Chairman, Corporate Development and 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George R. Manser.............................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68</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Eugene F. Quinn..............................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 and General Counsel</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Lynn D. Busing...............................</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Account Management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James S. Douglass............................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Mergers and</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Acquisitions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President, Software Division and Executive Vice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President, Sales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Ravi Ganesan.................................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 Technology</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Matthew S. Lewis.............................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Electronic Commerce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Product Management and Marketing</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John J. Limbert..............................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Customer Operations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Chief Accounting Officer and</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Assistant Secretary</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Curtis A. Loveland...........................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Keven M. Madsen..............................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Treasurer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Randal A. McCoy..............................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Electronic Commerce</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Terrie O'Hanlon..............................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Communications and Media</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Relations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Stephen Olsen................................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and Chief Information</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Harley J. Ostis..............................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Human Resources</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General Manager,</w:t>
            </w:r>
          </w:p>
        </w:tc>
      </w:tr>
      <w:tr>
        <w:trPr>
          <w:trHeight w:val="171"/>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5"/>
                <w:szCs w:val="15"/>
                <w:color w:val="auto"/>
              </w:rPr>
              <w:t>Investment Services Division</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Glen Sarvady.................................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48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Financial Planning and Analysis</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J. Kight, our founder, has served as Chairman and Chief Executive Officer since 1981. He also serves as Chairman and Chief Executive Officer of CheckFree Corporation and as President of CheckFree Investment Corporation and CheckFree Management Corporation. From 1997 to 1999, Mr. Kight served as President of CheckFree Holdings Corporation and, from 1981 to 1999, he served as President of CheckFree Corporation. Mr. Kight is a Director of Metatec Corporation, a publicly-held company that distributes information utilizing CD-ROM technology.</w:t>
      </w:r>
    </w:p>
    <w:p>
      <w:pPr>
        <w:spacing w:after="0" w:line="177"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Mark A. Johnson has served as Vice Chairman, Corporate Development since May 1997. He has been a Director since 1983. Mr. Johnson also serves as Executive Vice President of CheckFree Corporation, CheckFree Investment Corporation and CheckFree Management Corporation. Mr. Johnson served as Executive Vice President, Business Development from 1993 to 1997, as Treasurer from 1993 to 1996, as Senior Vice President from 1991 to 1993, and as a Vice President from 1982 to 1991. Mr. Johnson is a Director of Claris Corporation (formerly SQL Financials International, Inc.), a publicly-held company that develops, markets and supports client/server financial software applications.</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Senior Executive Vice President.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George R. Manser has served as a Director since 1983. In 1998, Mr. Manser became the Director of Corporate Finance for Uniglobe Travel (USA), L.L.C., which franchises travel agencies throughout the United States.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 NASD broker-dealer.</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has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Jeffrey M. Wilkins has served as a Director since 1990. Since August 1989, Mr. Wilkins has served as Chairman and Chief Executive Officer of Metatec Corporation, a publicly-held company which distributes information utilizing CD-ROM technology.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F. Sinisgalli has served as President since May 1999. He also has served as President of CheckFree Corporation since May 1999 and as Chief Operating Officer of CheckFree Corporation since November 1996. From 1994 to 1996, Mr. Sinisgalli was Executive Vice President and Chief Financial Officer of Dun &amp; Bradstreet Software. From 1993 to 1994, Mr. Sinisgalli was Senior Vice President -- Group Finance of Dun &amp; Bradstreet Corporation. From 1990 to 1992, Mr. Sinisgalli held various positions with Nielson Media Research, a division of Dun &amp; Bradstreet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Allen L. Shulman has served as Executive Vice President and Chief Financial Officer since August 1998 and as General Counsel since May 1997. From May 1997 to August 1998, he also served as our Senior Vice President. Mr. Shulman also serves as Executive Vice President and Treasurer of CheckFree Management Corporation. Immediately prior to joining us, Mr. Shulman was the managing attorney for the Atlanta office of Horvath &amp; Lieber, P.C. From 1983 to 1996, Mr. Shulman was General Counsel and Chief Financial Officer for United Refrigerated Services, Inc.</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Lynn D. Busing has served as Executive Vice President, Account Management since February of 1996. Mr. Busing was Senior Vice President of Servantis Systems Holdings, Inc. from 1993 to 1996. From 1987 to 1993, Mr. Busing held various management positions with Digital Equipment Corporation.</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James S. Douglass has served as Executive Vice President, Mergers and Acquisitions since August 1998. From September 1996 to August 1998, he served as our Executive Vice President and Chief Financial Officer. From 1994 to 1996, Mr. Douglass was Vice President -- Corporate Controller and Chief Accounting Officer for Medaphis Corporation. From 1988 to 1994, Mr. Douglass served in various capacities with KPMG Peat Marwick LLP, finally as senior manager.</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Sean E. Feeney has served as President, Software Division and Executive Vice President, Sales since May 1998. From February 1997 to May 1998, he served as served as our Executive Vice President, Software Solutions. During 1996, Mr. Feeney served as Vice President, North America Channels and General Manager for Dun &amp; Bradstreet Software. From 1990 to 1995, Mr. Feeney held various sales positions with Dun &amp; Bradstreet.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Ravi Ganesan has served as Executive Vice President and Chief Technology Officer since January 1997. From 1990 to 1997, Mr. Ganesan held various positions with Bell Atlantic, including Vice President, Distributed Operations &amp; Information Technology from 1995 to 1997.</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Matthew S. Lewis has served as Senior Vice President, Electronic Commerce Product Management and Marketing since January 1998. From March 1996 to December 1997, Mr. Lewis served as Vice President, Corporate Strategy and Communications for CheckFree Corporation. From 1988 to 1996,</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839"/>
        <w:spacing w:after="0" w:line="239" w:lineRule="auto"/>
        <w:rPr>
          <w:sz w:val="20"/>
          <w:szCs w:val="20"/>
          <w:color w:val="auto"/>
        </w:rPr>
      </w:pPr>
      <w:r>
        <w:rPr>
          <w:rFonts w:ascii="Courier New" w:cs="Courier New" w:eastAsia="Courier New" w:hAnsi="Courier New"/>
          <w:sz w:val="15"/>
          <w:szCs w:val="15"/>
          <w:color w:val="auto"/>
        </w:rPr>
        <w:t>Mr. Lewis held various positions at BankSouth Corporation including Vice President, Corporate Affairs, Director of Compliance, and Director of Communications and Manager of Public Relations.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John J. Limbert has served as Executive Vice President, Customer Operations since May 1998. From 1977 to 1997, Mr. Limbert was employed at Banc One Corporation in various capacities, most recently as the head of its Eastern Region Consumer Banks.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A. Luoma, Jr. has served as Vice President, Chief Accounting Officer and Assistant Secretary since April 1997.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Curtis A. Loveland has served as Secretary since 1983. Mr. Loveland has been associated with the law firm of Porter, Wright, Morris &amp; Arthur LLP since 1973 and a partner since 1979.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Keven M. Madsen has served as Vice President and Treasurer since July 1998. From 1996 to 1998, Mr. Madsen served as 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Randal A. McCoy has served as Senior Vice President, Electronic Commerce Development since February 1998. From May 1997 to February 1998, Mr. McCoy served as Vice President, Genesis Platform Development of CheckFree Corporation. From 1990 to 1997, Mr. McCoy was Vice President, Corporate Banking Development at Servantis Systems, Inc. Prior to that, Mr. McCoy worked as a large systems architect at BellSouth Corporation.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Terrie O'Hanlon has served as Senior Vice President, Communications and Media Relations since June 1998.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Stephen Olsen has served as Senior Vice President and Chief Information Officer since March 1997. From 1996 to 1997, Mr. Olsen served as Vice President, Chief Information Officer of Geac Computer Corporation. From 1990 to 1996, Mr. Olsen served as Vice President, Chief Information Officer of Dun &amp; Bradstreet Software.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Harley J. Ostis has served as Senior Vice President, Human Resources since January 1999. From 1981 to 1999, Mr. Ostis held various positions with Harris Corporation, most recently as Vice President, Human Resources and Quality for Lanier Worldwide, a division of Harris Corporation.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Francis X. Polashock has served as Executive Vice President and General Manager, Investment Services Division since May 1997. From 1981 to 1993, Mr. Polashock held several management positions within Dun &amp; Bradstreet Corporation, most recently as General Manager of Asia Pacific and Latin America. From 1993 to May 1997 Mr. Polashock was involved with several entrepreneurial ventures targeted at the Chinese marketplace.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Glen Sarvady has served as Vice President, Financial Planning and Analysis since August 1998. From 1997 to 1998, Mr. Sarvady served as Vice President, Business Development of CheckFree Corporation. From 1988 to 1997, Mr. Sarvady held a variety of financial management positions with Dun &amp; Bradstreet Corporation, most recently as Vice President, Finance of Dun &amp; Bradstreet Software.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52" w:name="page53"/>
    <w:bookmarkEnd w:id="52"/>
    <w:p>
      <w:pPr>
        <w:ind w:left="269"/>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9" w:right="3579" w:firstLine="444"/>
        <w:spacing w:after="0" w:line="238" w:lineRule="auto"/>
        <w:rPr>
          <w:sz w:val="20"/>
          <w:szCs w:val="20"/>
          <w:color w:val="auto"/>
        </w:rPr>
      </w:pPr>
      <w:r>
        <w:rPr>
          <w:rFonts w:ascii="Courier New" w:cs="Courier New" w:eastAsia="Courier New" w:hAnsi="Courier New"/>
          <w:sz w:val="15"/>
          <w:szCs w:val="15"/>
          <w:color w:val="auto"/>
        </w:rPr>
        <w:t>The table below presents the following information about the number of shares of our common stock that is owned by each selling stockholder:</w:t>
      </w:r>
    </w:p>
    <w:p>
      <w:pPr>
        <w:spacing w:after="0" w:line="175" w:lineRule="exact"/>
        <w:rPr>
          <w:sz w:val="20"/>
          <w:szCs w:val="20"/>
          <w:color w:val="auto"/>
        </w:rPr>
      </w:pPr>
    </w:p>
    <w:p>
      <w:pPr>
        <w:ind w:left="629" w:right="3119" w:hanging="185"/>
        <w:spacing w:after="0" w:line="239" w:lineRule="auto"/>
        <w:tabs>
          <w:tab w:leader="none" w:pos="6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owns as of the date of the prospectus, including all shares beneficially owned and all options to purchase shares of common stock held, whether or not deemed to be beneficially owned;</w:t>
      </w:r>
    </w:p>
    <w:p>
      <w:pPr>
        <w:spacing w:after="0" w:line="176"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outstanding shares of our common stock that each selling stockholder beneficially owns prior to the offering;</w:t>
      </w:r>
    </w:p>
    <w:p>
      <w:pPr>
        <w:spacing w:after="0" w:line="174" w:lineRule="exact"/>
        <w:rPr>
          <w:rFonts w:ascii="Courier New" w:cs="Courier New" w:eastAsia="Courier New" w:hAnsi="Courier New"/>
          <w:sz w:val="15"/>
          <w:szCs w:val="15"/>
          <w:color w:val="auto"/>
        </w:rPr>
      </w:pPr>
    </w:p>
    <w:p>
      <w:pPr>
        <w:ind w:left="629" w:right="3119" w:hanging="185"/>
        <w:spacing w:after="0" w:line="238" w:lineRule="auto"/>
        <w:tabs>
          <w:tab w:leader="none" w:pos="6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is offering under this prospectus;</w:t>
      </w:r>
    </w:p>
    <w:p>
      <w:pPr>
        <w:spacing w:after="0" w:line="174" w:lineRule="exact"/>
        <w:rPr>
          <w:rFonts w:ascii="Courier New" w:cs="Courier New" w:eastAsia="Courier New" w:hAnsi="Courier New"/>
          <w:sz w:val="15"/>
          <w:szCs w:val="15"/>
          <w:color w:val="auto"/>
        </w:rPr>
      </w:pPr>
    </w:p>
    <w:p>
      <w:pPr>
        <w:ind w:left="629" w:right="3299" w:hanging="185"/>
        <w:spacing w:after="0"/>
        <w:tabs>
          <w:tab w:leader="none" w:pos="6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that each selling stockholder will own after the completion of this offering, including all shares that will be beneficially owned and all options to purchase shares of common stock that will be held whether or not deemed to be beneficially owned, after the completion of this offering; and</w:t>
      </w:r>
    </w:p>
    <w:p>
      <w:pPr>
        <w:spacing w:after="0" w:line="174" w:lineRule="exact"/>
        <w:rPr>
          <w:rFonts w:ascii="Courier New" w:cs="Courier New" w:eastAsia="Courier New" w:hAnsi="Courier New"/>
          <w:sz w:val="15"/>
          <w:szCs w:val="15"/>
          <w:color w:val="auto"/>
        </w:rPr>
      </w:pPr>
    </w:p>
    <w:p>
      <w:pPr>
        <w:ind w:left="629" w:right="3399" w:hanging="185"/>
        <w:spacing w:after="0" w:line="239" w:lineRule="auto"/>
        <w:tabs>
          <w:tab w:leader="none" w:pos="6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outstanding shares of our common stock that each selling stockholder will beneficially own after the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SHARES OWNED AFTER</w:t>
            </w: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SHARES OWNED PRIOR TO</w:t>
            </w:r>
          </w:p>
        </w:tc>
        <w:tc>
          <w:tcPr>
            <w:tcW w:w="1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THIS</w:t>
            </w:r>
          </w:p>
        </w:tc>
        <w:tc>
          <w:tcPr>
            <w:tcW w:w="8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THIS OFFERING(1)</w:t>
            </w:r>
          </w:p>
        </w:tc>
        <w:tc>
          <w:tcPr>
            <w:tcW w:w="1520" w:type="dxa"/>
            <w:vAlign w:val="bottom"/>
          </w:tcPr>
          <w:p>
            <w:pPr>
              <w:spacing w:after="0"/>
              <w:rPr>
                <w:sz w:val="14"/>
                <w:szCs w:val="14"/>
                <w:color w:val="auto"/>
              </w:rPr>
            </w:pPr>
          </w:p>
        </w:tc>
        <w:tc>
          <w:tcPr>
            <w:tcW w:w="190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OFFERING(1)</w:t>
            </w:r>
          </w:p>
        </w:tc>
      </w:tr>
      <w:tr>
        <w:trPr>
          <w:trHeight w:val="171"/>
        </w:trPr>
        <w:tc>
          <w:tcPr>
            <w:tcW w:w="3980" w:type="dxa"/>
            <w:vAlign w:val="bottom"/>
          </w:tcPr>
          <w:p>
            <w:pPr>
              <w:spacing w:after="0"/>
              <w:rPr>
                <w:sz w:val="14"/>
                <w:szCs w:val="14"/>
                <w:color w:val="auto"/>
              </w:rPr>
            </w:pPr>
          </w:p>
        </w:tc>
        <w:tc>
          <w:tcPr>
            <w:tcW w:w="22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SELLING STOCKHOLDERS</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PERCENT</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SHARES OFFERED</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Peter J. Kight(2)...........................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7,224,017</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13.0%</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657,122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6,566,895</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Mark A. Johnson(3)..........................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1,609,691</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1,539,691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Peter F. Sinisgalli(4)......................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312,814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287,814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Ravi Ganesan(5).............................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260,874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47,789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213,085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KeyCorp N.A. (6)............................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Comerica Networking, Inc.(7)................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Fleet Financial Group(8)....................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150,000</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James S. Douglass(9)........................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148,479</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42,504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105,975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Lynn D. Busing(10)..........................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146,681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9,337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137,344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Sean E. Feeney(11)..........................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135,434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120,434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Frank X. Polashock(12)......................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132,727</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2,727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Allen L. Shulman(13)........................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106,921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11,921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95,000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Randal A. McCoy(14).........................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98,156</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94,656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Stephen Olsen(15)...........................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92,831</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85,331</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Eugene F. Quinn(16).........................</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48,785</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28,785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Curtis A. Loveland(17)......................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35,614</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25,614</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Gary A. Luoma, Jr.(18)......................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14,896</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12,296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579" w:hanging="266"/>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beneficial ownership of less than 1% of the our outstanding common stock.</w:t>
      </w:r>
    </w:p>
    <w:p>
      <w:pPr>
        <w:spacing w:after="0" w:line="346" w:lineRule="exact"/>
        <w:rPr>
          <w:sz w:val="20"/>
          <w:szCs w:val="20"/>
          <w:color w:val="auto"/>
        </w:rPr>
      </w:pPr>
    </w:p>
    <w:p>
      <w:pPr>
        <w:ind w:left="449" w:right="3119" w:hanging="360"/>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numbers of shares listed in these columns include all shares beneficially owned and all options to purchase shares held, whether or not deemed to be beneficially owned, by each selling stockholder. The ownership percentages listed in these columns include only shares beneficially owned by the listed selling stockholder. Beneficial ownership is determined in accordance with the rules of the Securities and Exchange Commission. In computing the percentage of shares beneficially owned by a selling stockholder, shares of common stock subject to options held by that selling stockholder that are exercisable now or within 60 days after June 11, 1999 are deemed outstanding, although those shares are not deemed outstanding for the purpose of computing the percentage ownership of any other person. The ownership percentages are calculated assuming that (a) 51,727,613 shares of common stock were outstanding immediately prior to the offering and (b) 54,779,223 shares of common stock will be outstanding after the offering.</w:t>
      </w:r>
    </w:p>
    <w:p>
      <w:pPr>
        <w:sectPr>
          <w:pgSz w:w="11900" w:h="16838" w:orient="portrait"/>
          <w:cols w:equalWidth="0" w:num="1">
            <w:col w:w="10228"/>
          </w:cols>
          <w:pgMar w:left="231" w:top="287" w:right="1440" w:bottom="1440" w:gutter="0" w:footer="0" w:header="0"/>
        </w:sectPr>
      </w:pPr>
    </w:p>
    <w:p>
      <w:pPr>
        <w:spacing w:after="0" w:line="353"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28"/>
          </w:cols>
          <w:pgMar w:left="231" w:top="287" w:right="1440" w:bottom="1440" w:gutter="0" w:footer="0" w:header="0"/>
          <w:type w:val="continuous"/>
        </w:sectPr>
      </w:pPr>
    </w:p>
    <w:bookmarkStart w:id="53" w:name="page54"/>
    <w:bookmarkEnd w:id="53"/>
    <w:p>
      <w:pPr>
        <w:ind w:left="269"/>
        <w:spacing w:after="0"/>
        <w:rPr>
          <w:sz w:val="20"/>
          <w:szCs w:val="20"/>
          <w:color w:val="auto"/>
        </w:rPr>
      </w:pPr>
      <w:r>
        <w:rPr>
          <w:rFonts w:ascii="Courier New" w:cs="Courier New" w:eastAsia="Courier New" w:hAnsi="Courier New"/>
          <w:sz w:val="15"/>
          <w:szCs w:val="15"/>
          <w:color w:val="auto"/>
        </w:rPr>
        <w:t>51</w:t>
      </w:r>
    </w:p>
    <w:p>
      <w:pPr>
        <w:spacing w:after="0" w:line="345" w:lineRule="exact"/>
        <w:rPr>
          <w:sz w:val="20"/>
          <w:szCs w:val="20"/>
          <w:color w:val="auto"/>
        </w:rPr>
      </w:pPr>
    </w:p>
    <w:p>
      <w:pPr>
        <w:ind w:left="449" w:right="31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Kight holds 6,196,877 shares of common stock, options exercisable within 60 days after June 11, 1999 for 626,741 shares of common stock and unvested options to purchase 400,399 shares of common stock. After giving effect to the offering, Mr. Kight will hold 5,539,755 shares of common stock, options exercisable within 60 days of June 11, 1999 for 626,741 shares of common stock and unvested options to purchase 400,399 shares of common stock.</w:t>
      </w:r>
    </w:p>
    <w:p>
      <w:pPr>
        <w:spacing w:after="0" w:line="346" w:lineRule="exact"/>
        <w:rPr>
          <w:rFonts w:ascii="Courier New" w:cs="Courier New" w:eastAsia="Courier New" w:hAnsi="Courier New"/>
          <w:sz w:val="15"/>
          <w:szCs w:val="15"/>
          <w:color w:val="auto"/>
        </w:rPr>
      </w:pPr>
    </w:p>
    <w:p>
      <w:pPr>
        <w:ind w:left="449" w:right="31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Johnson holds 1,527,844 shares of common stock, options exercisable within 60 days after June 11, 1999 for 29,495 shares of common stock and unvested options to purchase 52,352 shares of common stock. After giving effect to the offering, Mr. Johnson will hold 1,457,844 shares of common stock, options exercisable within 60 days of June 11, 1999 for 29,495 shares of common stock and unvested options to purchase 52,352 shares of common stock.</w:t>
      </w:r>
    </w:p>
    <w:p>
      <w:pPr>
        <w:spacing w:after="0" w:line="346" w:lineRule="exact"/>
        <w:rPr>
          <w:rFonts w:ascii="Courier New" w:cs="Courier New" w:eastAsia="Courier New" w:hAnsi="Courier New"/>
          <w:sz w:val="15"/>
          <w:szCs w:val="15"/>
          <w:color w:val="auto"/>
        </w:rPr>
      </w:pPr>
    </w:p>
    <w:p>
      <w:pPr>
        <w:ind w:left="449" w:right="31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Sinisgalli holds 4,441 shares of common stock, options exercisable within 60 days after June 11, 1999 for 88,249 shares of common stock and unvested options to purchase 220,124 shares of common stock. After giving effect to the offering, Mr. Sinisgalli will hold 4,441 shares of common stock, options exercisable within 60 days of June 11, 1999 for 63,249 shares of common stock and unvested options to purchase 220,124 shares of common stock.</w:t>
      </w:r>
    </w:p>
    <w:p>
      <w:pPr>
        <w:spacing w:after="0" w:line="346" w:lineRule="exact"/>
        <w:rPr>
          <w:rFonts w:ascii="Courier New" w:cs="Courier New" w:eastAsia="Courier New" w:hAnsi="Courier New"/>
          <w:sz w:val="15"/>
          <w:szCs w:val="15"/>
          <w:color w:val="auto"/>
        </w:rPr>
      </w:pPr>
    </w:p>
    <w:p>
      <w:pPr>
        <w:ind w:left="449" w:right="3119" w:hanging="360"/>
        <w:spacing w:after="0" w:line="261" w:lineRule="auto"/>
        <w:tabs>
          <w:tab w:leader="none" w:pos="44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Ganesan holds 1,620 shares of common stock and options exercisable within 60 days after June 11, 1999 for 46,169 shares of common stock and unvested options to purchase 213,085 shares of common stock. After giving effect to the offering, Mr. Ganesan will hold unvested options to purchase 213,085 shares of common stock.</w:t>
      </w:r>
    </w:p>
    <w:p>
      <w:pPr>
        <w:spacing w:after="0" w:line="161" w:lineRule="exact"/>
        <w:rPr>
          <w:rFonts w:ascii="Courier New" w:cs="Courier New" w:eastAsia="Courier New" w:hAnsi="Courier New"/>
          <w:sz w:val="14"/>
          <w:szCs w:val="14"/>
          <w:color w:val="auto"/>
        </w:rPr>
      </w:pPr>
    </w:p>
    <w:p>
      <w:pPr>
        <w:ind w:left="449" w:right="32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KeyCorp N.A., which is a member of Integrion Financial Network, L.L.C., one of our strategic partners, holds exercisable warrants to purchase 150,000 shares of common stock. After giving effect to the offering, KeyCorp N.A. will not hold any shares of common stock or warrants to purchase shares of common stock.</w:t>
      </w:r>
    </w:p>
    <w:p>
      <w:pPr>
        <w:spacing w:after="0" w:line="174" w:lineRule="exact"/>
        <w:rPr>
          <w:rFonts w:ascii="Courier New" w:cs="Courier New" w:eastAsia="Courier New" w:hAnsi="Courier New"/>
          <w:sz w:val="15"/>
          <w:szCs w:val="15"/>
          <w:color w:val="auto"/>
        </w:rPr>
      </w:pPr>
    </w:p>
    <w:p>
      <w:pPr>
        <w:ind w:left="449" w:right="31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Comerica Networking, Inc., which is a member of Integrion Financial Network, L.L.C., one of our strategic partners, holds exercisable warrants to purchase 150,000 shares of our common stock. After giving effect to the offering, Comerica Networking, Inc. will not hold any shares of common stock or warrants to purchase shares of common stock.</w:t>
      </w:r>
    </w:p>
    <w:p>
      <w:pPr>
        <w:spacing w:after="0" w:line="345" w:lineRule="exact"/>
        <w:rPr>
          <w:rFonts w:ascii="Courier New" w:cs="Courier New" w:eastAsia="Courier New" w:hAnsi="Courier New"/>
          <w:sz w:val="15"/>
          <w:szCs w:val="15"/>
          <w:color w:val="auto"/>
        </w:rPr>
      </w:pPr>
    </w:p>
    <w:p>
      <w:pPr>
        <w:ind w:left="449" w:right="321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Fleet Financial Group, which is a member of Integrion Financial Network, L.L.C., one of our strategic partners, holds exercisable warrants to purchase 150,000 shares of our common stock. After giving effect to the offering, Fleet Financial Group will not hold any shares of common stock or warrants to purchase shares of common stock.</w:t>
      </w:r>
    </w:p>
    <w:p>
      <w:pPr>
        <w:spacing w:after="0" w:line="345" w:lineRule="exact"/>
        <w:rPr>
          <w:rFonts w:ascii="Courier New" w:cs="Courier New" w:eastAsia="Courier New" w:hAnsi="Courier New"/>
          <w:sz w:val="15"/>
          <w:szCs w:val="15"/>
          <w:color w:val="auto"/>
        </w:rPr>
      </w:pPr>
    </w:p>
    <w:p>
      <w:pPr>
        <w:ind w:left="449" w:right="3299" w:hanging="360"/>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Douglass holds 723 shares of common stock, options exercisable within 60 days after June 11, 1999 for 42,504 shares of common stock and unvested options to purchase 105,252 shares of common stock. After giving effect to the offering, Mr. Douglass will hold 723 shares of common stock and unvested options to purchase 105,252 shares of common stock.</w:t>
      </w:r>
    </w:p>
    <w:p>
      <w:pPr>
        <w:spacing w:after="0" w:line="34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Busing holds 22,827 shares of common stock, options exercisable within 60 days after June 11, 1999 for 29,337 shares of common stock and unvested options to purchase 94,517 shares of common stock. After giving effect to the offering, Mr. Busing will hold 22,827 shares of common stock, options exercisable within 60 days of June 11, 1999 for 20,000 shares of common stock and unvested options to purchase 94,517 shares of common stock.</w:t>
      </w:r>
    </w:p>
    <w:p>
      <w:pPr>
        <w:spacing w:after="0" w:line="346"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Feeney holds 1,112 shares of common stock, options exercisable within 60 days after June 11, 1999 for 26,881 shares of common stock and unvested options to purchase 107,441 shares of common stock. After giving effect to the offering, Mr. Feeney will hold 1,112 shares of common stock, options exercisable within 60 days of June 11, 1999 for 11,881 shares of common stock and unvested options to purchase 107,441 shares of common stock.</w:t>
      </w:r>
    </w:p>
    <w:p>
      <w:pPr>
        <w:spacing w:after="0" w:line="346"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Polashock holds 2,727 shares of common stock and unvested options to purchased 130,000 shares of common stock. After giving effect to the offering, Mr. Polashock will hold unvested options to purchase 130,000 shares of common stock.</w:t>
      </w:r>
    </w:p>
    <w:p>
      <w:pPr>
        <w:sectPr>
          <w:pgSz w:w="11900" w:h="16838" w:orient="portrait"/>
          <w:cols w:equalWidth="0" w:num="1">
            <w:col w:w="10228"/>
          </w:cols>
          <w:pgMar w:left="231" w:top="287" w:right="1440" w:bottom="477" w:gutter="0" w:footer="0" w:header="0"/>
        </w:sectPr>
      </w:pP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28"/>
          </w:cols>
          <w:pgMar w:left="231" w:top="287" w:right="1440" w:bottom="477" w:gutter="0" w:footer="0" w:header="0"/>
          <w:type w:val="continuous"/>
        </w:sectPr>
      </w:pPr>
    </w:p>
    <w:bookmarkStart w:id="54" w:name="page55"/>
    <w:bookmarkEnd w:id="54"/>
    <w:p>
      <w:pPr>
        <w:ind w:left="269"/>
        <w:spacing w:after="0"/>
        <w:rPr>
          <w:sz w:val="20"/>
          <w:szCs w:val="20"/>
          <w:color w:val="auto"/>
        </w:rPr>
      </w:pPr>
      <w:r>
        <w:rPr>
          <w:rFonts w:ascii="Courier New" w:cs="Courier New" w:eastAsia="Courier New" w:hAnsi="Courier New"/>
          <w:sz w:val="15"/>
          <w:szCs w:val="15"/>
          <w:color w:val="auto"/>
        </w:rPr>
        <w:t>52</w:t>
      </w:r>
    </w:p>
    <w:p>
      <w:pPr>
        <w:spacing w:after="0" w:line="345" w:lineRule="exact"/>
        <w:rPr>
          <w:sz w:val="20"/>
          <w:szCs w:val="20"/>
          <w:color w:val="auto"/>
        </w:rPr>
      </w:pPr>
    </w:p>
    <w:p>
      <w:pPr>
        <w:ind w:left="449" w:right="3299" w:hanging="449"/>
        <w:spacing w:after="0" w:line="261" w:lineRule="auto"/>
        <w:tabs>
          <w:tab w:leader="none" w:pos="44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giving effect to the offering, Mr. Shulman holds 1,921 shares of common stock, options exercisable within 60 days after June 11, 1999 for 10,000 shares of common stock and unvested options to purchase 95,000 shares of common stock. After giving effect to the offering, Mr. Shulman will hold unvested options to purchase 95,000 shares of common stock.</w:t>
      </w:r>
    </w:p>
    <w:p>
      <w:pPr>
        <w:spacing w:after="0" w:line="332" w:lineRule="exact"/>
        <w:rPr>
          <w:rFonts w:ascii="Courier New" w:cs="Courier New" w:eastAsia="Courier New" w:hAnsi="Courier New"/>
          <w:sz w:val="14"/>
          <w:szCs w:val="14"/>
          <w:color w:val="auto"/>
        </w:rPr>
      </w:pPr>
    </w:p>
    <w:p>
      <w:pPr>
        <w:ind w:left="449" w:right="311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McCoy holds 2,027 shares of common stock, options exercisable within 60 days after June 11, 1999 for 6,429 shares of common stock and unvested options to purchase 89,700 shares of common stock. After giving effect to the offering, Mr. McCoy will hold 2,027 shares of common stock, options exercisable within 60 days of June 11, 1999 for 2,929 shares of common stock and unvested options to purchase 89,700 shares of common stock.</w:t>
      </w:r>
    </w:p>
    <w:p>
      <w:pPr>
        <w:spacing w:after="0" w:line="34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Olsen holds 246 shares of common stock, options exercisable within 60 days after June 11, 1999 for 10,890 shares of common stock and unvested options to purchase 81,695 shares of common stock. After giving effect to the offering, Mr. Olsen will hold 246 shares of common stock, options exercisable within 60 days of June 11, 1999 for 3,390 shares of common stock and unvested options to purchase 81,695 shares of common stock.</w:t>
      </w:r>
    </w:p>
    <w:p>
      <w:pPr>
        <w:spacing w:after="0" w:line="34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Quinn holds 9,000 shares of common stock, options exercisable within 60 days after June 11, 1999 for 26,523 shares of common stock and unvested options to purchase 13,262 shares of common stock. After giving effect to the offering, Mr. Quinn will hold 4,000 shares of common stock, options exercisable within 60 days of June 11, 1999 for 11,523 shares of common stock and unvested options to purchase 13,262 shares of common stock.</w:t>
      </w:r>
    </w:p>
    <w:p>
      <w:pPr>
        <w:spacing w:after="0" w:line="34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Loveland holds 18,307 shares of common stock and options exercisable within 60 days after June 11, 1999 for 15,307 shares of common stock and unvested options to purchase 2,000 shares of common stock. After giving effect to the offering, Mr. Loveland will hold 8,307 shares of common stock and options exercisable within 60 days of June 11, 1999 for 15,307 shares of common stock and unvested options to purchase 2,000 shares of common stock.</w:t>
      </w:r>
    </w:p>
    <w:p>
      <w:pPr>
        <w:spacing w:after="0" w:line="34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giving effect to the offering, Mr. Luoma holds 574 shares of common stock, options exercisable within 60 days after June 11, 1999 for 2,600 shares of common stock and unvested options to purchase 11,722 shares of common stock. After giving effect to the offering, Mr. Luoma will hold 574 shares of common stock and unvested options to purchase 11,722 shares of common stock.</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8"/>
          </w:cols>
          <w:pgMar w:left="231" w:top="287" w:right="1440" w:bottom="1440" w:gutter="0" w:footer="0" w:header="0"/>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UNDERWRITING</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Merrill Lynch, Pierce, Fenner &amp; Smith Incorporated, Deutsche Bank Securities Inc., Hambrecht &amp; Quist LLC, and U.S. Bancorp Piper Jaffray Inc. are acting as representatives of each of the underwriters named below. Subject to the terms and conditions set forth in an underwriting agreement among us, the selling stockholders and the underwriters, we and the selling stockholders have agreed to sell to the underwriters, and each of the underwriters severally and not jointly has agreed to purchase from us and the selling stockholders, the number of shares of our common stock set forth opposite its name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ind w:left="9"/>
        <w:spacing w:after="0"/>
        <w:tabs>
          <w:tab w:leader="none" w:pos="5569" w:val="left"/>
        </w:tabs>
        <w:rPr>
          <w:sz w:val="20"/>
          <w:szCs w:val="20"/>
          <w:color w:val="auto"/>
        </w:rPr>
      </w:pPr>
      <w:r>
        <w:rPr>
          <w:rFonts w:ascii="Courier New" w:cs="Courier New" w:eastAsia="Courier New" w:hAnsi="Courier New"/>
          <w:sz w:val="15"/>
          <w:szCs w:val="15"/>
          <w:color w:val="auto"/>
        </w:rPr>
        <w:t>UNDERWRITER</w:t>
      </w:r>
      <w:r>
        <w:rPr>
          <w:sz w:val="20"/>
          <w:szCs w:val="20"/>
          <w:color w:val="auto"/>
        </w:rPr>
        <w:tab/>
      </w:r>
      <w:r>
        <w:rPr>
          <w:rFonts w:ascii="Courier New" w:cs="Courier New" w:eastAsia="Courier New" w:hAnsi="Courier New"/>
          <w:sz w:val="15"/>
          <w:szCs w:val="15"/>
          <w:color w:val="auto"/>
        </w:rPr>
        <w:t>SHARES</w:t>
      </w:r>
    </w:p>
    <w:p>
      <w:pPr>
        <w:spacing w:after="0" w:line="1" w:lineRule="exact"/>
        <w:rPr>
          <w:sz w:val="20"/>
          <w:szCs w:val="20"/>
          <w:color w:val="auto"/>
        </w:rPr>
      </w:pPr>
    </w:p>
    <w:p>
      <w:pPr>
        <w:ind w:left="9"/>
        <w:spacing w:after="0"/>
        <w:tabs>
          <w:tab w:leader="none" w:pos="56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Incorporated...................................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Deutsche Bank Securities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1149"/>
        <w:spacing w:after="0"/>
        <w:tabs>
          <w:tab w:leader="none" w:pos="5489"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3,800,000</w:t>
      </w:r>
    </w:p>
    <w:p>
      <w:pPr>
        <w:spacing w:after="0" w:line="1" w:lineRule="exact"/>
        <w:rPr>
          <w:sz w:val="20"/>
          <w:szCs w:val="20"/>
          <w:color w:val="auto"/>
        </w:rPr>
      </w:pPr>
    </w:p>
    <w:p>
      <w:pPr>
        <w:ind w:left="550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underwriting agreement, the several underwriters have agreed, subject to the terms and conditions set forth therein, to purchase all of the shares of common stock being sold pursuant to the underwriting agreement if any of the shares of common stock being sold pursuant to such agreement are purchased. In some circumstances, the commitments of non-defaulting underwriters may be increased or the underwriting agreement may be terminated.</w:t>
      </w:r>
    </w:p>
    <w:p>
      <w:pPr>
        <w:spacing w:after="0" w:line="175"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underwriters propose initially to offer the shares of our common stock to the public at the public offering price set forth on the cover page of this prospectus and to some dealers at such price less a concession not in excess of</w:t>
      </w:r>
    </w:p>
    <w:p>
      <w:pPr>
        <w:ind w:left="969" w:hanging="969"/>
        <w:spacing w:after="0" w:line="236" w:lineRule="auto"/>
        <w:tabs>
          <w:tab w:leader="none" w:pos="96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of common stock. The underwriters may allow, and such</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dealers may reallow, a</w:t>
            </w:r>
          </w:p>
        </w:tc>
        <w:tc>
          <w:tcPr>
            <w:tcW w:w="2900" w:type="dxa"/>
            <w:vAlign w:val="bottom"/>
          </w:tcPr>
          <w:p>
            <w:pPr>
              <w:ind w:left="60"/>
              <w:spacing w:after="0"/>
              <w:rPr>
                <w:sz w:val="20"/>
                <w:szCs w:val="20"/>
                <w:color w:val="auto"/>
              </w:rPr>
            </w:pPr>
            <w:r>
              <w:rPr>
                <w:rFonts w:ascii="Courier New" w:cs="Courier New" w:eastAsia="Courier New" w:hAnsi="Courier New"/>
                <w:sz w:val="15"/>
                <w:szCs w:val="15"/>
                <w:color w:val="auto"/>
              </w:rPr>
              <w:t>discount not in excess of $</w:t>
            </w:r>
          </w:p>
        </w:tc>
        <w:tc>
          <w:tcPr>
            <w:tcW w:w="212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per share of common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stock on sales to some</w:t>
            </w:r>
          </w:p>
        </w:tc>
        <w:tc>
          <w:tcPr>
            <w:tcW w:w="35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other dealers. After the initial public</w:t>
            </w:r>
          </w:p>
        </w:tc>
        <w:tc>
          <w:tcPr>
            <w:tcW w:w="14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offering, the</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public offering price,</w:t>
            </w:r>
          </w:p>
        </w:tc>
        <w:tc>
          <w:tcPr>
            <w:tcW w:w="35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concession and discount may be changed.</w:t>
            </w:r>
          </w:p>
        </w:tc>
        <w:tc>
          <w:tcPr>
            <w:tcW w:w="1460" w:type="dxa"/>
            <w:vAlign w:val="bottom"/>
          </w:tcPr>
          <w:p>
            <w:pPr>
              <w:spacing w:after="0"/>
              <w:rPr>
                <w:sz w:val="14"/>
                <w:szCs w:val="14"/>
                <w:color w:val="auto"/>
              </w:rPr>
            </w:pPr>
          </w:p>
        </w:tc>
      </w:tr>
    </w:tbl>
    <w:p>
      <w:pPr>
        <w:spacing w:after="0" w:line="34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We have granted an option to the underwriters, exercisable for 30 days after the date of this prospectus, to purchase up to an aggregate of 570,000 additional shares of our common stock at the offering price set forth on the cover page of this prospectus, less the underwriting discount. The underwriters may exercise this option solely to cover over-allotments, if any, made on the sale of the common stock offered hereby. If the underwriters exercise this option, each underwriter will be obligated, subject to conditions, to purchase a number of additional shares of common stock proportionate to each underwriter's initial amount reflected in the foregoing table.</w:t>
      </w:r>
    </w:p>
    <w:p>
      <w:pPr>
        <w:spacing w:after="0" w:line="33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COMMISSIONS AND DISCOUNTS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shows the per share and total underwriting discounts to be paid by us and the selling stockholders to the underwriters and the proceeds before expenses to us and the selling stockholders. This information is presented assuming either no exercise or full exercise by the underwriters of their over-allotment options.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WITHOUT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w:t>
            </w:r>
          </w:p>
        </w:tc>
      </w:tr>
      <w:tr>
        <w:trPr>
          <w:trHeight w:val="171"/>
        </w:trPr>
        <w:tc>
          <w:tcPr>
            <w:tcW w:w="43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PER SHARE</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OPTION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OPTION</w:t>
            </w:r>
          </w:p>
        </w:tc>
      </w:tr>
      <w:tr>
        <w:trPr>
          <w:trHeight w:val="171"/>
        </w:trPr>
        <w:tc>
          <w:tcPr>
            <w:tcW w:w="43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Public offering price...........................</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Proceeds, before expenses, to CheckFree.........</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Proceeds to the selling stockholders............</w:t>
            </w: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We will not receive any of the proceeds from the sale of shares by the selling stockholders. The expenses of the offering are estimated at $625,000 and are payable by us.</w:t>
      </w:r>
    </w:p>
    <w:p>
      <w:pPr>
        <w:spacing w:after="0" w:line="346"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The shares of common stock are being offered by the several underwriters, subject to prior sale, when, as and if issued to and accepted by them, subject to approval of legal matters by counsel for the</w:t>
      </w:r>
    </w:p>
    <w:p>
      <w:pPr>
        <w:sectPr>
          <w:pgSz w:w="11900" w:h="16838" w:orient="portrait"/>
          <w:cols w:equalWidth="0" w:num="1">
            <w:col w:w="10228"/>
          </w:cols>
          <w:pgMar w:left="231" w:top="287" w:right="1440" w:bottom="306"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50</w:t>
      </w:r>
    </w:p>
    <w:p>
      <w:pPr>
        <w:sectPr>
          <w:pgSz w:w="11900" w:h="16838" w:orient="portrait"/>
          <w:cols w:equalWidth="0" w:num="1">
            <w:col w:w="10228"/>
          </w:cols>
          <w:pgMar w:left="231" w:top="287" w:right="1440" w:bottom="306"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underwriters and other conditions. The underwriters reserve the right to withdraw, cancel or modify the offer and to reject orders in whole or in part.</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our directors and executive officers and some of our stockholders, including the selling stockholders, have entered into lock-up agreements with the underwriters. Under those agreements, we and those stockholders may not dispose of or hedge any shares of common stock or securities convertible into or exchangeable for shares of common stock for a period of 90 days after the date of this prospectus. At any time and without notice, Merrill Lynch may, in its sole discretion, release all or some of the securities from these lock-up agreements.</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underwriters do not expect sales of the common stock to any accounts over which they exercise discretionary authority to exceed five percent of the number of shares being offered in this offering.</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and the selling stockholders have agreed to indemnify the underwriters against some liabilities, including liabilities under the Securities Act, or to contribute to payments the underwriters may be required to make in respect of those liabilities.</w:t>
      </w:r>
    </w:p>
    <w:p>
      <w:pPr>
        <w:spacing w:after="0" w:line="34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our request, the underwriters may reserve up to 250,000 shares of our common stock for sale at the public offering price to one or more persons who have direct business relationships with us. The number of shares available for the sale to the general public will be reduced by the number of reserved shares purchased by these persons. Any reserved shares not purchased by these persons will be offered by the underwriters to the general public on the same basis as other shares offered by this prospectus. The underwriters may reimburse us for certain fees and expenses in connection with the sale of the reserved shares, subject to mutual agreement between the underwriters and us.</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offering, the underwriters may purchase and sell the common stock in the open market. These transactions may include over-allotment and stabilizing transactions and purchases to cover syndicate short positions created by the underwriters in connection with the offering. Stabilizing transactions consist of certain bids or purchases for the purpose of preventing or minimizing a decline in the market price of the common stock. Syndicate short positions involve the sale by the underwriters of a greater number of shares of common stock than they are required to purchase from us in the offering. The underwriters also may impose a penalty bid, whereby selling concessions allowed to broker-dealers in respect of the securities sold in the offering may be reclaimed by the underwriters if such shares of common stock are repurchased by the underwriters in stabilizing or covering transactions. These activities may stabilize, maintain, or otherwise affect the market price of the common stock, which may be higher than the price that may otherwise prevail in the open market; and these activities, if commenced, may be discontinued at any time. These transactions may be effected on the Nasdaq National Market, in the over-the-counter market or otherwise.</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Neither we nor any of the selling stockholders or underwriters makes any representation or prediction as to the direction or magnitude of any effect that the transactions described above may have on the price of the common stock. In addition, neither we nor any of the selling stockholders or underwriters makes any representation that the underwriters will engage in these types of transactions or that, if commenced, they will not be discontinued without notice.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Some of the underwriters or their affiliates have provided investment services to us in the past and are likely to do so in the future. They receive customary fees and commissions for these services. We provide services to Merrill Lynch and some of its affiliates in the ordinary course of our business. For the fiscal year ended June 30, 1998 and the nine month period ending March 31, 1999, Merrill Lynch paid $670,569 and $690,938, respectively, for services provided by us. We also may provide services to other underwriters or their affiliates in the ordinary course of business.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validity of the issuance of the common stock offered in connection with this offering will be passed upon for us by Porter, Wright, Morris &amp; Arthur LLP, Columbus, Ohio. Partners of Porter, Wright, Morris &amp; Arthur LLP who participated in the preparation of this prospectus beneficially own an aggregate of 36,114 shares of common stock (26,114 shares after this offering) consisting of a combination of stock and options exercisable within 60 days after the date of this prospectus. Other legal matters in connection with this offering will be passed upon for the underwriters by Ropes &amp; Gray, Boston, Massachusetts.</w:t>
      </w:r>
    </w:p>
    <w:p>
      <w:pPr>
        <w:spacing w:after="0" w:line="15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and financial statement schedule as of June 30, 1997 and 1998 and for the fiscal year ended December 31, 1995, the six months ended June 30, 1996, and the fiscal years ended June 30, 1997 and 1998 included and incorporated by reference in this prospectus have been audited by Deloitte &amp; Touche LLP, independent auditors, as stated in their reports, which are included and incorporated by reference herein, and have been so included and incorporated in reliance upon the reports of such firm given upon their authority as experts in accounting and auditing.</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including the documents we incorporate by reference, contains forward-looking statements within the meaning of Section 27A of the Securities Act of 1933 and Section 21E of the Securities Exchange Act of 1934. Forward-looking statements often, although not always, include words or phrases such as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prospectus include statements about the following:</w:t>
      </w:r>
    </w:p>
    <w:p>
      <w:pPr>
        <w:spacing w:after="0" w:line="180" w:lineRule="exact"/>
        <w:rPr>
          <w:sz w:val="20"/>
          <w:szCs w:val="20"/>
          <w:color w:val="auto"/>
        </w:rPr>
      </w:pPr>
    </w:p>
    <w:p>
      <w:pPr>
        <w:ind w:left="620" w:right="3399" w:hanging="185"/>
        <w:spacing w:after="0" w:line="238"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expectations regarding Year 2000 compliance and the costs of such compliance.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no obligation to publicly update or revise any forward-looking statements, whether as a result of new information, future events or otherwise. In light of these risks, uncertainties and assumptions, the forward-looking events discussed in this prospectus might not occur.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We are subject to the informational requirements of the Securities Exchange Act of 1934 and, therefore, we file annual, quarterly and special reports, proxy statements and other information with the Securities and Exchange Commission.</w:t>
      </w:r>
    </w:p>
    <w:p>
      <w:pPr>
        <w:spacing w:after="0" w:line="1"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You can inspect and copy any document we file with the Commission at the following locations:</w:t>
      </w:r>
    </w:p>
    <w:p>
      <w:pPr>
        <w:spacing w:after="0" w:line="175" w:lineRule="exact"/>
        <w:rPr>
          <w:sz w:val="20"/>
          <w:szCs w:val="20"/>
          <w:color w:val="auto"/>
        </w:rPr>
      </w:pPr>
    </w:p>
    <w:p>
      <w:pPr>
        <w:ind w:left="620" w:right="3659" w:hanging="185"/>
        <w:spacing w:after="0" w:line="238"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 Room 1024-Judiciary Plaza, 450 Fifth Street, N.W., Washington, D.C. 20549;</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Commission's regional office at Seven World Trade Center, 13th Floor, New York, New York 10048;</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Public Reference Room of the Commission's regional office at Northwestern Atrium Center, 500 West Madison Street, Suite 1400, Chicago, Illinois 60661;</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writing the Commission, Public Reference Section, Judiciary Plaza, 450 Fifth Street, N.W., Washington, D.C. 20549;</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offices of the National Association of Securities Dealers, Inc., Reports Section, 1735 K Street, N.W., Washington, D.C. 20006; or</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Commission's web site at www.sec.gov.</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Some of these locations may charge a prescribed fee or modest fee for copies.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filed with the Commission a registration statement and related exhibits under the Securities Act of 1933. The registration statement relates to the common stock offered by us and the selling stockholders. As permitted by the Commission, this prospectus, which constitutes a part of the registration statement, does not contain all the information included in the registration statement. Such additional information may be obtained from the locations described above. Statements contained in this prospectus as to the contents of any contract or other document are not necessarily complete. You should refer to the contract or other document for all the details.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Commission allows us to incorporate by reference the information we file with it, which means that we can disclose important information to you by referring you to those documents. The information incorporated by reference is considered to be part of this prospectus, and information that we later file with the Commission will automatically update and supersede this information. Accordingly, we incorporate by reference the following documents we filed with the Commission pursuant to Section 13 of the Securities Exchange Act of 1934 (Commission File Number 0-26802):</w:t>
      </w:r>
    </w:p>
    <w:p>
      <w:pPr>
        <w:spacing w:after="0" w:line="177" w:lineRule="exact"/>
        <w:rPr>
          <w:sz w:val="20"/>
          <w:szCs w:val="20"/>
          <w:color w:val="auto"/>
        </w:rPr>
      </w:pPr>
    </w:p>
    <w:p>
      <w:pPr>
        <w:ind w:left="620" w:right="339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June 30, 1998 (filed September 25, 1998);</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September 30, 1998 (filed November 23, 1998), December 31, 1998 (filed February 12, 1999), and March 31, 1999 (filed May 17, 1999);</w:t>
      </w:r>
    </w:p>
    <w:p>
      <w:pPr>
        <w:spacing w:after="0" w:line="175"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the Annual Meeting of Stockholders held on November 9, 1998 (filed October 8, 1998);</w:t>
      </w:r>
    </w:p>
    <w:p>
      <w:pPr>
        <w:spacing w:after="0" w:line="34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September 9, 1998 (filed September 14, 1998), October 9, 1998 (filed October 13, 1998), February 5, 1999 (filed February 16, 1999), May 24, 1999 (filed May 24, 1999) and June 15, 1999 (filed June 15, 1999);</w:t>
      </w:r>
    </w:p>
    <w:p>
      <w:pPr>
        <w:spacing w:after="0" w:line="347"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registration statement on Form 8-A filed with the Commission pursuant to Section 12 of the Securities Exchange Act of 1934 and all amendments thereto and reports filed for the purpose of updating such description; and</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filed by us with the Commission pursuant to Sections 13(a), 13(c), 14 or 15(d) of the Securities Exchange Act of 1934 after the date of this prospectus and before the offering of the common stock thereby is completed (other than portions of such documents described in paragraphs (i), (k) and (l) of Item 402 of Regulation S-K promulgated by the Commission).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documents are or will be available for inspection or copying at the locations identified above under the caption "Where You Can Find More Information." We will provide without charge to each to whom this prospectus is delivered, upon written or oral request, a copy of any and all of the documents that have been incorporated by reference in this prospectus (other than exhibits to such documents unless such exhibits are specifically incorporated by reference). You should direct requests for documents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Attention: Investor Relations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Telephone Number: (678) 375-3387</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168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00" w:type="dxa"/>
            <w:vAlign w:val="bottom"/>
          </w:tcPr>
          <w:p>
            <w:pPr>
              <w:spacing w:after="0"/>
              <w:rPr>
                <w:sz w:val="14"/>
                <w:szCs w:val="14"/>
                <w:color w:val="auto"/>
              </w:rPr>
            </w:pPr>
          </w:p>
        </w:tc>
      </w:tr>
      <w:tr>
        <w:trPr>
          <w:trHeight w:val="853"/>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Independent Auditors' Report..............................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Balance Sheets...........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 Cash</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Flows..................................................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Notes to Interim Unaudited Condensed Consolidated</w:t>
            </w:r>
          </w:p>
        </w:tc>
        <w:tc>
          <w:tcPr>
            <w:tcW w:w="4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512"/>
        </w:trPr>
        <w:tc>
          <w:tcPr>
            <w:tcW w:w="544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CheckFree Holdings Corporation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1997 and 1998 and the related consolidated statements of operations, stockholders' equity and cash flows for the year ended December 31, 1995, the six months ended June 30, 1996, and the years ended June 30, 1997 and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1997 and 1998 and the results of their operations and their cash flows for the year ended December 31, 1995, the six months ended June 30, 1996, and the years ended June 30, 1997 and 1998, in conformity with generally accepted accounting principles.</w:t>
      </w:r>
    </w:p>
    <w:p>
      <w:pPr>
        <w:spacing w:after="0" w:line="1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1998, except for Note 20 as to which</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date is September 11,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1997 AND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THOUSANDS, EXCEPT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SHARE DATA)</w:t>
            </w:r>
          </w:p>
        </w:tc>
      </w:tr>
      <w:tr>
        <w:trPr>
          <w:trHeight w:val="34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$ 32,086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$ 36,535</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4,431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24,533</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44,507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32,960</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Assets held for sale......................................</w:t>
            </w:r>
          </w:p>
        </w:tc>
        <w:tc>
          <w:tcPr>
            <w:tcW w:w="11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15,881</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Notes receivable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Prepaid expenses and other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4,678</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7,231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86,223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136,700</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Property and equipment --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50,920</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Capitalized software,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11,387</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Intangible assets, net....................................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56,896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30,474</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12,889</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Other noncurrent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6,736</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other assets................................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93,586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62,492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LIABILITIES AND STOCKHOLDERS' EQUITY</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7,051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8,536</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Accrued liabilities</w:t>
            </w:r>
          </w:p>
        </w:tc>
        <w:tc>
          <w:tcPr>
            <w:tcW w:w="3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31,056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24,738</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Customer deposits.........................................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422</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Current portion of long-term obligations..................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26,498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19,710</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3,876</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66,221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58,462</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Accrued rent and other......................................</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1,329</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Long-term obligations</w:t>
            </w:r>
          </w:p>
        </w:tc>
        <w:tc>
          <w:tcPr>
            <w:tcW w:w="368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 Less current portion:</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7,301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 payable to bank......................................</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long-term obligations.......................</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8,401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Commitments (Notes 11, 12 and 13)</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w:t>
            </w:r>
          </w:p>
        </w:tc>
        <w:tc>
          <w:tcPr>
            <w:tcW w:w="3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15,000,000 authorized shares, $.01 par</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no amounts issued or outstanding</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w w:val="97"/>
              </w:rPr>
              <w:t>150,000,000 authorized shares, $.01 par</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issued 55,546,321 shares, 56,364,839 shares,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6"/>
                <w:szCs w:val="6"/>
                <w:color w:val="auto"/>
                <w:w w:val="70"/>
              </w:rPr>
              <w:t>respectively...........................................</w:t>
            </w: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w:t>
            </w:r>
          </w:p>
        </w:tc>
      </w:tr>
      <w:tr>
        <w:trPr>
          <w:trHeight w:val="171"/>
        </w:trPr>
        <w:tc>
          <w:tcPr>
            <w:tcW w:w="55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454,850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492,109</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1"/>
              </w:rPr>
              <w:t>Treasury stock --</w:t>
            </w:r>
          </w:p>
        </w:tc>
        <w:tc>
          <w:tcPr>
            <w:tcW w:w="36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at cost, 1,041,552 shares, 963,295</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shares, respectively..................................</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Accumulated deficit....................................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(300,754)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(304,457)</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Total stockholders' equity........................</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148,644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183,854</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$223,836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SIX MONTHS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7"/>
              </w:rPr>
              <w:t>YEAR ENDED</w:t>
            </w:r>
          </w:p>
        </w:tc>
        <w:tc>
          <w:tcPr>
            <w:tcW w:w="2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22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JUNE 30,</w:t>
            </w:r>
          </w:p>
        </w:tc>
        <w:tc>
          <w:tcPr>
            <w:tcW w:w="24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39,536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159,255</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9,794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6,163</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33,088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28,952</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22,567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25,848</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16,268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19,809</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49,330</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51,040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176,445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233,864</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30,258</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35,438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102,721</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129,924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6,876</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32,869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36,265</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7,242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32,670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28,839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4,134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7,338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20,677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2,485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6,997</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24,999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122,358</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5,958</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50,995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199,205</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357,844</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277,213</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6,250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36,173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(1,665)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(148,165)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(175,149)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(7,176)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2,135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(146,831)</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(173,830)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(4,344)</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Expense (Benefit)................</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(8,628)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(641)</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Extraordinary Item..............</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(138,203)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Extraordinary Item, Extinguishment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 -- Net of tax........................</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(138,567)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and Diluted Loss Per Share: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extraordinary item............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Equivalent Number of Shares.................</w:t>
            </w:r>
          </w:p>
        </w:tc>
        <w:tc>
          <w:tcPr>
            <w:tcW w:w="18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28,218,521</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37,419,580</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46,988,225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55,086,742</w:t>
            </w:r>
          </w:p>
        </w:tc>
      </w:tr>
      <w:tr>
        <w:trPr>
          <w:trHeight w:val="171"/>
        </w:trPr>
        <w:tc>
          <w:tcPr>
            <w:tcW w:w="3980" w:type="dxa"/>
            <w:vAlign w:val="bottom"/>
          </w:tcPr>
          <w:p>
            <w:pPr>
              <w:spacing w:after="0"/>
              <w:rPr>
                <w:sz w:val="14"/>
                <w:szCs w:val="14"/>
                <w:color w:val="auto"/>
              </w:rPr>
            </w:pP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64" w:name="page65"/>
    <w:bookmarkEnd w:id="64"/>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NUMBER OF</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SHARES OF</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 OF</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TREASURY</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STOCK AT</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PAID-IN</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TREASURY</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STOCK AT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PAR</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COST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(IN THOUSANDS, EXCEPT SHARE DATA)</w:t>
            </w:r>
          </w:p>
        </w:tc>
        <w:tc>
          <w:tcPr>
            <w:tcW w:w="800" w:type="dxa"/>
            <w:vAlign w:val="bottom"/>
          </w:tcPr>
          <w:p>
            <w:pPr>
              <w:spacing w:after="0"/>
              <w:rPr>
                <w:sz w:val="14"/>
                <w:szCs w:val="14"/>
                <w:color w:val="auto"/>
              </w:rPr>
            </w:pPr>
          </w:p>
        </w:tc>
      </w:tr>
      <w:tr>
        <w:trPr>
          <w:trHeight w:val="34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December 31, 1994....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27,619,193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$ 17,210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270,262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expenses related to public</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offering..................</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4,975,310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82,694</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8"/>
              </w:rPr>
              <w:t>December 31,</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32,864,765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100,133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874,195</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8,535,840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174,727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42,274,800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276,822</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(757,536)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636,309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12,635,212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176,550</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Treasury stock acquired.....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(284,016)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55,546,321</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(1,041,552)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708,661</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1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Employee stock purchases....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109,857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401(k) match................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78,257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Warrants issued.............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32,827</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w:t>
            </w: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 June 30, 1998......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56,364,839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(963,295)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STOCKHOLDERS'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NOTES</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RECEIVABLE</w:t>
            </w:r>
          </w:p>
        </w:tc>
        <w:tc>
          <w:tcPr>
            <w:tcW w:w="300" w:type="dxa"/>
            <w:vAlign w:val="bottom"/>
          </w:tcPr>
          <w:p>
            <w:pPr>
              <w:spacing w:after="0"/>
              <w:rPr>
                <w:sz w:val="14"/>
                <w:szCs w:val="14"/>
                <w:color w:val="auto"/>
              </w:rPr>
            </w:pP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900" w:type="dxa"/>
            <w:vAlign w:val="bottom"/>
            <w:gridSpan w:val="4"/>
          </w:tcPr>
          <w:p>
            <w:pPr>
              <w:jc w:val="center"/>
              <w:ind w:left="26"/>
              <w:spacing w:after="0"/>
              <w:rPr>
                <w:sz w:val="20"/>
                <w:szCs w:val="20"/>
                <w:color w:val="auto"/>
              </w:rPr>
            </w:pPr>
            <w:r>
              <w:rPr>
                <w:rFonts w:ascii="Courier New" w:cs="Courier New" w:eastAsia="Courier New" w:hAnsi="Courier New"/>
                <w:sz w:val="15"/>
                <w:szCs w:val="15"/>
                <w:color w:val="auto"/>
                <w:w w:val="98"/>
              </w:rPr>
              <w:t>(IN THOUSANDS, EXCEPT SHARE DATA)</w:t>
            </w:r>
          </w:p>
        </w:tc>
      </w:tr>
      <w:tr>
        <w:trPr>
          <w:trHeight w:val="34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BALANCE, December 31, 1994....</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16,372</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Sale of common stock, net of</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expenses related to public</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offering..................</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82,744</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8"/>
              </w:rPr>
              <w:t>December 31,</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99,325</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(138,567)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(138,567)</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 options exercised.....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Issuance of common stock and</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acquisitions..............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174,812</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Repayment of loans to</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stockholders..............</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134</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0219"/>
          </w:cols>
          <w:pgMar w:left="240" w:top="287" w:right="1440"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(138,941)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137,675</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(161,813)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(161,813)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597</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of common stock and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 pursuant to</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acquisitions..............</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176,676</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Treasury</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stock acquired.....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(300,754)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148,644</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 exercised.....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Employee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stock purchases....</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401(k) match................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issued.............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 benefit associated with</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29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w w:val="95"/>
              </w:rPr>
              <w:t>options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June 30, 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$(304,457)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$ 183,854</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3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SIX MONTHS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ENDED</w:t>
            </w:r>
          </w:p>
        </w:tc>
        <w:tc>
          <w:tcPr>
            <w:tcW w:w="21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21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(215)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$(138,567)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(used in) operating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Extraordinary item, extinguishment of debt, net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364</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Write-off of in-process research and development........</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Write-off of capitalized software.......................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3,619</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Issuance of warrants....................................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4,938</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2,485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(8,654)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(13,101)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Trading.....................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(28,799)</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 Trading........................................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Accretion of investment discount -- net.................</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(337)</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3566"/>
              <w:spacing w:after="0"/>
              <w:rPr>
                <w:sz w:val="20"/>
                <w:szCs w:val="20"/>
                <w:color w:val="auto"/>
              </w:rPr>
            </w:pPr>
            <w:r>
              <w:rPr>
                <w:rFonts w:ascii="Courier New" w:cs="Courier New" w:eastAsia="Courier New" w:hAnsi="Courier New"/>
                <w:sz w:val="15"/>
                <w:szCs w:val="15"/>
                <w:color w:val="auto"/>
              </w:rPr>
              <w:t>acquisitions):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(1,110)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(10,952)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(5,095)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Refundable income taxes...............................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2,623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3,837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Customer deposits.....................................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4,586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2,492</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operating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2,361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(6,646)</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(7,831)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(11,673)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additions........................................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(3,431)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(9,755)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(27,939)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130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588</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assets..........................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28,900</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note receivable...............................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purchase price adjustment...................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(1,312)</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businesses, net of cash acquired..............</w:t>
            </w:r>
          </w:p>
        </w:tc>
        <w:tc>
          <w:tcPr>
            <w:tcW w:w="1300" w:type="dxa"/>
            <w:vAlign w:val="bottom"/>
          </w:tcPr>
          <w:p>
            <w:pPr>
              <w:spacing w:after="0"/>
              <w:rPr>
                <w:sz w:val="14"/>
                <w:szCs w:val="14"/>
                <w:color w:val="auto"/>
              </w:rPr>
            </w:pP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(39,404)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(11,363)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Held-to-maturity..............</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(54,079)</w:t>
            </w: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investments -- Available-for-sale............</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(19,311)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 Available-for-sale...............................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37,725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10,645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19,542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trademark license.............................</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investing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(22,785)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(37,132)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12,767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common stock........................</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82,744</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Repayment of notes payable and other debt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extinguishment..........................................</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notes payable...............................</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stock options exercised.....................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employee 401(k) plan........................</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Receipts (payments) on stockholder notes..................</w:t>
            </w:r>
          </w:p>
        </w:tc>
        <w:tc>
          <w:tcPr>
            <w:tcW w:w="13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Net cash provided by (used in) financing</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82,055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(5,982)</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61,631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(42,853)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11,099</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2,209</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63,840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20,987</w:t>
            </w:r>
          </w:p>
        </w:tc>
        <w:tc>
          <w:tcPr>
            <w:tcW w:w="22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32,086</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$ 63,840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20,987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32,086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54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969"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 ENDED DECEMBER 31, 1995,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SIX MONTHS ENDED JUNE 30, 1996,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AS OF AND FOR THE YEARS ENDED JUNE 30, 1997 AND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Organization. CheckFree Holdings Corporation (the "Company") is the parent company of CheckFree Corporation ("CFC"), the principal operating company of the business. CFC was organized in 1981 and is a leading provider of transaction procession services, software and related products to financial institutions and businesses and their customers throughout the United States. See Note 18 for a description of the Company's business segments. Following a number of acquisitions and divestitures, CFC reorganized its corporate structure on December 22, 1997. In connection with the restructuring,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180"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Principles of Consolidation and Change in Fiscal Year. The accompanying consolidated financial statements include the results of operations of the Company and its wholly-owned subsidiaries. All significant intercompany transactions have been eliminated.</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Effective January 1, 1996, the Company changed its fiscal year-end from December 31 to June 30. The following presents unaudited summarized consolidated financial information for the six months ended June 30, 1995:</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revenues..............................................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$23,581,000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Loss from operations........................................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62,000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75,000</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 per share (basic and diluted)....................</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Nil</w:t>
            </w:r>
          </w:p>
        </w:tc>
      </w:tr>
    </w:tbl>
    <w:p>
      <w:pPr>
        <w:spacing w:after="0" w:line="34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Processing Agreements. The Company has agreements with transaction processors to provide origination and settlement services for the Company. Under the agreements, the Company must fund service fees and returned transactions when presented. These agreements expire at various dates through June 1999.</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Transaction Processing.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and Cash Equivalents.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Investments. The Company's investments consist primarily of United States government, government agency or state obligations. The Company classifies these investments as available-for-sale, trading or held-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to-maturity securities in accordance with Statement of Financial Accounting Standards ("SFAS") 115, "Accounting for Certain Investments in Debt and Equity Securities". Such investments are carried at amortized cost, which approximates market value.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and Equipment. Property and equipment are stated at cost. Property and equipment are depreciated using the straight-line and accelerated methods over the estimated useful lives as follows: land improvements, building and building improvements, 15 to 30 years; computer equipment, software, and furniture, 3 to 7 years. Equipment under capital leases is amortized using the straight-line method over the terms of the leases. Leasehold improvements are amortized over the lesser of the estimated useful lives or remaining lease periods.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Software Costs.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Amortization of software costs totaled $208,000, $2,521,000, $7,687,000, and $5,198,000, for the year ended December 31, 1995, the six months ended June 30, 1996, and the years ended June 30, 1997 and 1998 respectively.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The costs of identified intangible assets are generally amortized on a straight-line basis over periods from 8 months to 15 years. Goodwill is amortized on a straight-line basis over 10 years. At each balance sheet date, a determination is made by management to ascertain whether the intangible assets have been impaired based on several criteria, including, but not limited to, sales trends, undiscounted operating cash flows, and other operating factors.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Stock. On April 21, 1995, the Company's stockholders increased the authorized number of shares of $.01 par value Common Stock to 25,000,000 and on August 8, 1995 increased the number of authorized shares of $.01 par value Common Stock to 150,000,000. In addition, on August 8, 1995, the Company's stockholders authorized the Board of Directors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Advertising. The Company expenses advertising costs as incurred. Advertising expenses were $1,758,000, $7,159,000, $2,110,000, and $4,275,000, for the year ended December 31, 1995, the six months ended June 30, 1996, and the years ended June 30, 1997 and 1998, respectively.</w:t>
      </w:r>
    </w:p>
    <w:p>
      <w:pPr>
        <w:spacing w:after="0" w:line="17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Basic and Diluted Loss Per Share. On July 1, 1997, the Company adopted the provisions of SFAS 128 "Earnings Per Share" and has restated per share data for all prior periods where applicable. Basic loss per common share is determined by dividing loss available to common shareholders by the weighted average number of common shares outstanding. Diluted per-common-share amounts assume the issuance of common stock for all potentially dilutive equivalent shares outstanding.</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Anti-dilution provisions of SFAS 128 requires consistency between diluted per-common-share amounts and basic per-common-share amounts in loss periods. For the periods reported, there were no differences between basic and diluted earnings per share. The number of anti-dilutive equivalent shares excluded from the per share calculations are 2,843,000, 1,931,000, 1,218,000, and 1,725,000, for the year ended December 31, 1995, the six months</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ended June 30, 1996, and the years ended June 30, 1997 and 1998, respectively. All share and per share information has been adjusted for the five-for-one stock split on May 1, 1995 and the 5.2614-for-one split on the effective date of the initial public offering (September 28, 1995).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These factors, along with management's plans with respect to the operations, are considered in assessing the recoverability of property, equipment and purchased intangibles.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Recent Accounting Pronouncements. In June 1997, the Financial Accounting Standards Board ("FASB") issued SFAS 130, "Reporting Comprehensive Income," which is effective for fiscal years beginning after December 15, 1997. The Statement requires businesses to disclose comprehensive income and its components in their general-purpose financial statements, with reclassification of comparative (earlier period) financial statements. The adoption of SFAS 130 is not expected to have a material impact on the Company's financial statement disclosures.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FASB issued SFAS 131, "Disclosures about Segments of an Enterprise and Related Information," which is effective for fiscal years beginning after December 15, 1997. SFAS 131 redefines how operating segments are determined and requires disclosure of certain financial and descriptive information about a company's operating segments. The adoption of SFAS 131 is not expected to have a material impact on the Company's financial statement disclosures.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October 1997, the Accounting Standards Executive Committee ("AcSEC") of the American Institute of Certified Public Accountants issued Statement of Position ("SOP") 97-2, "Software Revenue Recognition," which is effective for fiscal years beginning after December 15, 1997. The Statement provides guidance for recognizing revenue on software transactions (superseding SOP 91-1, "Software Revenue Recognition"). The adoption of SOP 97-2 is not expected to have a material impact on the Company's revenue recognition policies or financial statement disclosures.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AcSEC issued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77" w:lineRule="exact"/>
        <w:rPr>
          <w:sz w:val="20"/>
          <w:szCs w:val="20"/>
          <w:color w:val="auto"/>
        </w:rPr>
      </w:pPr>
    </w:p>
    <w:p>
      <w:pPr>
        <w:jc w:val="both"/>
        <w:ind w:right="4019" w:firstLine="444"/>
        <w:spacing w:after="0" w:line="271" w:lineRule="auto"/>
        <w:rPr>
          <w:sz w:val="20"/>
          <w:szCs w:val="20"/>
          <w:color w:val="auto"/>
        </w:rPr>
      </w:pPr>
      <w:r>
        <w:rPr>
          <w:rFonts w:ascii="Courier New" w:cs="Courier New" w:eastAsia="Courier New" w:hAnsi="Courier New"/>
          <w:sz w:val="14"/>
          <w:szCs w:val="14"/>
          <w:color w:val="auto"/>
        </w:rPr>
        <w:t>Reclassifications. Certain amounts in the prior years' financial statements have been reclassified to conform to the 1998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620" w:right="347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and Servicing. Processing and servicing revenues include revenues from transaction processing, electronic funds transfer and monthly service fees on consumer funds transfer services. The Company recognizes revenue when the services are performed.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620" w:right="3299" w:hanging="185"/>
        <w:spacing w:after="0" w:line="260"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$1,623,000, $1,019,000, $3,228,000, and $9,676,000, for the year ended December 31, 1995, the six months ended June 30, 1996, and the years ended June 30, 1997 and 1998, respectively.</w:t>
      </w:r>
    </w:p>
    <w:p>
      <w:pPr>
        <w:spacing w:after="0" w:line="161"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Merchant Discount. Merchant discount revenues are recognized when the services are performed. Interchange fees incurred in the settlement of merchant credit card transactions are included in processing and servicing expenses.</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 Revenue from software license agreements is recognized upon delivery of the software if there are no significant postdelivery obligations in accordance with SOP 91-1. The revenue related to significant postdelivery obligations is deferred and recognized using the percentage-of-completion method.</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Fees. Maintenance fee revenue is recognized ratably over the term of the related contractual support period, generally 12 months.</w:t>
      </w:r>
    </w:p>
    <w:p>
      <w:pPr>
        <w:spacing w:after="0" w:line="153"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Other revenue consists primarily of consulting and training services. Consulting revenue is recognized principally on a percentage-of-completion basis and training revenue is recognized upon delivery of the related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CLASSIFICATION</w:t>
      </w:r>
    </w:p>
    <w:p>
      <w:pPr>
        <w:spacing w:after="0" w:line="174" w:lineRule="exact"/>
        <w:rPr>
          <w:sz w:val="20"/>
          <w:szCs w:val="20"/>
          <w:color w:val="auto"/>
        </w:rPr>
      </w:pPr>
    </w:p>
    <w:p>
      <w:pPr>
        <w:ind w:left="620" w:right="3479" w:hanging="185"/>
        <w:spacing w:after="0" w:line="262"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Servicing and Support. Processing, servicing and support costs consist primarily of data processing costs, customer care and technical support, and third party transaction fees, which consist primarily of credit card interchange fees and ACH transaction fees.</w:t>
      </w:r>
    </w:p>
    <w:p>
      <w:pPr>
        <w:spacing w:after="0" w:line="160"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Research and development expenses consist primarily of salaries and consulting fees paid to software engineers and business development personnel.</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Marketing. Sales and marketing expenses consist primarily of salaries and commissions of sales employees, public relations and advertising costs, customer acquisition fees and royalties paid to distribution partners.</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 Administrative. General and administrative expenses consist primarily of salaries for administrative, executive, finance, and human resource employees.</w:t>
      </w:r>
    </w:p>
    <w:p>
      <w:pPr>
        <w:spacing w:after="0" w:line="175" w:lineRule="exact"/>
        <w:rPr>
          <w:rFonts w:ascii="Courier New" w:cs="Courier New" w:eastAsia="Courier New" w:hAnsi="Courier New"/>
          <w:sz w:val="15"/>
          <w:szCs w:val="15"/>
          <w:color w:val="auto"/>
        </w:rPr>
      </w:pPr>
    </w:p>
    <w:p>
      <w:pPr>
        <w:jc w:val="both"/>
        <w:ind w:left="620" w:right="391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Depreciation and amortization on capitalized assets is recorded on a straight-line basis over the appropriate useful lives.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In-process Research and Development.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for Stock Warrants. Charge for stock warrants consists of noncash charges for vested warrants issued to third parties under agreements whereby issued warrants vest upon achievement of certain strategic objectives.</w:t>
      </w:r>
    </w:p>
    <w:p>
      <w:pPr>
        <w:spacing w:after="0" w:line="176"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Exclusivity Amortization. Exclusivity amortization consists of the amortization of an intangible asset established in conjunction with a marketing agreement with a strategic partner whereby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7"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left="620" w:right="3659"/>
        <w:spacing w:after="0" w:line="239" w:lineRule="auto"/>
        <w:rPr>
          <w:sz w:val="20"/>
          <w:szCs w:val="20"/>
          <w:color w:val="auto"/>
        </w:rPr>
      </w:pPr>
      <w:r>
        <w:rPr>
          <w:rFonts w:ascii="Courier New" w:cs="Courier New" w:eastAsia="Courier New" w:hAnsi="Courier New"/>
          <w:sz w:val="15"/>
          <w:szCs w:val="15"/>
          <w:color w:val="auto"/>
        </w:rPr>
        <w:t>Company retains certain exclusive rights to bill payment processing through the partner's financial management software over a specific period of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February 21, 1996, the Company acquired Servantis Systems Holdings, Inc. ("Servantis") for $165.1 million, including 5.7 million shares of common stock, valued at $20.00 per share, the issuance of stock options valued at $8.2 million and the retirement of certain debt of $42.5 million. The acquisition was treated as a purchase for accounting purposes, and accordingly, the assets and liabilities were recorded based on their fair values at the date of the acquisition. Of the total purchase price, $11.2 million was allocated to goodwill, $46.5 million to other identifiable intangible assets and $55.2 million to tangible assets. In addition, $90.6 million was allocated to in-process research and development, which was charged to operations at the time of the acquisition. Servantis' operations are included in the consolidated results of operations from the date of the acquisition.</w:t>
      </w:r>
    </w:p>
    <w:p>
      <w:pPr>
        <w:spacing w:after="0" w:line="33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March 1996, the Company acquired Interactive Solutions Corp. ("IS") for $3.0 million, including 85,000 shares of common stock valued at $21.25 per share. The acquisition was treated as a purchase for accounting purposes, and, accordingly, the assets and liabilities were recorded based on their fair values at the date of the acquisition. Of the total purchase price, $3.0 million was allocated to in-process research and development, which was charged to operations at the time of the acquisition. IS' operations are included in the consolidated results of operations from the date of the acquisition.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9, 1996, the Company acquired Security APL, Inc. ("Security APL") for $53 million, including 2.8 million shares of common stock, valued at $18.50 per share. The acquisition was treated as a purchase for accounting purposes, and, accordingly, the assets and liabilities were recorded based on their fair values at the date of the acquisition. Of the total purchase price, $10.9 million was allocated to goodwill, $9.0 million to other identifiable intangible assets and $9.8 million to tangible assets. Additionally, $28.8 million was allocated to in-process research and development, which was charged to operations at the time of the acquisition. Security APL's operations are included in the consolidated results of operations from the date of the acquisition.</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is being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unaudited pro forma results of operations of the Company for the twelve months ended June 30, 1996, the six months ended June 30, 1996, and the year ended June 30, 1997, assuming the acquisitions occurred at the beginning of each period are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 MONTHS ENDED</w:t>
            </w: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SIX MONTHS ENDED</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9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JUNE 30,</w:t>
            </w:r>
          </w:p>
        </w:tc>
        <w:tc>
          <w:tcPr>
            <w:tcW w:w="16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JUNE 30,</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980" w:type="dxa"/>
            <w:vAlign w:val="bottom"/>
          </w:tcPr>
          <w:p>
            <w:pPr>
              <w:spacing w:after="0"/>
              <w:rPr>
                <w:sz w:val="14"/>
                <w:szCs w:val="14"/>
                <w:color w:val="auto"/>
              </w:rPr>
            </w:pP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Total revenues..............................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131,815</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69,607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194,354</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Loss before extraordinary item..............</w:t>
            </w:r>
          </w:p>
        </w:tc>
        <w:tc>
          <w:tcPr>
            <w:tcW w:w="44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(43,872)</w:t>
            </w:r>
          </w:p>
        </w:tc>
        <w:tc>
          <w:tcPr>
            <w:tcW w:w="5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(34,290)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(28,567)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44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(44,236)</w:t>
            </w:r>
          </w:p>
        </w:tc>
        <w:tc>
          <w:tcPr>
            <w:tcW w:w="5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(34,655)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(28,567)</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Net loss per share (basic and diluted)......</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(0.81)</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Weighted average shares outstanding.........</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54,529</w:t>
            </w:r>
          </w:p>
        </w:tc>
        <w:tc>
          <w:tcPr>
            <w:tcW w:w="58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53,630</w:t>
            </w:r>
          </w:p>
        </w:tc>
        <w:tc>
          <w:tcPr>
            <w:tcW w:w="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54,272</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$122.4 million and $140.0 million arising from the Servantis, Security APL and IS acquisitions in 1996 and the ISC acquisition in 1997, respectively.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$6,250,000.</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as of June 30, 1997 and 1998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300" w:type="dxa"/>
            <w:vAlign w:val="bottom"/>
          </w:tcPr>
          <w:p>
            <w:pPr>
              <w:ind w:left="3900"/>
              <w:spacing w:after="0"/>
              <w:rPr>
                <w:sz w:val="20"/>
                <w:szCs w:val="20"/>
                <w:color w:val="auto"/>
              </w:rPr>
            </w:pPr>
            <w:r>
              <w:rPr>
                <w:rFonts w:ascii="Courier New" w:cs="Courier New" w:eastAsia="Courier New" w:hAnsi="Courier New"/>
                <w:sz w:val="15"/>
                <w:szCs w:val="15"/>
                <w:color w:val="auto"/>
              </w:rPr>
              <w:t>JUNE</w:t>
            </w:r>
          </w:p>
        </w:tc>
        <w:tc>
          <w:tcPr>
            <w:tcW w:w="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1940" w:type="dxa"/>
            <w:vAlign w:val="bottom"/>
          </w:tcPr>
          <w:p>
            <w:pPr>
              <w:spacing w:after="0"/>
              <w:rPr>
                <w:sz w:val="14"/>
                <w:szCs w:val="14"/>
                <w:color w:val="auto"/>
              </w:rPr>
            </w:pPr>
          </w:p>
        </w:tc>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9"/>
              </w:rPr>
              <w:t>1997</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Available-for-Sale --</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U.S. Government and Government Agency</w:t>
            </w:r>
          </w:p>
        </w:tc>
        <w:tc>
          <w:tcPr>
            <w:tcW w:w="680" w:type="dxa"/>
            <w:vAlign w:val="bottom"/>
          </w:tcPr>
          <w:p>
            <w:pPr>
              <w:spacing w:after="0"/>
              <w:rPr>
                <w:sz w:val="24"/>
                <w:szCs w:val="24"/>
                <w:color w:val="auto"/>
              </w:rPr>
            </w:pP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7"/>
                <w:szCs w:val="7"/>
                <w:color w:val="auto"/>
                <w:w w:val="78"/>
              </w:rPr>
              <w:t>Obligations...............................................</w:t>
            </w: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$4,446</w:t>
            </w:r>
          </w:p>
        </w:tc>
        <w:tc>
          <w:tcPr>
            <w:tcW w:w="680" w:type="dxa"/>
            <w:vAlign w:val="bottom"/>
          </w:tcPr>
          <w:p>
            <w:pPr>
              <w:spacing w:after="0"/>
              <w:rPr>
                <w:sz w:val="14"/>
                <w:szCs w:val="14"/>
                <w:color w:val="auto"/>
              </w:rPr>
            </w:pPr>
          </w:p>
        </w:tc>
      </w:tr>
      <w:tr>
        <w:trPr>
          <w:trHeight w:val="171"/>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Held-to-Maturity -- State Obligations.......................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$ 1,006</w:t>
            </w:r>
          </w:p>
        </w:tc>
      </w:tr>
      <w:tr>
        <w:trPr>
          <w:trHeight w:val="171"/>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Trading.....................................................</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24,533</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9"/>
              </w:rPr>
              <w:t>Total.............................................</w:t>
            </w: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$4,446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$25,539</w:t>
            </w:r>
          </w:p>
        </w:tc>
      </w:tr>
      <w:tr>
        <w:trPr>
          <w:trHeight w:val="171"/>
        </w:trPr>
        <w:tc>
          <w:tcPr>
            <w:tcW w:w="1940" w:type="dxa"/>
            <w:vAlign w:val="bottom"/>
          </w:tcPr>
          <w:p>
            <w:pPr>
              <w:spacing w:after="0"/>
              <w:rPr>
                <w:sz w:val="14"/>
                <w:szCs w:val="14"/>
                <w:color w:val="auto"/>
              </w:rPr>
            </w:pPr>
          </w:p>
        </w:tc>
        <w:tc>
          <w:tcPr>
            <w:tcW w:w="4300" w:type="dxa"/>
            <w:vAlign w:val="bottom"/>
          </w:tcPr>
          <w:p>
            <w:pPr>
              <w:jc w:val="center"/>
              <w:ind w:left="3266"/>
              <w:spacing w:after="0"/>
              <w:rPr>
                <w:sz w:val="20"/>
                <w:szCs w:val="20"/>
                <w:color w:val="auto"/>
              </w:rPr>
            </w:pPr>
            <w:r>
              <w:rPr>
                <w:rFonts w:ascii="Courier New" w:cs="Courier New" w:eastAsia="Courier New" w:hAnsi="Courier New"/>
                <w:sz w:val="15"/>
                <w:szCs w:val="15"/>
                <w:color w:val="auto"/>
                <w:w w:val="96"/>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Available-for-Sale. Gross unrealized gains and losses related to available-for-sale investments at June 30, 1997 were insignificant. In addition, sales of securities and related realized gains/losses, based on the specific identification cost method, were insignificant for each of the periods presented.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Held-to-Maturity. The difference between the amortized cost and the aggregate fair value of held-to-maturity investment at June 30, 1998 was insignificant.</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Trading. Trading investments are classified as current assets and are recorded at fair value.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are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180"/>
            <w:col w:w="4719"/>
          </w:cols>
          <w:pgMar w:left="240" w:top="287" w:right="1440" w:bottom="1440" w:gutter="0" w:footer="0" w:header="0"/>
          <w:type w:val="continuous"/>
        </w:sectPr>
      </w:pPr>
    </w:p>
    <w:p>
      <w:pPr>
        <w:spacing w:after="0" w:line="1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Expected maturities will differ from contractual maturities because debt issuers may have the right to call or prepay obligations with or without call or prepayment penalties.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6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 accounts receivable...................................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$22,049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Unbilled trade accounts receivable..........................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20,958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receivables...........................................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3,037</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48,724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36,430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allowance for doubtful accounts........................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3,470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$44,507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$32,960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April 1998, the Company announced plans to divest several of its software businesses through the sale of software and related assets. Assets of the Company's mortgage, leasing, imaging, and safe box accounting businesses totaling $15.9 million are comprised of trade, unbilled, and other accounts receivable (net of an allowance for doubtful accounts), property, and equipment dedicated to the businesses, capitalized software, and other purchased intangible assets. Sales of all businesses are expected to be completed by September 30, 1998 and the assets are anticipated to be recovered from the proceeds of the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is earned monthly commencing in June 1998 and the note is payable at the earlier of the sale of the Company's building in Columbus, Ohio, or May 1999. The estimated fair value of the note receivable approximates the carrying value based on currently available instruments with similar interests rates and remaining maturities.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56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6"/>
              </w:rPr>
              <w:t>-- (CONTINUED)</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400" w:type="dxa"/>
            <w:vAlign w:val="bottom"/>
            <w:gridSpan w:val="6"/>
          </w:tcPr>
          <w:p>
            <w:pPr>
              <w:jc w:val="right"/>
              <w:ind w:right="686"/>
              <w:spacing w:after="0"/>
              <w:rPr>
                <w:sz w:val="20"/>
                <w:szCs w:val="20"/>
                <w:color w:val="auto"/>
              </w:rPr>
            </w:pPr>
            <w:r>
              <w:rPr>
                <w:rFonts w:ascii="Courier New" w:cs="Courier New" w:eastAsia="Courier New" w:hAnsi="Courier New"/>
                <w:sz w:val="15"/>
                <w:szCs w:val="15"/>
                <w:color w:val="auto"/>
              </w:rPr>
              <w:t>Income tax expense (benefit) consists of the following (in thousands):</w:t>
            </w:r>
          </w:p>
        </w:tc>
        <w:tc>
          <w:tcPr>
            <w:tcW w:w="840" w:type="dxa"/>
            <w:vAlign w:val="bottom"/>
          </w:tcPr>
          <w:p>
            <w:pPr>
              <w:spacing w:after="0"/>
              <w:rPr>
                <w:sz w:val="24"/>
                <w:szCs w:val="24"/>
                <w:color w:val="auto"/>
              </w:rPr>
            </w:pPr>
          </w:p>
        </w:tc>
      </w:tr>
      <w:tr>
        <w:trPr>
          <w:trHeight w:val="683"/>
        </w:trPr>
        <w:tc>
          <w:tcPr>
            <w:tcW w:w="3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YEAR ENDED</w:t>
            </w:r>
          </w:p>
        </w:tc>
        <w:tc>
          <w:tcPr>
            <w:tcW w:w="3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88"/>
              </w:rPr>
              <w:t>31,</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00" w:type="dxa"/>
            <w:vAlign w:val="bottom"/>
          </w:tcPr>
          <w:p>
            <w:pPr>
              <w:spacing w:after="0"/>
              <w:rPr>
                <w:sz w:val="14"/>
                <w:szCs w:val="14"/>
                <w:color w:val="auto"/>
              </w:rPr>
            </w:pP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3126"/>
              <w:spacing w:after="0"/>
              <w:rPr>
                <w:sz w:val="20"/>
                <w:szCs w:val="20"/>
                <w:color w:val="auto"/>
              </w:rPr>
            </w:pPr>
            <w:r>
              <w:rPr>
                <w:rFonts w:ascii="Courier New" w:cs="Courier New" w:eastAsia="Courier New" w:hAnsi="Courier New"/>
                <w:sz w:val="15"/>
                <w:szCs w:val="15"/>
                <w:color w:val="auto"/>
                <w:w w:val="94"/>
              </w:rPr>
              <w:t>Current:</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Federal..................................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$ 3,795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State and local..........................</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c>
          <w:tcPr>
            <w:tcW w:w="400" w:type="dxa"/>
            <w:vAlign w:val="bottom"/>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1,084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1,063</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federal and state taxes...........</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(8,653)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(5,499)</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Total income tax expense</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40</w:t>
            </w:r>
          </w:p>
        </w:tc>
        <w:tc>
          <w:tcPr>
            <w:tcW w:w="4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$(8,628)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(641)</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YEAR ENDED</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1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Computed "expected" tax benefit............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$(49,923)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$(60,844)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1"/>
        </w:trPr>
        <w:tc>
          <w:tcPr>
            <w:tcW w:w="39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Nondeductible in-process research and</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 of acquired businesses.......</w:t>
            </w:r>
          </w:p>
        </w:tc>
        <w:tc>
          <w:tcPr>
            <w:tcW w:w="128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41,602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49,000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Nondeductible intangible amortization......</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39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State and local taxes, net of federal</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 benefit.......................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(626)</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net.................................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Total income tax expense</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(8,628)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(641)</w:t>
            </w:r>
          </w:p>
        </w:tc>
      </w:tr>
      <w:tr>
        <w:trPr>
          <w:trHeight w:val="171"/>
        </w:trPr>
        <w:tc>
          <w:tcPr>
            <w:tcW w:w="39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1997 and 1998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8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500" w:type="dxa"/>
            <w:vAlign w:val="bottom"/>
          </w:tcPr>
          <w:p>
            <w:pPr>
              <w:spacing w:after="0"/>
              <w:rPr>
                <w:sz w:val="14"/>
                <w:szCs w:val="14"/>
                <w:color w:val="auto"/>
              </w:rPr>
            </w:pPr>
          </w:p>
        </w:tc>
        <w:tc>
          <w:tcPr>
            <w:tcW w:w="1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operating loss carryforwards..........................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$ 9,150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$ 1,155</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Intangible assets.........................................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5,117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1,870</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Allowance for bad debts and returns.......................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1,699</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Accrued compensation and related items....................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1,731</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Stock warrants............................................</w:t>
            </w:r>
          </w:p>
        </w:tc>
        <w:tc>
          <w:tcPr>
            <w:tcW w:w="10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12,964</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Reserve accruals..........................................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Valuation allowance.......................................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(6,000)</w:t>
            </w:r>
          </w:p>
        </w:tc>
        <w:tc>
          <w:tcPr>
            <w:tcW w:w="84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deferred tax assets.........................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11,384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22,631</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Prepaid expenses..........................................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deferred tax liabilities....................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(2,511)</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deferred tax asset............................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$ 6,065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$20,120</w:t>
            </w:r>
          </w:p>
        </w:tc>
      </w:tr>
      <w:tr>
        <w:trPr>
          <w:trHeight w:val="171"/>
        </w:trPr>
        <w:tc>
          <w:tcPr>
            <w:tcW w:w="55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valuation allowance at June 30, 1997 reduced deferred tax assets to the amount the Company believed more likely than not would be realized. During the year ended June 30, 1998, gains resulted from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628"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sale of certain software operations enabled the Company to realize the full value of deferred tax assets. The resulting elimination of the valuation allowance reduced unamortized intangible assets resulting from the Servantis acquisition. At June 30, 1998, the Company has approximately $1,155,000 of state net operating loss carryforwards available, expiring in 2009 to 2012.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5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Land and land improvements..................................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$ 3,146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$ 3,146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14,442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16,692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41,264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55,526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Furniture and equipment.....................................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9,002</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65,959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84,366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21,932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33,446</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Property -- net...................................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$44,027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$50,920</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INTANGIBLE ASSETS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intangible assets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Workforce...................................................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$ 5,179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Tradenames..................................................</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Customer base...............................................</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41,126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28,927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Exclusivity.................................................</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7,900</w:t>
            </w: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64,986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36,152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5,678</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56,896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$30,474</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6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Salaries and related costs..................................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$ 9,374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Services and license agreement accrual......................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9,887</w:t>
            </w:r>
          </w:p>
        </w:tc>
        <w:tc>
          <w:tcPr>
            <w:tcW w:w="7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contract and other losses.......................</w:t>
            </w:r>
          </w:p>
        </w:tc>
        <w:tc>
          <w:tcPr>
            <w:tcW w:w="8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Processing fees.............................................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returns and chargebacks.........................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5,430</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$31,056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$24,738</w:t>
            </w:r>
          </w:p>
        </w:tc>
      </w:tr>
      <w:tr>
        <w:trPr>
          <w:trHeight w:val="171"/>
        </w:trPr>
        <w:tc>
          <w:tcPr>
            <w:tcW w:w="54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The reserve for contract and other losses at June 30, 1998 is comprised of $4.7 million related to an estimated loss from the sale of the leasing business that occurred on July 7, 1998 (see Note 20,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"Subsequent Events") and $1.0 million for accrued contract losses and related costs which resulted in the decision to exit the Web Investor business.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LONG-TERM DEBT AND NOTE PAYABLE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March 1996, the Company executed an unsecured note payable with a bank for $1.1 million. The principal amount was due in July 1998, with interest payable quarterly based on the LIBOR rate (total of 5.8% at June 30, 1997). In January of 1998, the note was paid in full.</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the six months ended June 30, 1996, the Company retired certain debt in connection with a business acquisition, resulting in an extraordinary loss of $364,000, net of income taxes of $205,000.</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estimated fair value of the Company's note payable approximated its carrying amounts as of June 30, 1997 based on currently available debt with similar interest rates and remaining maturities.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funds have been drawn against the line through June 30,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1993, the Company entered into a 20-year lease with the Department of Development of the State of Ohio for land and an office building located in Columbus, Ohio. The Company has the option to purchase the land and building for $1 at the termination of the lease and thus, the Company has recorded the transaction as a capital lease. The lease payments are secured by a $751,500 standby letter of credit agreement with a bank and are partially guaranteed by an officer and principal stockholder of the Company. The standby letter of credit is collateralized by a savings account totaling $609,292 at June 30, 1998 and certain real estate adjacent to the leased property. The lease contains certain covenants, the most restrictive of which require the Company to maintain certain debt to equity ratios and tangible net worth and working capital levels.</w:t>
      </w:r>
    </w:p>
    <w:p>
      <w:pPr>
        <w:spacing w:after="0" w:line="16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3360" w:type="dxa"/>
            <w:vAlign w:val="bottom"/>
          </w:tcPr>
          <w:p>
            <w:pPr>
              <w:spacing w:after="0"/>
              <w:rPr>
                <w:sz w:val="14"/>
                <w:szCs w:val="14"/>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Land........................................................</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$3,146</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Building....................................................</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4,526</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Computer equipment..........................................</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2,371</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74"/>
              </w:rPr>
              <w:t>Total.............................................</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10,043</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1"/>
              </w:rPr>
              <w:t>Less accumulated depreciation...............................</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3,081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2,017</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3"/>
                <w:szCs w:val="13"/>
                <w:color w:val="auto"/>
                <w:w w:val="73"/>
              </w:rPr>
              <w:t>Property held under capital leases........................</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$8,909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$8,026</w:t>
            </w:r>
          </w:p>
        </w:tc>
      </w:tr>
      <w:tr>
        <w:trPr>
          <w:trHeight w:val="171"/>
        </w:trPr>
        <w:tc>
          <w:tcPr>
            <w:tcW w:w="336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800" w:type="dxa"/>
            <w:vAlign w:val="bottom"/>
          </w:tcPr>
          <w:p>
            <w:pPr>
              <w:jc w:val="right"/>
              <w:ind w:right="2366"/>
              <w:spacing w:after="0"/>
              <w:rPr>
                <w:sz w:val="20"/>
                <w:szCs w:val="20"/>
                <w:color w:val="auto"/>
              </w:rPr>
            </w:pPr>
            <w:r>
              <w:rPr>
                <w:rFonts w:ascii="Courier New" w:cs="Courier New" w:eastAsia="Courier New" w:hAnsi="Courier New"/>
                <w:sz w:val="15"/>
                <w:szCs w:val="15"/>
                <w:color w:val="auto"/>
                <w:w w:val="94"/>
              </w:rPr>
              <w:t>F-16</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3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41"/>
        </w:trPr>
        <w:tc>
          <w:tcPr>
            <w:tcW w:w="520" w:type="dxa"/>
            <w:vAlign w:val="bottom"/>
          </w:tcPr>
          <w:p>
            <w:pPr>
              <w:spacing w:after="0"/>
              <w:rPr>
                <w:sz w:val="24"/>
                <w:szCs w:val="24"/>
                <w:color w:val="auto"/>
              </w:rPr>
            </w:pPr>
          </w:p>
        </w:tc>
        <w:tc>
          <w:tcPr>
            <w:tcW w:w="6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41"/>
        </w:trPr>
        <w:tc>
          <w:tcPr>
            <w:tcW w:w="6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future</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minimum lease payments are as follows (in thousands):</w:t>
            </w:r>
          </w:p>
        </w:tc>
        <w:tc>
          <w:tcPr>
            <w:tcW w:w="1420" w:type="dxa"/>
            <w:vAlign w:val="bottom"/>
          </w:tcPr>
          <w:p>
            <w:pPr>
              <w:spacing w:after="0"/>
              <w:rPr>
                <w:sz w:val="14"/>
                <w:szCs w:val="14"/>
                <w:color w:val="auto"/>
              </w:rPr>
            </w:pPr>
          </w:p>
        </w:tc>
      </w:tr>
      <w:tr>
        <w:trPr>
          <w:trHeight w:val="683"/>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488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YEAR ENDING JUNE 30,</w:t>
            </w:r>
          </w:p>
        </w:tc>
        <w:tc>
          <w:tcPr>
            <w:tcW w:w="1420" w:type="dxa"/>
            <w:vAlign w:val="bottom"/>
          </w:tcPr>
          <w:p>
            <w:pPr>
              <w:spacing w:after="0"/>
              <w:rPr>
                <w:sz w:val="24"/>
                <w:szCs w:val="24"/>
                <w:color w:val="auto"/>
              </w:rPr>
            </w:pPr>
          </w:p>
        </w:tc>
      </w:tr>
      <w:tr>
        <w:trPr>
          <w:trHeight w:val="171"/>
        </w:trPr>
        <w:tc>
          <w:tcPr>
            <w:tcW w:w="5400" w:type="dxa"/>
            <w:vAlign w:val="bottom"/>
            <w:gridSpan w:val="2"/>
          </w:tcPr>
          <w:p>
            <w:pPr>
              <w:jc w:val="right"/>
              <w:ind w:right="2766"/>
              <w:spacing w:after="0"/>
              <w:rPr>
                <w:sz w:val="20"/>
                <w:szCs w:val="20"/>
                <w:color w:val="auto"/>
              </w:rPr>
            </w:pPr>
            <w:r>
              <w:rPr>
                <w:rFonts w:ascii="Courier New" w:cs="Courier New" w:eastAsia="Courier New" w:hAnsi="Courier New"/>
                <w:sz w:val="15"/>
                <w:szCs w:val="15"/>
                <w:color w:val="auto"/>
                <w:w w:val="97"/>
              </w:rPr>
              <w:t>- ---------------------------</w:t>
            </w:r>
          </w:p>
        </w:tc>
        <w:tc>
          <w:tcPr>
            <w:tcW w:w="1420" w:type="dxa"/>
            <w:vAlign w:val="bottom"/>
          </w:tcPr>
          <w:p>
            <w:pPr>
              <w:spacing w:after="0"/>
              <w:rPr>
                <w:sz w:val="14"/>
                <w:szCs w:val="14"/>
                <w:color w:val="auto"/>
              </w:rPr>
            </w:pPr>
          </w:p>
        </w:tc>
      </w:tr>
      <w:tr>
        <w:trPr>
          <w:trHeight w:val="34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$ 1,372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1,332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1,091</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976</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837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5,451</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future minimum lease payments...............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11,059</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 representing interest.........................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3,681</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$ 7,378</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 ended December 31, 1995, the six months ended June 30, 1996, and the years ended June 30, 1997 and 1998, was $665,000, $1,936,000, $5,882,000, and $5,800,000, respectively. Minimum future rental payments under these leases are as follows (in thousands):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ENDING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$ 6,289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6,395</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5,427</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4,869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3,769</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6,800</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$33,549</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EMPLOYEE BENEFIT PLANS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Retirement Plan. The Company has a defined contribution 401(k) retirement plan covering substantially all of its employees. Under the plan eligible employees may contribute a portion of their salary until retirement and the Company, at its discretion, may match a portion of the employee's contribution. Total expense under the plan amounted to $97,000, $367,000, $1,862,000, and $859,000, for the year ended December 31, 1995, the six months ended June 30, 1996, and the years ended June 30, 1997 and 1998, respectively.</w:t>
      </w:r>
    </w:p>
    <w:p>
      <w:pPr>
        <w:spacing w:after="0" w:line="160"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Group Medical Plan</w:t>
      </w:r>
      <w:r>
        <w:rPr>
          <w:sz w:val="20"/>
          <w:szCs w:val="20"/>
          <w:color w:val="auto"/>
        </w:rPr>
        <w:tab/>
      </w:r>
      <w:r>
        <w:rPr>
          <w:rFonts w:ascii="Courier New" w:cs="Courier New" w:eastAsia="Courier New" w:hAnsi="Courier New"/>
          <w:sz w:val="14"/>
          <w:szCs w:val="14"/>
          <w:color w:val="auto"/>
        </w:rPr>
        <w:t>The Company has a group medical self-insurance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stop-loss insurance coverage on all individual claims exceeding $100,000.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under this plan amounted to $626,000, $1,140,000, $3,458,000,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$2,522,000 for the year ended December 31, 1995, the six months ended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the years ended June 30, 1997 and 1998, respectively.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amounts as claims are incurred and recognizes a liability for incurred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not reported claims. At June 30,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78" w:name="page79"/>
    <w:bookmarkEnd w:id="78"/>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75</w:t>
      </w:r>
    </w:p>
    <w:p>
      <w:pPr>
        <w:spacing w:after="0" w:line="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280"/>
        <w:spacing w:after="0" w:line="271" w:lineRule="auto"/>
        <w:rPr>
          <w:sz w:val="20"/>
          <w:szCs w:val="20"/>
          <w:color w:val="auto"/>
        </w:rPr>
      </w:pPr>
      <w:r>
        <w:rPr>
          <w:rFonts w:ascii="Courier New" w:cs="Courier New" w:eastAsia="Courier New" w:hAnsi="Courier New"/>
          <w:sz w:val="14"/>
          <w:szCs w:val="14"/>
          <w:color w:val="auto"/>
        </w:rPr>
        <w:t>1997 and June 30, 1998, the Company has accrued $378,000 and $308,000, respectively, as a liability for costs incurred but not paid under this plan.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4"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 of grant. The 1995 Plan provides that the Company may grant options for not more than 5,000,000 shares of common stock to certain key employees, officers and directors. Options granted under the 1995 and 1993 Plans are exercisable according to the terms of each option, however, in the event of a change in control or merger as defined, the options shall become immediately exercisable. At June 30, 1998, 956,289 additional shares are available for grant in the aggregate for all Plans.</w:t>
      </w:r>
    </w:p>
    <w:p>
      <w:pPr>
        <w:spacing w:after="0" w:line="181"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firstLine="444"/>
        <w:spacing w:after="0"/>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summarizes the stock option activity from January 1, 1995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34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YEAR ENDED</w:t>
            </w:r>
          </w:p>
        </w:tc>
        <w:tc>
          <w:tcPr>
            <w:tcW w:w="24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 1995</w:t>
            </w:r>
          </w:p>
        </w:tc>
        <w:tc>
          <w:tcPr>
            <w:tcW w:w="244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JUNE 30, 1996</w:t>
            </w: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NUMBER</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NUMBER</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OF</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SHARES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3,074,736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2,901,782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160,746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7.12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459,289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21.79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(270,262)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(874,195)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0.99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(63,438)</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0.73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(22,020)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Issued in conjunction</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with Servantis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Acquisition..........</w:t>
            </w:r>
          </w:p>
        </w:tc>
        <w:tc>
          <w:tcPr>
            <w:tcW w:w="13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443,362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End of</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2,901,782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2,908,218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$ 4.58</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  1,732,206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1,433,781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$ 1.16</w:t>
            </w: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 fair value of</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during the year......</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$2.92</w:t>
            </w:r>
          </w:p>
        </w:tc>
        <w:tc>
          <w:tcPr>
            <w:tcW w:w="11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$ 8.45</w:t>
            </w: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spacing w:after="0"/>
              <w:rPr>
                <w:sz w:val="24"/>
                <w:szCs w:val="24"/>
                <w:color w:val="auto"/>
              </w:rPr>
            </w:pPr>
          </w:p>
        </w:tc>
        <w:tc>
          <w:tcPr>
            <w:tcW w:w="3340" w:type="dxa"/>
            <w:vAlign w:val="bottom"/>
            <w:gridSpan w:val="2"/>
          </w:tcPr>
          <w:p>
            <w:pPr>
              <w:jc w:val="right"/>
              <w:ind w:right="786"/>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JUNE 30, 1998</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3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NUMBER</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center"/>
              <w:ind w:left="466"/>
              <w:spacing w:after="0"/>
              <w:rPr>
                <w:sz w:val="20"/>
                <w:szCs w:val="20"/>
                <w:color w:val="auto"/>
              </w:rPr>
            </w:pPr>
            <w:r>
              <w:rPr>
                <w:rFonts w:ascii="Courier New" w:cs="Courier New" w:eastAsia="Courier New" w:hAnsi="Courier New"/>
                <w:sz w:val="15"/>
                <w:szCs w:val="15"/>
                <w:color w:val="auto"/>
                <w:w w:val="99"/>
              </w:rPr>
              <w:t>SHARES</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Beginnin</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of period............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4,441,461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$ 9.59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1,377,334</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25.60</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(711,227)</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(742,006)</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12.63</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in conjunction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with Servantis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JUNE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NUMBER</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OF</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9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SHARES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2,908,218</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$ 4.58</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2,282,056</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14.32</w:t>
            </w:r>
          </w:p>
        </w:tc>
      </w:tr>
      <w:tr>
        <w:trPr>
          <w:trHeight w:val="171"/>
        </w:trPr>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(636,309)</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(112,504)</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14.88</w:t>
            </w:r>
          </w:p>
        </w:tc>
      </w:tr>
      <w:tr>
        <w:trPr>
          <w:trHeight w:val="683"/>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spacing w:after="0"/>
              <w:rPr>
                <w:sz w:val="24"/>
                <w:szCs w:val="24"/>
                <w:color w:val="auto"/>
              </w:rPr>
            </w:pPr>
          </w:p>
        </w:tc>
      </w:tr>
      <w:tr>
        <w:trPr>
          <w:trHeight w:val="34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4,441,461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$ 9.59</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1,218,341</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$ 1.17</w:t>
            </w:r>
          </w:p>
        </w:tc>
      </w:tr>
      <w:tr>
        <w:trPr>
          <w:trHeight w:val="171"/>
        </w:trPr>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683"/>
        </w:trPr>
        <w:tc>
          <w:tcPr>
            <w:tcW w:w="980" w:type="dxa"/>
            <w:vAlign w:val="bottom"/>
          </w:tcPr>
          <w:p>
            <w:pPr>
              <w:spacing w:after="0"/>
              <w:rPr>
                <w:sz w:val="24"/>
                <w:szCs w:val="2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$ 6.68</w:t>
            </w:r>
          </w:p>
        </w:tc>
      </w:tr>
      <w:tr>
        <w:trPr>
          <w:trHeight w:val="171"/>
        </w:trPr>
        <w:tc>
          <w:tcPr>
            <w:tcW w:w="9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2">
            <w:col w:w="7100" w:space="260"/>
            <w:col w:w="2859"/>
          </w:cols>
          <w:pgMar w:left="240" w:top="287" w:right="1440"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86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6"/>
              </w:rPr>
              <w:t>End of</w:t>
            </w:r>
          </w:p>
        </w:tc>
        <w:tc>
          <w:tcPr>
            <w:tcW w:w="98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2"/>
                <w:szCs w:val="12"/>
                <w:color w:val="auto"/>
                <w:w w:val="75"/>
              </w:rPr>
              <w:t>period...............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4,365,562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w:t>
            </w:r>
          </w:p>
        </w:tc>
        <w:tc>
          <w:tcPr>
            <w:tcW w:w="98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period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1,352,516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$ 6.81</w:t>
            </w:r>
          </w:p>
        </w:tc>
      </w:tr>
      <w:tr>
        <w:trPr>
          <w:trHeight w:val="171"/>
        </w:trPr>
        <w:tc>
          <w:tcPr>
            <w:tcW w:w="132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 fair value of</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98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during the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$10.77</w:t>
            </w:r>
          </w:p>
        </w:tc>
      </w:tr>
      <w:tr>
        <w:trPr>
          <w:trHeight w:val="171"/>
        </w:trPr>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F-18</w:t>
            </w:r>
          </w:p>
        </w:tc>
      </w:tr>
    </w:tbl>
    <w:p>
      <w:pPr>
        <w:sectPr>
          <w:pgSz w:w="11900" w:h="16838" w:orient="portrait"/>
          <w:cols w:equalWidth="0" w:num="1">
            <w:col w:w="10219"/>
          </w:cols>
          <w:pgMar w:left="240" w:top="13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gridSpan w:val="5"/>
          </w:tcPr>
          <w:p>
            <w:pPr>
              <w:jc w:val="right"/>
              <w:ind w:right="42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(CONTINUED)</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w:t>
            </w:r>
          </w:p>
        </w:tc>
        <w:tc>
          <w:tcPr>
            <w:tcW w:w="6400" w:type="dxa"/>
            <w:vAlign w:val="bottom"/>
            <w:gridSpan w:val="6"/>
          </w:tcPr>
          <w:p>
            <w:pPr>
              <w:jc w:val="right"/>
              <w:ind w:right="326"/>
              <w:spacing w:after="0"/>
              <w:rPr>
                <w:sz w:val="20"/>
                <w:szCs w:val="20"/>
                <w:color w:val="auto"/>
              </w:rPr>
            </w:pPr>
            <w:r>
              <w:rPr>
                <w:rFonts w:ascii="Courier New" w:cs="Courier New" w:eastAsia="Courier New" w:hAnsi="Courier New"/>
                <w:sz w:val="15"/>
                <w:szCs w:val="15"/>
                <w:color w:val="auto"/>
                <w:w w:val="99"/>
              </w:rPr>
              <w:t>following table summarizes information about options outstanding at</w:t>
            </w:r>
          </w:p>
        </w:tc>
        <w:tc>
          <w:tcPr>
            <w:tcW w:w="920" w:type="dxa"/>
            <w:vAlign w:val="bottom"/>
          </w:tcPr>
          <w:p>
            <w:pPr>
              <w:spacing w:after="0"/>
              <w:rPr>
                <w:sz w:val="24"/>
                <w:szCs w:val="24"/>
                <w:color w:val="auto"/>
              </w:rPr>
            </w:pP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80" w:type="dxa"/>
            <w:vAlign w:val="bottom"/>
            <w:gridSpan w:val="2"/>
          </w:tcPr>
          <w:p>
            <w:pPr>
              <w:jc w:val="center"/>
              <w:ind w:left="866"/>
              <w:spacing w:after="0"/>
              <w:rPr>
                <w:sz w:val="20"/>
                <w:szCs w:val="20"/>
                <w:color w:val="auto"/>
              </w:rPr>
            </w:pPr>
            <w:r>
              <w:rPr>
                <w:rFonts w:ascii="Courier New" w:cs="Courier New" w:eastAsia="Courier New" w:hAnsi="Courier New"/>
                <w:sz w:val="15"/>
                <w:szCs w:val="15"/>
                <w:color w:val="auto"/>
                <w:w w:val="98"/>
              </w:rPr>
              <w:t>OPTIONS OUTSTANDING</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OPTIONS EXERCISABLE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760" w:type="dxa"/>
            <w:vAlign w:val="bottom"/>
          </w:tcPr>
          <w:p>
            <w:pPr>
              <w:spacing w:after="0"/>
              <w:rPr>
                <w:sz w:val="14"/>
                <w:szCs w:val="14"/>
                <w:color w:val="auto"/>
              </w:rPr>
            </w:pPr>
          </w:p>
        </w:tc>
        <w:tc>
          <w:tcPr>
            <w:tcW w:w="198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760" w:type="dxa"/>
            <w:vAlign w:val="bottom"/>
          </w:tcPr>
          <w:p>
            <w:pPr>
              <w:spacing w:after="0"/>
              <w:rPr>
                <w:sz w:val="14"/>
                <w:szCs w:val="14"/>
                <w:color w:val="auto"/>
              </w:rPr>
            </w:pPr>
          </w:p>
        </w:tc>
        <w:tc>
          <w:tcPr>
            <w:tcW w:w="1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REMAINING</w:t>
            </w:r>
          </w:p>
        </w:tc>
        <w:tc>
          <w:tcPr>
            <w:tcW w:w="10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RANGE OF</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EXERCISE PRICES</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NUMBER</w:t>
            </w:r>
          </w:p>
        </w:tc>
        <w:tc>
          <w:tcPr>
            <w:tcW w:w="15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CONTRACTUAL LIFE</w:t>
            </w:r>
          </w:p>
        </w:tc>
        <w:tc>
          <w:tcPr>
            <w:tcW w:w="10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6"/>
                <w:szCs w:val="6"/>
                <w:color w:val="auto"/>
                <w:w w:val="76"/>
              </w:rPr>
              <w:t>- ------------------------</w:t>
            </w:r>
          </w:p>
        </w:tc>
        <w:tc>
          <w:tcPr>
            <w:tcW w:w="15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$0.85 -</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1,012,811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823,408</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$ 0.98</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1,257,191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8.6</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13.74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302,259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697,860</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17.60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182,060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17.35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$25.00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214,089</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8.9</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23.16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44,789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22.21</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1,183,611</w:t>
            </w:r>
          </w:p>
        </w:tc>
        <w:tc>
          <w:tcPr>
            <w:tcW w:w="15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26.07</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4,365,562</w:t>
            </w:r>
          </w:p>
        </w:tc>
        <w:tc>
          <w:tcPr>
            <w:tcW w:w="15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15.23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1,352,516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$ 6.81</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0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 ended December 31, 1995, the six months ended June 30, 1996, and the years ended June 30, 1997 and 1998, respectively: dividend yield of 0% in all periods; expected volatility of 40%, 40%, 47%, and 48%; risk-free interest rates of 5.25%, 6.68%, 6.41%, and 5.21%; and expected lives of 3-5 years.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1997 Associate Stock Purchase Plan, effective for the six-month period beginning January 1, 1997, the Company is authorized to issue up to one million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1998 and approximately 49% in the second half of 1998. Under the plan, 53,013 shares were issued in July of 1997, 56,844 in January of 1998 and 48,631 in July of 1998 from employees' salary withholdings from the respective previous six-month period. Following is a summary of the weighted average fair market value of this look-back option estimated on the grant date using the Black-Scholes option pricing model, and the related assumptions used: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4"/>
          </w:tcPr>
          <w:p>
            <w:pPr>
              <w:jc w:val="center"/>
              <w:ind w:right="106"/>
              <w:spacing w:after="0"/>
              <w:rPr>
                <w:sz w:val="20"/>
                <w:szCs w:val="20"/>
                <w:color w:val="auto"/>
              </w:rPr>
            </w:pPr>
            <w:r>
              <w:rPr>
                <w:rFonts w:ascii="Courier New" w:cs="Courier New" w:eastAsia="Courier New" w:hAnsi="Courier New"/>
                <w:sz w:val="15"/>
                <w:szCs w:val="15"/>
                <w:color w:val="auto"/>
                <w:w w:val="97"/>
              </w:rPr>
              <w:t>SIX-MONTH PERIOD ENDED</w:t>
            </w:r>
          </w:p>
        </w:tc>
      </w:tr>
      <w:tr>
        <w:trPr>
          <w:trHeight w:val="171"/>
        </w:trPr>
        <w:tc>
          <w:tcPr>
            <w:tcW w:w="4600" w:type="dxa"/>
            <w:vAlign w:val="bottom"/>
          </w:tcPr>
          <w:p>
            <w:pPr>
              <w:spacing w:after="0"/>
              <w:rPr>
                <w:sz w:val="14"/>
                <w:szCs w:val="14"/>
                <w:color w:val="auto"/>
              </w:rPr>
            </w:pPr>
          </w:p>
        </w:tc>
        <w:tc>
          <w:tcPr>
            <w:tcW w:w="33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60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Fair value of options..............................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14.10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9.68</w:t>
            </w:r>
          </w:p>
        </w:tc>
      </w:tr>
      <w:tr>
        <w:trPr>
          <w:trHeight w:val="171"/>
        </w:trPr>
        <w:tc>
          <w:tcPr>
            <w:tcW w:w="46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6"/>
              </w:rPr>
              <w:t>Assumptions: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Expected life....................................</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3 months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3 months</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 months</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Volatility.......................................</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 yield...................................</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77</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"Accounting for Stock-Based Compensation," the Company's</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net loss and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24"/>
                <w:szCs w:val="24"/>
                <w:color w:val="auto"/>
              </w:rPr>
            </w:pP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w w:val="98"/>
              </w:rPr>
              <w:t>per share, net of related income tax effects, would have</w:t>
            </w:r>
          </w:p>
        </w:tc>
        <w:tc>
          <w:tcPr>
            <w:tcW w:w="2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been as follows (in</w:t>
            </w:r>
          </w:p>
        </w:tc>
        <w:tc>
          <w:tcPr>
            <w:tcW w:w="80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thousands, except per share data):</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SIX MONTHS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6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JUNE 30,</w:t>
            </w:r>
          </w:p>
        </w:tc>
        <w:tc>
          <w:tcPr>
            <w:tcW w:w="18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Pro forma net loss......................</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 (245)</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$(138,797)</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$(164,089)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$(9,521)</w:t>
            </w:r>
          </w:p>
        </w:tc>
      </w:tr>
      <w:tr>
        <w:trPr>
          <w:trHeight w:val="171"/>
        </w:trPr>
        <w:tc>
          <w:tcPr>
            <w:tcW w:w="36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Pro forma net loss per share, (basic and</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$(0.01)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   (3.49)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6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As of June 30, 1996 certain stockholders had an option to sell up to 280,565 shares of common stock to the Company at $19 per share which expired on September 30, 1996. Of the eligible shares, 276,469 were sold to the Company and were recorded as treasury stock.</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In September 1997, 78,257 shares were issued out of treasury stock to fund the Company's match that accrued during the year ended June 30, 1997.</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model valuation of $10.80 per vested share using the following assumptions: risk-free rate of 5.7%, expected life of 10 years, and 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of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the key customer set forth in the agreement. Any shares acquired by the consultant under the terms of the agreement are subject to certain transfer restrictions. In accordance with the terms of a joint marketing agreement, a strategic partner has warrants to purchase up to 650,000 shares of common stock at $20 per share should the partner attain certain customer acquisition targets.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1998 the Company offered an option repricing program to its employees. Under the terms of the offer, employees had one week to decide whether to cancel any outstanding option grant in its entirety and replace it on a share-for-share basis with an option grant with an exercise price equal to the fair market value of the Company's stock at the new grant date. Only those cancellations received within</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one day after the designated grant date were accepted and any vested options in such canceled grants were forfeited. The lives of canceled historical grants typically ranged from three to five years with straight line vesting beginning one year from the original grant date. All newly issued option grants have a life of five years and vesting occurs at 40% beginning two years from the new grant date and 20% for each year thereafter. A total of 1,333,903 options were returned and had the offer taken place at June 30, 1998, the options exercisable would have reduced by 95,614 to 1,256,902.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SUPPLEMENTAL DISCLOSURE OF CASH FLOW INFORMATION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YEAR ENDED</w:t>
            </w:r>
          </w:p>
        </w:tc>
        <w:tc>
          <w:tcPr>
            <w:tcW w:w="15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SIX MONTHS</w:t>
            </w:r>
          </w:p>
        </w:tc>
        <w:tc>
          <w:tcPr>
            <w:tcW w:w="19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ENDED JUNE 30,</w:t>
            </w:r>
          </w:p>
        </w:tc>
        <w:tc>
          <w:tcPr>
            <w:tcW w:w="19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(IN THOUSANDS)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paid....................................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 paid................................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1,147</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$1,434</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Supplemental disclosure of non-cash investing and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financing activities: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650</w:t>
            </w:r>
          </w:p>
        </w:tc>
      </w:tr>
      <w:tr>
        <w:trPr>
          <w:trHeight w:val="171"/>
        </w:trPr>
        <w:tc>
          <w:tcPr>
            <w:tcW w:w="44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price of business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$265,239</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$200,997</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Less: Issuance of common stock and stock</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 pursuant to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174,812</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177,188</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assumed.........................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44,065</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1,619</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present value of future payment due.....</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acquired in acquisitions...............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6,958</w:t>
            </w:r>
          </w:p>
        </w:tc>
        <w:tc>
          <w:tcPr>
            <w:tcW w:w="2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1,217</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paid..........................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$ 39,404</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$ 11,363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855</w:t>
            </w:r>
          </w:p>
        </w:tc>
      </w:tr>
      <w:tr>
        <w:trPr>
          <w:trHeight w:val="17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F-21</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BUSINESS SEGMENTS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Prior to 1996, the Company operated in one segment -- Electronic Commerce. Approximately 13% of the Company's revenues for the year ended December 31, 1995, were from a single customer. With the acquisition of Servantis in February 1996 and Security APL in May 1996, the Company now also operates in the Software and Institutional Investment Services segments. The net revenues of each segment are principally domestic, and no single customer accounted for 10% or more of consolidated revenues for the six months ended June 30, 1996 or the years ended June 30, 1997 and 1998. A further description of each business segment follows:</w:t>
      </w:r>
    </w:p>
    <w:p>
      <w:pPr>
        <w:spacing w:after="0" w:line="161" w:lineRule="exact"/>
        <w:rPr>
          <w:sz w:val="20"/>
          <w:szCs w:val="20"/>
          <w:color w:val="auto"/>
        </w:rPr>
      </w:pPr>
    </w:p>
    <w:p>
      <w:pPr>
        <w:ind w:left="620" w:right="3119" w:hanging="185"/>
        <w:spacing w:after="0" w:line="239"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 Electronic commerce includes electronic home banking, electronic bill payment and business payments. These services are primarily directed to financial institutions and businesses and their customers.</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Software services includes end-to-end software products for ACH processing, account reconciliation, wire transfer, mortgage loan origination and servicing, lease accounting and debt recovery. These products and services are primarily directed to financial institutions and large corporations.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Investment services includes investment portfolio management services and investment trading and reporting services. These products and services are primarily directed to institutional investment managers.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six months ended June 30, 1996 and the years ended June 30, 1997 and 1998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SIX-MONTHS</w:t>
            </w:r>
          </w:p>
        </w:tc>
        <w:tc>
          <w:tcPr>
            <w:tcW w:w="300" w:type="dxa"/>
            <w:vAlign w:val="bottom"/>
          </w:tcPr>
          <w:p>
            <w:pPr>
              <w:spacing w:after="0"/>
              <w:rPr>
                <w:sz w:val="14"/>
                <w:szCs w:val="14"/>
                <w:color w:val="auto"/>
              </w:rPr>
            </w:pPr>
          </w:p>
        </w:tc>
        <w:tc>
          <w:tcPr>
            <w:tcW w:w="16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ENDED</w:t>
            </w:r>
          </w:p>
        </w:tc>
        <w:tc>
          <w:tcPr>
            <w:tcW w:w="110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2"/>
              </w:rPr>
              <w:t>--------------------</w:t>
            </w:r>
          </w:p>
        </w:tc>
        <w:tc>
          <w:tcPr>
            <w:tcW w:w="8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30, 1996</w:t>
            </w:r>
          </w:p>
        </w:tc>
        <w:tc>
          <w:tcPr>
            <w:tcW w:w="30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29,783</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85,926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$137,972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18,271</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68,113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66,143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22,406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29,749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51,040</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$ 176,445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$233,864</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 including charge for acquired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 of $140,000</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1997........................................</w:t>
            </w:r>
          </w:p>
        </w:tc>
        <w:tc>
          <w:tcPr>
            <w:tcW w:w="13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(92,160)</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$(160,195)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$(39,423)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 including charge for acquired in-process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 of $719 in 1998.......</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(24,675)</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48,854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(28,629)</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(2,701)</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(21,449)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(21,647)</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$(148,165)</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$(175,149)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(7,176)</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29,425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59,265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$ 70,192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96,844</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39,346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25,099</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21,187</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44,862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79,683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119,387</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$ 196,230</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$ 223,836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4,651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$ 19,532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1,087</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2,197</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666</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3,429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5,315</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7,090</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$ 27,939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Electronic Commerce...............................</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1,698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9,964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Software..........................................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4,345</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Services...............................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4,558</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Corporate.........................................</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322</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7,945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4,426</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6,997</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24,919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$ 24,999</w:t>
            </w:r>
          </w:p>
        </w:tc>
      </w:tr>
      <w:tr>
        <w:trPr>
          <w:trHeight w:val="171"/>
        </w:trPr>
        <w:tc>
          <w:tcPr>
            <w:tcW w:w="4700" w:type="dxa"/>
            <w:vAlign w:val="bottom"/>
          </w:tcPr>
          <w:p>
            <w:pPr>
              <w:spacing w:after="0"/>
              <w:rPr>
                <w:sz w:val="14"/>
                <w:szCs w:val="14"/>
                <w:color w:val="auto"/>
              </w:rPr>
            </w:pP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F-23</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DATA (UNAUDITED)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1997 and 1998 includes all adjustments necessary for a fair presentation of quarterly results of operations: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QUARTER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5060" w:type="dxa"/>
            <w:vAlign w:val="bottom"/>
            <w:gridSpan w:val="8"/>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SEPTEMBER 30,</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MARCH 31,</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JUNE 30,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80" w:type="dxa"/>
            <w:vAlign w:val="bottom"/>
            <w:gridSpan w:val="7"/>
          </w:tcPr>
          <w:p>
            <w:pPr>
              <w:jc w:val="right"/>
              <w:ind w:right="466"/>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38,505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50,188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55,089</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(12,263)</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(8,695)</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(144,957)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(9,235)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(7,730)</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(5,321)</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(142,856)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per share (basic and 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and diluted equivalent number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41,620,174</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41,533,981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50,499,173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5,446,762</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52,087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56,515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63,512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17,187</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(2,771)</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(29,323)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9,771</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(1,692)</w:t>
            </w:r>
          </w:p>
        </w:tc>
        <w:tc>
          <w:tcPr>
            <w:tcW w:w="14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(17,540)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per share (basic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56,702,917</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55,028,174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55,281,335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55,375,715</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Dilutive equivalent number of shares........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56,919,685</w:t>
            </w:r>
          </w:p>
        </w:tc>
        <w:tc>
          <w:tcPr>
            <w:tcW w:w="18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55,028,174</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55,281,335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55,735,090</w:t>
            </w:r>
          </w:p>
        </w:tc>
      </w:tr>
      <w:tr>
        <w:trPr>
          <w:trHeight w:val="171"/>
        </w:trPr>
        <w:tc>
          <w:tcPr>
            <w:tcW w:w="40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sum of quarterly earnings (loss) per share does not equal the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980" w:type="dxa"/>
            <w:vAlign w:val="bottom"/>
            <w:gridSpan w:val="7"/>
          </w:tcPr>
          <w:p>
            <w:pPr>
              <w:spacing w:after="0"/>
              <w:rPr>
                <w:sz w:val="20"/>
                <w:szCs w:val="20"/>
                <w:color w:val="auto"/>
              </w:rPr>
            </w:pPr>
            <w:r>
              <w:rPr>
                <w:rFonts w:ascii="Courier New" w:cs="Courier New" w:eastAsia="Courier New" w:hAnsi="Courier New"/>
                <w:sz w:val="15"/>
                <w:szCs w:val="15"/>
                <w:color w:val="auto"/>
              </w:rPr>
              <w:t>year-to-date earnings (loss) per share for the respective fiscal periods due to</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w w:val="99"/>
              </w:rPr>
              <w:t>changes in number of shares outstanding at each quarter end.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w w:val="98"/>
              </w:rPr>
              <w:t>Significant Fourth Quarter Adjustments --</w:t>
            </w:r>
          </w:p>
        </w:tc>
        <w:tc>
          <w:tcPr>
            <w:tcW w:w="270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In the fourth quarter of 1998</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SUBSEQUENT EVENTS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6, 1998 the Company divested itself of certain software related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million to a customer to relieve the Company and acquiring party of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relating to a product related consulting agreement. The expected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of $4.7 million was recorded as an accrued liability in the fourth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year ended June 30, 1998 and is included in the Net Gain on Dispositions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Assets in the Company's Statement of Operations.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September 11, 1998 the Company sold certain software and other assets related to its mortgage line of business for $21.1 million. As part of the sale agreement, the Company retained responsibility for certain customer obligations and agreed to subcontract with the acquiring company to perform consulting services relating to retained customer obligations. The estimated gain on the sale transaction of approximately $5.4 million will be recorded in the first quarter of fiscal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7"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9959"/>
          </w:cols>
          <w:pgMar w:left="50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 THOUSANDS, EXCEPT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SHARE DATA)</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36,535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16,199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24,533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9,425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32,960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45,695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Assets held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15,881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Notes receivable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14,882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15,390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Prepaid expenses</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4,678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6,461</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7,231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10,160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136,700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103,330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50,920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58,087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11,387</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17,955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30,474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47,173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12,889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17,505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6,736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6,640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$ 250,112</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$ 250,690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 and other.............................</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30,365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26,373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 of long-term obligations..................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1,072</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19,710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23,708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59,791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58,857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Long-term obligations -- less current portion.............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6,467</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66,258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65,473</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-- 15,000,000 authorized shares, $.01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value; no shares issued or outstanding.................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value; issued 56,364,839 shares, 57,219,744 shares;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outstanding 56,364,839 shares, 51,670,363 shares.......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492,109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479,558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Treasury stock -- at cost, 963,295 shares, no shares......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(304,457)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(294,858)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183,854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185,217</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$ 250,112</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$ 250,690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NINE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26"/>
              <w:spacing w:after="0"/>
              <w:rPr>
                <w:sz w:val="20"/>
                <w:szCs w:val="20"/>
                <w:color w:val="auto"/>
              </w:rPr>
            </w:pPr>
            <w:r>
              <w:rPr>
                <w:rFonts w:ascii="Courier New" w:cs="Courier New" w:eastAsia="Courier New" w:hAnsi="Courier New"/>
                <w:sz w:val="15"/>
                <w:szCs w:val="15"/>
                <w:color w:val="auto"/>
                <w:w w:val="98"/>
              </w:rPr>
              <w:t>MARCH 31,</w:t>
            </w:r>
          </w:p>
        </w:tc>
      </w:tr>
      <w:tr>
        <w:trPr>
          <w:trHeight w:val="171"/>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960" w:type="dxa"/>
            <w:vAlign w:val="bottom"/>
            <w:gridSpan w:val="4"/>
          </w:tcPr>
          <w:p>
            <w:pPr>
              <w:jc w:val="center"/>
              <w:ind w:left="27"/>
              <w:spacing w:after="0"/>
              <w:rPr>
                <w:sz w:val="20"/>
                <w:szCs w:val="20"/>
                <w:color w:val="auto"/>
              </w:rPr>
            </w:pPr>
            <w:r>
              <w:rPr>
                <w:rFonts w:ascii="Courier New" w:cs="Courier New" w:eastAsia="Courier New" w:hAnsi="Courier New"/>
                <w:sz w:val="15"/>
                <w:szCs w:val="15"/>
                <w:color w:val="auto"/>
                <w:w w:val="98"/>
              </w:rPr>
              <w:t>(IN THOUSANDS, EXCEPT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9"/>
              </w:rPr>
              <w:t>PER SHARE DATA)</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$115,093</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$145,468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21,411</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19,904</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13,945</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10,592</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170,353</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179,379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94,332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107,572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26,157</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22,002</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15,748</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32,409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2,963</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213,710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187,814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gain on dispositions of assets..........................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28,449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(14,908)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net...............................................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1,866</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1,698</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(13,042)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(2,823)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 benefit..........................................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(3,581)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(12,422)</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(9,461)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54,989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52,696</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54,989</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56,117</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w w:val="97"/>
              </w:rPr>
              <w:t>NINE MONTHS ENDED MARCH 31,</w:t>
            </w: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38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(9,461)</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9,599</w:t>
            </w:r>
          </w:p>
        </w:tc>
      </w:tr>
      <w:tr>
        <w:trPr>
          <w:trHeight w:val="171"/>
        </w:trPr>
        <w:tc>
          <w:tcPr>
            <w:tcW w:w="53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Adjustments to reconcile net income (loss) to cash</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provided by (used in) operating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Charge for stock warrants.............................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32,409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19,380</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Exclusivity amortization..............................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 (net of acquisitions)...........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(4,082)</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(10,418)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(28,449)</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(3,914)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Write-off of in-process research and development......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506</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maturities and sales of</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investments-trading.................................</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18,169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Purchases of investments-trading......................</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(3,061)</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 (net of</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3386"/>
              <w:spacing w:after="0"/>
              <w:rPr>
                <w:sz w:val="20"/>
                <w:szCs w:val="20"/>
                <w:color w:val="auto"/>
              </w:rPr>
            </w:pPr>
            <w:r>
              <w:rPr>
                <w:rFonts w:ascii="Courier New" w:cs="Courier New" w:eastAsia="Courier New" w:hAnsi="Courier New"/>
                <w:sz w:val="15"/>
                <w:szCs w:val="15"/>
                <w:color w:val="auto"/>
              </w:rPr>
              <w:t>acquisitions):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(6,228)</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expenses and other..........................</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(2,222)</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(943)</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 and customer deposits...........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2,725</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2,019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payable................................</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(4,541)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8,901</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24,709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property and software........................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(17,183)</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(21,581)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business, net of cash acquired...............</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(11,000)</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purchase price adjustment..................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8,889</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the sale of assets.........................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36,900</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11,421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investments..................................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(7,941)</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maturities and sales of investments, net...</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12,372</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Net cash provided by (used in) investing</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22,381</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(14,390)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Repayment of notes payable...............................</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(1,144)</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7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(549)</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Purchase of treasury stock...............................</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(31,335)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exercise of stock options including related</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1,544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754</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1,070</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605</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(30,655)</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31,887</w:t>
            </w:r>
          </w:p>
        </w:tc>
        <w:tc>
          <w:tcPr>
            <w:tcW w:w="1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(20,336)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70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32,086</w:t>
            </w:r>
          </w:p>
        </w:tc>
        <w:tc>
          <w:tcPr>
            <w:tcW w:w="11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63,973</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16,199</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401</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paid........................................</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1,587</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2,392</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lease additions..................................</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1,583</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funding of 401(k) match............................</w:t>
            </w:r>
          </w:p>
        </w:tc>
        <w:tc>
          <w:tcPr>
            <w:tcW w:w="7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1,692</w:t>
            </w:r>
          </w:p>
        </w:tc>
        <w:tc>
          <w:tcPr>
            <w:tcW w:w="11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1,932</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INTERIM UNAUDITED CONDENSED CONSOLIDATED 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NINE MONTHS ENDED MARCH 31, 1998 AND 1999</w:t>
      </w:r>
    </w:p>
    <w:p>
      <w:pPr>
        <w:spacing w:after="0" w:line="174" w:lineRule="exact"/>
        <w:rPr>
          <w:sz w:val="20"/>
          <w:szCs w:val="20"/>
          <w:color w:val="auto"/>
        </w:rPr>
      </w:pPr>
    </w:p>
    <w:p>
      <w:pPr>
        <w:ind w:right="3119" w:firstLine="435"/>
        <w:spacing w:after="0"/>
        <w:tabs>
          <w:tab w:leader="none" w:pos="7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nine months ended March 31, 1998 and 1999 are not necessarily indicative of the results for the full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filed with the Securities and Exchange Commission on Form 10-K. In the opinion of management, the accompanying unaudited condensed consolidated financial statements reflect all adjustments (consisting only of normal recurring adjustments) which are necessary for a fair representation of financial results for the interim periods presented.</w:t>
      </w:r>
    </w:p>
    <w:p>
      <w:pPr>
        <w:spacing w:after="0" w:line="176" w:lineRule="exact"/>
        <w:rPr>
          <w:sz w:val="20"/>
          <w:szCs w:val="20"/>
          <w:color w:val="auto"/>
        </w:rPr>
      </w:pPr>
    </w:p>
    <w:p>
      <w:pPr>
        <w:ind w:right="3119" w:firstLine="435"/>
        <w:spacing w:after="0"/>
        <w:tabs>
          <w:tab w:leader="none" w:pos="7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(loss) per common share amounts were computed by dividing income (loss) available to stockholders by the weighted average number of shares outstanding. Diluted per-common-share amounts assume the issuance of common stock for all potentially dilutive equivalent shares outstanding except in loss periods when such an adjustment would be anti-dilutive. The following table reconciles differences in income and shares outstanding between basic and dilutive for the periods indicated.</w:t>
      </w:r>
    </w:p>
    <w:p>
      <w:pPr>
        <w:spacing w:after="0" w:line="200" w:lineRule="exact"/>
        <w:rPr>
          <w:sz w:val="20"/>
          <w:szCs w:val="20"/>
          <w:color w:val="auto"/>
        </w:rPr>
      </w:pPr>
    </w:p>
    <w:p>
      <w:pPr>
        <w:spacing w:after="0" w:line="315"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FOR THE NINE MONTHS ENDED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20"/>
        <w:spacing w:after="0"/>
        <w:tabs>
          <w:tab w:leader="none" w:pos="7340" w:val="left"/>
        </w:tabs>
        <w:rPr>
          <w:sz w:val="20"/>
          <w:szCs w:val="20"/>
          <w:color w:val="auto"/>
        </w:rPr>
      </w:pPr>
      <w:r>
        <w:rPr>
          <w:rFonts w:ascii="Courier New" w:cs="Courier New" w:eastAsia="Courier New" w:hAnsi="Courier New"/>
          <w:sz w:val="15"/>
          <w:szCs w:val="15"/>
          <w:color w:val="auto"/>
        </w:rPr>
        <w:t>MARCH 31, 1998</w:t>
      </w:r>
      <w:r>
        <w:rPr>
          <w:sz w:val="20"/>
          <w:szCs w:val="20"/>
          <w:color w:val="auto"/>
        </w:rPr>
        <w:tab/>
      </w:r>
      <w:r>
        <w:rPr>
          <w:rFonts w:ascii="Courier New" w:cs="Courier New" w:eastAsia="Courier New" w:hAnsi="Courier New"/>
          <w:sz w:val="14"/>
          <w:szCs w:val="14"/>
          <w:color w:val="auto"/>
        </w:rPr>
        <w:t>MARCH 31, 1999</w:t>
      </w:r>
    </w:p>
    <w:p>
      <w:pPr>
        <w:spacing w:after="0" w:line="3" w:lineRule="exact"/>
        <w:rPr>
          <w:sz w:val="20"/>
          <w:szCs w:val="20"/>
          <w:color w:val="auto"/>
        </w:rPr>
      </w:pPr>
    </w:p>
    <w:p>
      <w:pPr>
        <w:ind w:left="256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2740"/>
        <w:spacing w:after="0"/>
        <w:tabs>
          <w:tab w:leader="none" w:pos="4060" w:val="left"/>
          <w:tab w:leader="none" w:pos="5200" w:val="left"/>
          <w:tab w:leader="none" w:pos="6440" w:val="left"/>
          <w:tab w:leader="none" w:pos="7780" w:val="left"/>
          <w:tab w:leader="none" w:pos="89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spacing w:after="0" w:line="1" w:lineRule="exact"/>
        <w:rPr>
          <w:sz w:val="20"/>
          <w:szCs w:val="20"/>
          <w:color w:val="auto"/>
        </w:rPr>
      </w:pPr>
    </w:p>
    <w:p>
      <w:pPr>
        <w:ind w:left="2560"/>
        <w:spacing w:after="0"/>
        <w:tabs>
          <w:tab w:leader="none" w:pos="3780" w:val="left"/>
          <w:tab w:leader="none" w:pos="5300" w:val="left"/>
          <w:tab w:leader="none" w:pos="6280" w:val="left"/>
          <w:tab w:leader="none" w:pos="7520" w:val="left"/>
          <w:tab w:leader="none" w:pos="9020" w:val="left"/>
        </w:tabs>
        <w:rPr>
          <w:sz w:val="20"/>
          <w:szCs w:val="20"/>
          <w:color w:val="auto"/>
        </w:rPr>
      </w:pPr>
      <w:r>
        <w:rPr>
          <w:rFonts w:ascii="Courier New" w:cs="Courier New" w:eastAsia="Courier New" w:hAnsi="Courier New"/>
          <w:sz w:val="15"/>
          <w:szCs w:val="15"/>
          <w:color w:val="auto"/>
        </w:rPr>
        <w:t>(NUMERATOR)</w:t>
        <w:tab/>
        <w:t>(DENOMINATOR)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2560"/>
        <w:spacing w:after="0"/>
        <w:tabs>
          <w:tab w:leader="none" w:pos="3780" w:val="left"/>
          <w:tab w:leader="none" w:pos="5200" w:val="left"/>
          <w:tab w:leader="none" w:pos="6280" w:val="left"/>
          <w:tab w:leader="none" w:pos="7520" w:val="left"/>
          <w:tab w:leader="none" w:pos="894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(loss) available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common</w:t>
      </w:r>
    </w:p>
    <w:p>
      <w:pPr>
        <w:sectPr>
          <w:pgSz w:w="11900" w:h="16838" w:orient="portrait"/>
          <w:cols w:equalWidth="0" w:num="1">
            <w:col w:w="10219"/>
          </w:cols>
          <w:pgMar w:left="240" w:top="286" w:right="1440" w:bottom="1440" w:gutter="0" w:footer="0" w:header="0"/>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$9,599</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5"/>
          <w:szCs w:val="15"/>
          <w:color w:val="auto"/>
        </w:rPr>
        <w:t>52,696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7">
            <w:col w:w="2380" w:space="360"/>
            <w:col w:w="720" w:space="620"/>
            <w:col w:w="520" w:space="720"/>
            <w:col w:w="620" w:space="520"/>
            <w:col w:w="620" w:space="720"/>
            <w:col w:w="620" w:space="720"/>
            <w:col w:w="1079"/>
          </w:cols>
          <w:pgMar w:left="240" w:top="286" w:right="1440" w:bottom="1440" w:gutter="0" w:footer="0" w:header="0"/>
          <w:type w:val="continuous"/>
        </w:sectPr>
      </w:pPr>
    </w:p>
    <w:p>
      <w:pPr>
        <w:jc w:val="right"/>
        <w:ind w:right="8639"/>
        <w:spacing w:after="0"/>
        <w:rPr>
          <w:sz w:val="20"/>
          <w:szCs w:val="20"/>
          <w:color w:val="auto"/>
        </w:rPr>
      </w:pPr>
      <w:r>
        <w:rPr>
          <w:rFonts w:ascii="Courier New" w:cs="Courier New" w:eastAsia="Courier New" w:hAnsi="Courier New"/>
          <w:sz w:val="14"/>
          <w:szCs w:val="14"/>
          <w:color w:val="auto"/>
        </w:rPr>
        <w:t>Effect of Dilutive</w:t>
      </w:r>
    </w:p>
    <w:p>
      <w:pPr>
        <w:spacing w:after="0" w:line="9" w:lineRule="exact"/>
        <w:rPr>
          <w:sz w:val="20"/>
          <w:szCs w:val="20"/>
          <w:color w:val="auto"/>
        </w:rPr>
      </w:pPr>
    </w:p>
    <w:p>
      <w:pPr>
        <w:jc w:val="right"/>
        <w:ind w:right="8639"/>
        <w:spacing w:after="0"/>
        <w:rPr>
          <w:sz w:val="20"/>
          <w:szCs w:val="20"/>
          <w:color w:val="auto"/>
        </w:rPr>
      </w:pPr>
      <w:r>
        <w:rPr>
          <w:rFonts w:ascii="Courier New" w:cs="Courier New" w:eastAsia="Courier New" w:hAnsi="Courier New"/>
          <w:sz w:val="15"/>
          <w:szCs w:val="15"/>
          <w:color w:val="auto"/>
        </w:rPr>
        <w:t>Securities Stock</w:t>
      </w:r>
    </w:p>
    <w:p>
      <w:pPr>
        <w:sectPr>
          <w:pgSz w:w="11900" w:h="16838" w:orient="portrait"/>
          <w:cols w:equalWidth="0" w:num="1">
            <w:col w:w="10219"/>
          </w:cols>
          <w:pgMar w:left="240" w:top="286" w:right="1440"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3,421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5">
            <w:col w:w="2380" w:space="360"/>
            <w:col w:w="620" w:space="720"/>
            <w:col w:w="1660" w:space="720"/>
            <w:col w:w="620" w:space="720"/>
            <w:col w:w="2419"/>
          </w:cols>
          <w:pgMar w:left="240" w:top="28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EPS</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Income (loss) available</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stockholders and</w:t>
      </w:r>
    </w:p>
    <w:p>
      <w:pPr>
        <w:sectPr>
          <w:pgSz w:w="11900" w:h="16838" w:orient="portrait"/>
          <w:cols w:equalWidth="0" w:num="1">
            <w:col w:w="10219"/>
          </w:cols>
          <w:pgMar w:left="240" w:top="286"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54,989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56,117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7">
            <w:col w:w="2380" w:space="360"/>
            <w:col w:w="720" w:space="620"/>
            <w:col w:w="520" w:space="720"/>
            <w:col w:w="620" w:space="520"/>
            <w:col w:w="620" w:space="720"/>
            <w:col w:w="620" w:space="720"/>
            <w:col w:w="1079"/>
          </w:cols>
          <w:pgMar w:left="240" w:top="286" w:right="1440" w:bottom="1440" w:gutter="0" w:footer="0" w:header="0"/>
          <w:type w:val="continuous"/>
        </w:sectPr>
      </w:pPr>
    </w:p>
    <w:p>
      <w:pPr>
        <w:spacing w:after="0" w:line="1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Options to purchase shares of common stock at various prices outstanding at March 31, 1998 and 1999, that were not included in the computation of diluted earnings per share because the options' exercise price was greater than the average market price of the common shares during the were as follows:</w:t>
      </w:r>
    </w:p>
    <w:p>
      <w:pPr>
        <w:spacing w:after="0" w:line="200" w:lineRule="exact"/>
        <w:rPr>
          <w:sz w:val="20"/>
          <w:szCs w:val="20"/>
          <w:color w:val="auto"/>
        </w:rPr>
      </w:pPr>
    </w:p>
    <w:p>
      <w:pPr>
        <w:spacing w:after="0" w:line="315"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MARCH 31,</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580"/>
        <w:spacing w:after="0"/>
        <w:tabs>
          <w:tab w:leader="none" w:pos="64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1" w:lineRule="exact"/>
        <w:rPr>
          <w:sz w:val="20"/>
          <w:szCs w:val="20"/>
          <w:color w:val="auto"/>
        </w:rPr>
      </w:pPr>
    </w:p>
    <w:p>
      <w:pPr>
        <w:ind w:left="5500"/>
        <w:spacing w:after="0"/>
        <w:tabs>
          <w:tab w:leader="none" w:pos="6360" w:val="left"/>
        </w:tabs>
        <w:rPr>
          <w:sz w:val="20"/>
          <w:szCs w:val="20"/>
          <w:color w:val="auto"/>
        </w:rPr>
      </w:pPr>
      <w:r>
        <w:rPr>
          <w:rFonts w:ascii="Courier New" w:cs="Courier New" w:eastAsia="Courier New" w:hAnsi="Courier New"/>
          <w:sz w:val="15"/>
          <w:szCs w:val="15"/>
          <w:color w:val="auto"/>
        </w:rPr>
        <w:t>-------</w:t>
        <w:tab/>
        <w:t>-------</w:t>
      </w:r>
    </w:p>
    <w:p>
      <w:pPr>
        <w:sectPr>
          <w:pgSz w:w="11900" w:h="16838" w:orient="portrait"/>
          <w:cols w:equalWidth="0" w:num="1">
            <w:col w:w="10219"/>
          </w:cols>
          <w:pgMar w:left="240" w:top="286"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 Period Ended.....................................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4"/>
          <w:szCs w:val="14"/>
          <w:color w:val="auto"/>
        </w:rPr>
        <w:t>232,384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587,083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8" w:lineRule="exact"/>
        <w:rPr>
          <w:sz w:val="20"/>
          <w:szCs w:val="20"/>
          <w:color w:val="auto"/>
        </w:rPr>
      </w:pPr>
    </w:p>
    <w:p>
      <w:pPr>
        <w:sectPr>
          <w:pgSz w:w="11900" w:h="16838" w:orient="portrait"/>
          <w:cols w:equalWidth="0" w:num="3">
            <w:col w:w="5320" w:space="180"/>
            <w:col w:w="620" w:space="260"/>
            <w:col w:w="3839"/>
          </w:cols>
          <w:pgMar w:left="240" w:top="286" w:right="1440" w:bottom="1440" w:gutter="0" w:footer="0" w:header="0"/>
          <w:type w:val="continuous"/>
        </w:sectPr>
      </w:pPr>
    </w:p>
    <w:p>
      <w:pPr>
        <w:spacing w:after="0" w:line="124" w:lineRule="exact"/>
        <w:rPr>
          <w:sz w:val="20"/>
          <w:szCs w:val="20"/>
          <w:color w:val="auto"/>
        </w:rPr>
      </w:pPr>
    </w:p>
    <w:p>
      <w:pPr>
        <w:ind w:right="3119" w:firstLine="435"/>
        <w:spacing w:after="0"/>
        <w:tabs>
          <w:tab w:leader="none" w:pos="71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adopted Statement of Financial Accounting Standards No. 130, "Reporting Comprehensive Income." The Statement requires disclosure of total non-shareowner changes in equity in interim periods and additional disclosures of the components of non-shareowner changes in equity on an annual basis. Total non-shareowner changes in equity includes all changes in equity during a period except those resulting from investments by and distributions to shareowners. The only components of comprehensive income applicable to the Company would be unrealized gains or losses on the Company's available-for-sale securities. There were no available-for-sale securities held during the nine month period ended March 31, 1999 and the carrying value of available-for-sale securities held during the nine month period ended March 31, 1998 approximated market value.</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6"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As a result, there were no reported unrealized gains or losses reported on available-for-sale securities in either period.</w:t>
      </w:r>
    </w:p>
    <w:p>
      <w:pPr>
        <w:spacing w:after="0" w:line="175" w:lineRule="exact"/>
        <w:rPr>
          <w:sz w:val="20"/>
          <w:szCs w:val="20"/>
          <w:color w:val="auto"/>
        </w:rPr>
      </w:pPr>
    </w:p>
    <w:p>
      <w:pPr>
        <w:ind w:right="3119" w:firstLine="435"/>
        <w:spacing w:after="0"/>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adopted Statement of Position ("SOP") 97-2, "Software Revenue Recognition." The Statement provides guidance for recognizing revenue on software transactions and supercedes SOP 91-1, "Software Revenue Recognition." The adoption of the Statement did not result in a material impact on reported results.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1998, the Company issued 74,981 shares of common stock out of treasury to fund its 401(k) match, the cost of which was accrued during the year ended June 30, 1998. Additionally, during the quarter ended September 30, 1998, the Company issued 48,631 shares of common stock out of treasury in conjunction with the employee stock purchase plan, which was funded through employee payroll deductions accumulated in the immediately preceding six-month period. During the quarter ended March 31, 1999, the Company issued an additional 48,748 shares of common stock in conjunction with the employee stock purchase plan, covering the immediately preceding six-month period.</w:t>
      </w:r>
    </w:p>
    <w:p>
      <w:pPr>
        <w:spacing w:after="0" w:line="175"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September 30, 1998, the Company purchased</w:t>
      </w:r>
    </w:p>
    <w:p>
      <w:pPr>
        <w:spacing w:after="0" w:line="3" w:lineRule="exact"/>
        <w:rPr>
          <w:rFonts w:ascii="Courier New" w:cs="Courier New" w:eastAsia="Courier New" w:hAnsi="Courier New"/>
          <w:sz w:val="15"/>
          <w:szCs w:val="15"/>
          <w:color w:val="auto"/>
        </w:rPr>
      </w:pPr>
    </w:p>
    <w:p>
      <w:pPr>
        <w:ind w:right="32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575,000 shares of its common stock and recorded them as treasury shares. During the quarter ended December 31, 1998, the Company purchased an additional 4,130,341 shares of its common stock and recorded them as treasury shares. At March 31, 1999, the Company had retired all shares of its treasury stock.</w:t>
      </w:r>
    </w:p>
    <w:p>
      <w:pPr>
        <w:spacing w:after="0" w:line="160"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11, 1998, the Company sold certain software and other assets related to its mortgage line of business for $19.1 million, net of a working capital adjustment. As part of the sales agreement, the Company retained responsibility for certain customer obligations and agreed to subcontract with the acquiring company to perform consulting services at retail hourly rates for these retained obligations. The Company received cash of $15 million, net of $4.0 million of prepaid subcontract services due the acquiring company. The net gain on the sale of $6.4 million is included in the Net Gain on Dispositions of Assets in the Company's Statement of Operations. Certain assets of this business were acquired in the October 1997 acquisition of Advanced Mortgage Technologies, Inc. ("AMTI"), and in connection with the acquisition, the Company acquired certain in-process research and development assets (valued at $719,000) which were written off at the time of the acquisition. Such research and development projects continued to be developed as planned by the Company, and are included in the software and other assets sold on September 11, 1998.</w:t>
      </w:r>
    </w:p>
    <w:p>
      <w:pPr>
        <w:spacing w:after="0" w:line="163"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The estimated loss on the sale of $2.4 million was recorded in the quarter ended September 30, 1998 and is included in the Net Gain on Dispositions of Assets in the Company's Statement of Operations.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December 31, 1998, a special purpose subsidiary was created to administer the Company's employee medical benefits program. The Company owns a controlling interest in the subsidiary and, therefore, the accompanying condensed consolidated financial statements include the subsidiary's results of operations.</w:t>
      </w:r>
    </w:p>
    <w:p>
      <w:pPr>
        <w:spacing w:after="0" w:line="174"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December 31, 1998, the Company reported a one-time tax benefit of approximately $12.2 million arising out of the creation of the special purpose subsidiary described above. In addition, the Company's annual effective tax rate, exclusive of the impact of the one-time tax benefit, decreased from approximately 45% to approximately 38%, on a year to date basis, primarily due to state job tax credits, and increased tax-exempt interest.</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right="3119" w:firstLine="435"/>
        <w:spacing w:after="0"/>
        <w:tabs>
          <w:tab w:leader="none" w:pos="79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 and, accordingly, the assets and liabilities were recorded based on their preliminary fair values at the date of the acquisition. The values ascribed to acquired intangible assets and their respective useful lives are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INTANGIBLE</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USEFUL</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ASSET</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4"/>
              </w:rPr>
              <w:t>LIFE</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$10,392</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Customer base...............................................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4,429</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Tradenames..................................................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3,709</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Existing product technology.................................</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1,864</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Workforce...................................................</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940</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Amortization of intangible assets is on a straight line basis over the assets' respective useful life. Mobius Group's operations are included in the condensed consolidated statements of operations from the date of acquisition.</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acquisition date, Mobius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Statement of Financial Accounting Standards ("SFAS") No. 2.</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M-Plan Integrated Financial Planning System: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65" w:lineRule="exact"/>
        <w:rPr>
          <w:sz w:val="20"/>
          <w:szCs w:val="20"/>
          <w:color w:val="auto"/>
        </w:rPr>
      </w:pPr>
    </w:p>
    <w:p>
      <w:pPr>
        <w:ind w:left="620" w:right="3119" w:hanging="185"/>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does not currently have the ability to insert data into all of the reports. Finally, developed technology is not in a modular format and, as M-Plan will be sold in modules, additional work must be performed to divide code into modules.</w:t>
      </w:r>
    </w:p>
    <w:p>
      <w:pPr>
        <w:spacing w:after="0" w:line="180" w:lineRule="exact"/>
        <w:rPr>
          <w:rFonts w:ascii="Courier New" w:cs="Courier New" w:eastAsia="Courier New" w:hAnsi="Courier New"/>
          <w:sz w:val="15"/>
          <w:szCs w:val="15"/>
          <w:color w:val="auto"/>
        </w:rPr>
      </w:pPr>
    </w:p>
    <w:p>
      <w:pPr>
        <w:ind w:left="520" w:right="3119" w:hanging="85"/>
        <w:spacing w:after="0"/>
        <w:tabs>
          <w:tab w:leader="none" w:pos="60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 Reports for the Cash Flow Planning module have not yet been developed. Mobius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M-Search Revision: M-Search is Mobius Group's Investment Manager Database System, containing comprehensive qualitative and quantitative data on over 1,300 investment management firms and 5,000 composites. In-process development is designed to allow the user to customize reports based on selection criteria, which the current version does not offer. This effort requires a rewrite of a significant portion of the source code. Based on engineers' estimates of the percentage of reuse of developed technology within particular components of the product, 25% of its value is attributable to core technology.</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M-Vest Revision: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ESTIMATED STAGE</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EXPECTED</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EXPECTED COST</w:t>
            </w:r>
          </w:p>
        </w:tc>
        <w:tc>
          <w:tcPr>
            <w:tcW w:w="13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OF COMPLETION</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RELEASE</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TO COMPLETE</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VALUATION</w:t>
            </w:r>
          </w:p>
        </w:tc>
      </w:tr>
      <w:tr>
        <w:trPr>
          <w:trHeight w:val="171"/>
        </w:trPr>
        <w:tc>
          <w:tcPr>
            <w:tcW w:w="3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(IN THOUSANDS)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460" w:type="dxa"/>
            <w:vAlign w:val="bottom"/>
          </w:tcPr>
          <w:p>
            <w:pPr>
              <w:jc w:val="right"/>
              <w:ind w:right="2766"/>
              <w:spacing w:after="0"/>
              <w:rPr>
                <w:sz w:val="20"/>
                <w:szCs w:val="20"/>
                <w:color w:val="auto"/>
              </w:rPr>
            </w:pPr>
            <w:r>
              <w:rPr>
                <w:rFonts w:ascii="Courier New" w:cs="Courier New" w:eastAsia="Courier New" w:hAnsi="Courier New"/>
                <w:sz w:val="15"/>
                <w:szCs w:val="15"/>
                <w:color w:val="auto"/>
                <w:w w:val="95"/>
              </w:rPr>
              <w:t>M-Plan:</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Retirement and Estate Planning</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Module...........................</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92%</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May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$ 49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693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Cash Flow, Tax and Education</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Module...........................</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64%</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December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208</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M-Search Revision.....................</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56%</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September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1,218</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M-Vest Revision.......................</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6"/>
              </w:rPr>
              <w:t>20%</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September 1999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$653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Mobius technology likely to be generated upon completion of the project and the beginning of commercial sales, as estimated by Company management. The projections assume that the product will be successful and the products' development and commercialization are as set forth by management. The discount rate used in this analysis is an after-tax rate of 20%.</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Such risks include:</w:t>
      </w:r>
    </w:p>
    <w:p>
      <w:pPr>
        <w:spacing w:after="0" w:line="154" w:lineRule="exact"/>
        <w:rPr>
          <w:sz w:val="20"/>
          <w:szCs w:val="20"/>
          <w:color w:val="auto"/>
        </w:rPr>
      </w:pPr>
    </w:p>
    <w:p>
      <w:pPr>
        <w:ind w:left="620" w:right="3219" w:hanging="185"/>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left="620" w:right="311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5"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3" w:lineRule="exact"/>
        <w:rPr>
          <w:rFonts w:ascii="Courier New" w:cs="Courier New" w:eastAsia="Courier New" w:hAnsi="Courier New"/>
          <w:sz w:val="14"/>
          <w:szCs w:val="14"/>
          <w:color w:val="auto"/>
        </w:rPr>
      </w:pPr>
    </w:p>
    <w:p>
      <w:pPr>
        <w:ind w:left="620" w:right="347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IPR&amp;D based on whether technological feasibility had been achieved and whether there was any alternative future use for the technology. As of the date of the acquisition, the Company concluded that the IPR&amp;D had no alternative future use after taking into consideration the potential for usage of the software in different products, resale of the software and internal usage.</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unaudited proforma information presents the results of operations of the Company as if the acquisition had taken place on July 1, 1997, and excludes the write-off of purchased research and development of $2.2 million:</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NINE MONTHS</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3"/>
              </w:rPr>
              <w:t>ENDED</w:t>
            </w:r>
          </w:p>
        </w:tc>
        <w:tc>
          <w:tcPr>
            <w:tcW w:w="4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5220" w:type="dxa"/>
            <w:vAlign w:val="bottom"/>
          </w:tcPr>
          <w:p>
            <w:pPr>
              <w:spacing w:after="0"/>
              <w:rPr>
                <w:sz w:val="14"/>
                <w:szCs w:val="14"/>
                <w:color w:val="auto"/>
              </w:rPr>
            </w:pPr>
          </w:p>
        </w:tc>
        <w:tc>
          <w:tcPr>
            <w:tcW w:w="14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MARCH 31, 1998</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1999</w:t>
            </w:r>
          </w:p>
        </w:tc>
      </w:tr>
      <w:tr>
        <w:trPr>
          <w:trHeight w:val="171"/>
        </w:trPr>
        <w:tc>
          <w:tcPr>
            <w:tcW w:w="5220" w:type="dxa"/>
            <w:vAlign w:val="bottom"/>
          </w:tcPr>
          <w:p>
            <w:pPr>
              <w:spacing w:after="0"/>
              <w:rPr>
                <w:sz w:val="14"/>
                <w:szCs w:val="14"/>
                <w:color w:val="auto"/>
              </w:rPr>
            </w:pPr>
          </w:p>
        </w:tc>
        <w:tc>
          <w:tcPr>
            <w:tcW w:w="14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174,710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184,550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(9,226)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12,175</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4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55,526</w:t>
            </w:r>
          </w:p>
        </w:tc>
        <w:tc>
          <w:tcPr>
            <w:tcW w:w="4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53,188</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4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55,526</w:t>
            </w:r>
          </w:p>
        </w:tc>
        <w:tc>
          <w:tcPr>
            <w:tcW w:w="4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56,609</w:t>
            </w:r>
          </w:p>
        </w:tc>
      </w:tr>
    </w:tbl>
    <w:p>
      <w:pPr>
        <w:spacing w:after="0" w:line="345" w:lineRule="exact"/>
        <w:rPr>
          <w:sz w:val="20"/>
          <w:szCs w:val="20"/>
          <w:color w:val="auto"/>
        </w:rPr>
      </w:pPr>
    </w:p>
    <w:p>
      <w:pPr>
        <w:ind w:right="3119" w:firstLine="435"/>
        <w:spacing w:after="0"/>
        <w:tabs>
          <w:tab w:leader="none" w:pos="7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March 31, 1999, the Company established a deferred compensation plan (the "DCP") covering highly-compensated employees. Under the plan, eligible employees may contribute a portion of their salary on a pre-tax basis. The DCP is a non-qualified plan, therefore the associated liabilities are included in the condensed consolidated balance sheets. In addition, the Company is establishing a rabbi trust to finance obligations under the DCP with corporate-owned life insurance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policies on participants. The cash surrender value of such policies is also included in the condensed consolidated balance sheets.</w:t>
      </w:r>
    </w:p>
    <w:p>
      <w:pPr>
        <w:spacing w:after="0" w:line="175" w:lineRule="exact"/>
        <w:rPr>
          <w:sz w:val="20"/>
          <w:szCs w:val="20"/>
          <w:color w:val="auto"/>
        </w:rPr>
      </w:pPr>
    </w:p>
    <w:p>
      <w:pPr>
        <w:ind w:right="3119" w:firstLine="435"/>
        <w:spacing w:after="0"/>
        <w:tabs>
          <w:tab w:leader="none" w:pos="7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week of April 26, 1999, the Company experienced a system error that led some users of its electronic billing and payment service to experience intermittent problems accessing and using the system. The Company believes that reserves established for service level agreements are sufficient to cover contractually determined penalties due to customers resulting from this error.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 1999, Intuit filed a lawsuit against the Company in the Superior Court of Santa Clara County, California. In the lawsuit, Intuit alleges that the Company threatened to violate the terms of an April 1998 bill presentment services contract and requests the court to provide equitable relief and other remedies. The parties to the lawsuit have agreed that the outcome of the case would be determined by arbitration. The arbitration has commenced and proceedings are currently being held to determine the outcome of the dispute. The net financial impact on the Company of the arbitration is not possible to determine at this time given the outstanding issues. The ultimate outcome is not expected to have a material adverse effect on the Company's business, financial condition or results of operations.</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Financial Accounting Statements Board ("FASB") issued SFAS No. 131 "Disclosures about Segments of an Enterprise and Related Information," which is effective for fiscal years beginning after December 15, 1997. SFAS 131 redefines how operating segments are determined and requires disclosures of certain financial and description information about a company's operating segments. The adoption of SFAS 131 is not expected to have a material impact on the Company's financial statement disclosures.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will require that all derivative financial instruments be recognized as either assets or liabilities in the balance sheet. SFAS No. 133 will be effective for the Company's first quarter of fiscal 2000. The Company is in the process of evaluating the effects of this new statement.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Accounting Standards Executive Committee ("AcSEC") issued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77" w:lineRule="exact"/>
        <w:rPr>
          <w:sz w:val="20"/>
          <w:szCs w:val="20"/>
          <w:color w:val="auto"/>
        </w:rPr>
      </w:pPr>
    </w:p>
    <w:p>
      <w:pPr>
        <w:ind w:right="3299" w:firstLine="435"/>
        <w:spacing w:after="0"/>
        <w:tabs>
          <w:tab w:leader="none" w:pos="7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June 30, 1998 balance sheet have been reclassified to conform with the March 31, 1999 presentation. In addition, certain amounts in the condensed consolidated statements of operations for the nine months ended March 31, 1998 have been reclassified to conform with the March 31, 1999 presentation.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7" w:right="1440" w:bottom="1440" w:gutter="0" w:footer="0" w:header="0"/>
        </w:sectPr>
      </w:pPr>
    </w:p>
    <w:bookmarkStart w:id="96" w:name="page97"/>
    <w:bookmarkEnd w:id="96"/>
    <w:p>
      <w:pPr>
        <w:ind w:left="269"/>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left="169" w:hanging="169"/>
        <w:spacing w:after="0"/>
        <w:tabs>
          <w:tab w:leader="none" w:pos="16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3,800,000 SHARES</w:t>
      </w:r>
    </w:p>
    <w:p>
      <w:pPr>
        <w:spacing w:after="0" w:line="34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(CHECKFREE HOLDINGS LOGO)</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34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DEUTSCHE BANC ALEX. BROWN</w:t>
      </w:r>
    </w:p>
    <w:p>
      <w:pPr>
        <w:spacing w:after="0" w:line="34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HAMBRECHT &amp; QUIST</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U.S. BANCORP PIPER JAFFRAY</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 1999</w:t>
      </w:r>
    </w:p>
    <w:p>
      <w:pPr>
        <w:spacing w:after="0" w:line="174" w:lineRule="exact"/>
        <w:rPr>
          <w:sz w:val="20"/>
          <w:szCs w:val="20"/>
          <w:color w:val="auto"/>
        </w:rPr>
      </w:pPr>
    </w:p>
    <w:p>
      <w:pPr>
        <w:ind w:left="169" w:hanging="169"/>
        <w:spacing w:after="0"/>
        <w:tabs>
          <w:tab w:leader="none" w:pos="16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34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following table sets forth the various expenses to be paid by the Company in connection with the sale and distribution of the securities being registered hereby, other than underwriting discounts and commissions. The underwriters may reimburse the Company for certain fees and expenses in connection with the sale of the reserved shares, subject to mutual agreement between the underwriters and the Company. All amounts shown are estimates, except the SEC registration fee, the NASD filing fee and the Nasdaq National Market listing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$ 49,279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 filing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18,226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Nasdaq National Market listing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Printing and engraving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 Sky fees and expenses (including fees of counsel)......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Transfer agent and registrar's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Miscellaneous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29,995</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$625,000</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435"/>
        <w:spacing w:after="0"/>
        <w:tabs>
          <w:tab w:leader="none" w:pos="7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such amendment. The right of indemnification is not exclusive of any other rights of indemnification that may be available.</w:t>
      </w:r>
    </w:p>
    <w:p>
      <w:pPr>
        <w:spacing w:after="0" w:line="18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77"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specific procedures for the advancement of expenses and for the determination of entitlement to indemnification. Entitlement to indemnification shall be determined by a majority vote of disinterested directors, by a written opinion of independent counsel under certain circumstances,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333" w:lineRule="exact"/>
        <w:rPr>
          <w:sz w:val="20"/>
          <w:szCs w:val="20"/>
          <w:color w:val="auto"/>
        </w:rPr>
      </w:pPr>
    </w:p>
    <w:p>
      <w:pPr>
        <w:ind w:right="3119" w:firstLine="435"/>
        <w:spacing w:after="0" w:line="258" w:lineRule="auto"/>
        <w:tabs>
          <w:tab w:leader="none" w:pos="79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of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 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lawsuit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34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145 of the Delaware Law and Article IX of the 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that, subject to certain exceptions, insures the directors and officers of the Registrant and its subsidiary.</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has entered into indemnification contracts with its directors and certain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99" w:name="page100"/>
    <w:bookmarkEnd w:id="99"/>
    <w:p>
      <w:pPr>
        <w:ind w:left="269"/>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No indemnity will be provided under such indemnification contracts (i) except to the extent that the aggregate losses to be indemnified pursuant thereto exceed the amount for which the indemnitee is indemnified pursuant to any directors and officers liability insurance purchased and maintained by the Registrant; (ii) in respect to remuneration paid to an indemnitee if it shall be determined by a final judgment that such remuneration was in violation of law;</w:t>
      </w:r>
    </w:p>
    <w:p>
      <w:pPr>
        <w:spacing w:after="0" w:line="1" w:lineRule="exact"/>
        <w:rPr>
          <w:sz w:val="20"/>
          <w:szCs w:val="20"/>
          <w:color w:val="auto"/>
        </w:rPr>
      </w:pPr>
    </w:p>
    <w:p>
      <w:pPr>
        <w:ind w:left="9" w:right="3119" w:hanging="9"/>
        <w:spacing w:after="0"/>
        <w:tabs>
          <w:tab w:leader="none" w:pos="54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77" w:lineRule="exact"/>
        <w:rPr>
          <w:rFonts w:ascii="Courier New" w:cs="Courier New" w:eastAsia="Courier New" w:hAnsi="Courier New"/>
          <w:sz w:val="15"/>
          <w:szCs w:val="15"/>
          <w:color w:val="auto"/>
        </w:rPr>
      </w:pPr>
    </w:p>
    <w:p>
      <w:pPr>
        <w:ind w:left="9" w:right="3479" w:firstLine="435"/>
        <w:spacing w:after="0" w:line="239" w:lineRule="auto"/>
        <w:tabs>
          <w:tab w:leader="none" w:pos="80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underwriting agreement provides for indemnification of the Registrant's directors and officers by the Underwriters. The indemnification provided for by the Underwriters is limited to matters arising in connection with this registration statement.</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177" w:lineRule="exact"/>
        <w:rPr>
          <w:sz w:val="20"/>
          <w:szCs w:val="20"/>
          <w:color w:val="auto"/>
        </w:rPr>
      </w:pPr>
    </w:p>
    <w:p>
      <w:pPr>
        <w:ind w:left="9" w:right="3299" w:firstLine="444"/>
        <w:spacing w:after="0" w:line="262" w:lineRule="auto"/>
        <w:rPr>
          <w:sz w:val="20"/>
          <w:szCs w:val="20"/>
          <w:color w:val="auto"/>
        </w:rPr>
      </w:pPr>
      <w:r>
        <w:rPr>
          <w:rFonts w:ascii="Courier New" w:cs="Courier New" w:eastAsia="Courier New" w:hAnsi="Courier New"/>
          <w:sz w:val="14"/>
          <w:szCs w:val="14"/>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58"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14"/>
                <w:szCs w:val="14"/>
                <w:color w:val="auto"/>
              </w:rPr>
            </w:pPr>
          </w:p>
        </w:tc>
        <w:tc>
          <w:tcPr>
            <w:tcW w:w="458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c>
          <w:tcPr>
            <w:tcW w:w="88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458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c>
          <w:tcPr>
            <w:tcW w:w="88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458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34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***Form of Purchase Agreement, dated as of</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1999,</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among the Company and Merrill Lynch &amp; Co., Merrill Lynch,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w w:val="98"/>
              </w:rPr>
              <w:t>Pierce, Fenner &amp; Smith Incorporated, Deutsche Bank</w:t>
            </w:r>
          </w:p>
        </w:tc>
        <w:tc>
          <w:tcPr>
            <w:tcW w:w="880" w:type="dxa"/>
            <w:vAlign w:val="bottom"/>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Securities Inc., Hambrecht &amp; Quist LLC, and U.S. Bancorp</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Piper Jaffray Inc. as representatives of several</w:t>
            </w:r>
          </w:p>
        </w:tc>
        <w:tc>
          <w:tcPr>
            <w:tcW w:w="880" w:type="dxa"/>
            <w:vAlign w:val="bottom"/>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underwriters.</w:t>
            </w:r>
          </w:p>
        </w:tc>
        <w:tc>
          <w:tcPr>
            <w:tcW w:w="88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Asset Purchase Agreement, dated as of July 1, 1997, among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CheckFree Corporation, Servantis Systems Holdings, Inc.,</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Servantis Systems, Inc., London Bridge Software Holdings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plc, and LBSS, Inc. (Reference is made to Exhibit 2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Current Report on Form 8-K, dated July 1, 1997, filed with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the Securities and Exchange Commission on July 3, 1997,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c>
          <w:tcPr>
            <w:tcW w:w="88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Agreement and Plan of Merger, dated as of December 22,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among the Company, CheckFree Corporation, and CheckFree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Merger Corporation. (Reference is made to Exhibit 2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with the Securities and Exchange Commission on December 30,</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c>
          <w:tcPr>
            <w:tcW w:w="88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Restated Certificate of Incorporation of the Company.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(Reference is made to Exhibit 3(a) to the Current Report 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Form 8-K, dated December 22, 1997, filed with the Securities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and Exchange Commission on December 30, 1997, and</w:t>
            </w:r>
          </w:p>
        </w:tc>
        <w:tc>
          <w:tcPr>
            <w:tcW w:w="880" w:type="dxa"/>
            <w:vAlign w:val="bottom"/>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c>
          <w:tcPr>
            <w:tcW w:w="88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By-Laws of the Company. (Reference is made to Exhibit 3(b)</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the Current Report on Form 8-K, dated December 22,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filed with the Securities and Exchange Commission 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30, 1997, and incorporated herein by reference.)</w:t>
            </w:r>
          </w:p>
        </w:tc>
      </w:tr>
    </w:tbl>
    <w:p>
      <w:pPr>
        <w:spacing w:after="0" w:line="200" w:lineRule="exact"/>
        <w:rPr>
          <w:sz w:val="20"/>
          <w:szCs w:val="20"/>
          <w:color w:val="auto"/>
        </w:rPr>
      </w:pPr>
    </w:p>
    <w:p>
      <w:pPr>
        <w:sectPr>
          <w:pgSz w:w="11900" w:h="16838" w:orient="portrait"/>
          <w:cols w:equalWidth="0" w:num="1">
            <w:col w:w="10228"/>
          </w:cols>
          <w:pgMar w:left="231" w:top="287" w:right="1440" w:bottom="1440" w:gutter="0" w:footer="0" w:header="0"/>
        </w:sect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28"/>
          </w:cols>
          <w:pgMar w:left="231" w:top="287"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96</w:t>
            </w: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85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546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3(c)</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Form of Specimen Stock Certificate.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3(c) to the Current Report on Form 8-K, dated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December 22, 1997,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Commission on December 30, 1997,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Articles FOURTH, FIFTH, SEVENTH, EIGHTH, TENTH AND ELEVENTH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of the Company's Restated Certificate of Incorporation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(contained in the Company's Restated Certificate of</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Incorporation filed as Exhibit 3(a) hereto) and Articles II,</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III, IV, VI and VIII of the Company's By-Laws (contained 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 Company's By-Laws filed as Exhibit 3(b) hereto).</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December 16, 1997, by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between the Company and The Fifth Third Bank, as Rights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Agent. (Reference is made to Exhibit 4.1 to Amendment No. 1</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to Registration Statement on Form 8-A,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May 12, 1999,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bl>
    <w:p>
      <w:pPr>
        <w:spacing w:after="0" w:line="1" w:lineRule="exact"/>
        <w:rPr>
          <w:sz w:val="20"/>
          <w:szCs w:val="20"/>
          <w:color w:val="auto"/>
        </w:rPr>
      </w:pPr>
    </w:p>
    <w:p>
      <w:pPr>
        <w:ind w:left="880" w:hanging="800"/>
        <w:spacing w:after="0"/>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Porter, Wright, Morris &amp; Arthur LLP.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8"/>
              </w:rPr>
              <w:t>Associate Stock Purchase Plan. (Reference is made to Exhibit</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4(a) to Post-Effective Amendment No. 1 to Form S-8, as</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amended (Registration No. 333-21795),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Securities and Exchange Commission on January 14,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Second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1995 Stock Option Plan. (Reference is made to Exhibit 4(a)</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to Form S-8 (Registration No. 333-70599),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Securities and Exchange Commission on January 14, 1999,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 1993</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Stock Option Plan. (Reference is made to Exhibit 4(a)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Post-Effective Amendment No. 1 to Form S-8, as amended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(Registration No. 33-98442), filed with the Securities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Exchange Commission on January 9, 1998, and incorporated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Amended and Restated 1983</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Non-Statutory Stock Option Plan.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4(a) to Post-Effective Amendment No. 1 to Form S-8,</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as amended (Registration No. 33-98440),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January 9,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CheckFree Holdings Corporation Second Amended and Restated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1983 Incentive Stock Option Plan.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4(a) to Post-Effective Amendment No. 1 to Form S-8,</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as amended (Registration No. 33-98444),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January 9, 1998,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Form of Indemnification Agreement. (Reference is made to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Exhibit 10(a) to Registration Statement on Form S-1, as</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Schedule identifying material details of Indemnification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Agreements substantially identical to Exhibit 10(f).</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10(g) to the Company's Form</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June 30, 1997, filed with the</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Securities and Exchange Commission on September 26, 1997,</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Noncompete, Nondisclosure, and Assignment Agreement, dated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February 1, 1990, between Peter J. Kight and the Company.</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10(i) to Registration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8"/>
              </w:rPr>
              <w:t>33-95738), filed with the Securities and Exchange Commission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on August 14, 1995, and incorporated herein by reference.)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980" w:type="dxa"/>
            <w:vAlign w:val="bottom"/>
          </w:tcPr>
          <w:p>
            <w:pPr>
              <w:ind w:left="220"/>
              <w:spacing w:after="0"/>
              <w:rPr>
                <w:sz w:val="20"/>
                <w:szCs w:val="20"/>
                <w:color w:val="auto"/>
              </w:rPr>
            </w:pPr>
            <w:r>
              <w:rPr>
                <w:rFonts w:ascii="Courier New" w:cs="Courier New" w:eastAsia="Courier New" w:hAnsi="Courier New"/>
                <w:sz w:val="15"/>
                <w:szCs w:val="15"/>
                <w:color w:val="auto"/>
              </w:rPr>
              <w:t>--   Noncompete, Nondisclosure, and Assignment Agreement, dated</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February 1, 1990, between Mark A. Johnson and the Company.</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(Reference is made to Exhibit 10(j) to Registration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w w:val="98"/>
              </w:rPr>
              <w:t>33-95738), filed with the Securities and Exchange Commission</w:t>
            </w:r>
          </w:p>
        </w:tc>
      </w:tr>
      <w:tr>
        <w:trPr>
          <w:trHeight w:val="171"/>
        </w:trPr>
        <w:tc>
          <w:tcPr>
            <w:tcW w:w="66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on August 14, 1995, and incorporated herein by reference.)</w:t>
            </w:r>
          </w:p>
        </w:tc>
      </w:tr>
    </w:tbl>
    <w:p>
      <w:pPr>
        <w:spacing w:after="0" w:line="200" w:lineRule="exact"/>
        <w:rPr>
          <w:sz w:val="20"/>
          <w:szCs w:val="20"/>
          <w:color w:val="auto"/>
        </w:rPr>
      </w:pPr>
    </w:p>
    <w:p>
      <w:pPr>
        <w:sectPr>
          <w:pgSz w:w="11900" w:h="16838" w:orient="portrait"/>
          <w:cols w:equalWidth="0" w:num="1">
            <w:col w:w="10219"/>
          </w:cols>
          <w:pgMar w:left="240" w:top="286" w:right="1440" w:bottom="1440" w:gutter="0" w:footer="0" w:header="0"/>
        </w:sect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86" w:right="1440"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w:t>
            </w: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68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546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10(j)</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Electronic Bill Payment Services Agreement, dated March 10,</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1995, between the Company and FiTech, Inc.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10(gg)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10(k)</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Amendment to Bill Payment and Remote Banking Services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July 1, 1995, between the Company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FiTech, Inc. (Reference is made to Exhibit 10(hh)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Commission on August 14, 1995,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10(l)</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ACH Operations Agreement, dated April 1, 1994,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10(ii)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10(m)</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Merchant Processing Agreement, dated March 13, 1995,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10(jj)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10(n)</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Lease, dated August 1, 1993, between the Company and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Director of Development of the State of Ohio.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10(rr)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10(o)</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Guaranty Agreement, dated August 1, 1993,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The Provident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10(ss)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10(p)</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Demand Mortgage Note, dated August 25, 1993, of the Company.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 is made to Exhibit 10(tt) to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33-95738), filed with the Securities and Exchange Commission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on August 14, 1995, and 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10(q)</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Irrevocable Letter of Credit from Society National Bank for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dated August 25, 1993 (including second renewal</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thereof). (Reference is made to Exhibit 10(uu)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Commission on August 14, 1995,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10(r)</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Open-End Mortgage, Assignment of Rents and Security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August 25, 1993, with the Company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mortgagor and Society National Bank as mortgagee. (Reference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is made to Exhibit 10(vv) to Registration Statement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S-1, as 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10(s)</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Loan and Security Agreement, dated August 25, 1993,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the Company and Society National Bank. (Reference is made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Exhibit 10(ww) to Registration Statement on Form S-1, as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amended (Registration No. 33-95738),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August 14, 1995,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10(t)</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Commercial Note Variable Rate, dated January 3, 1995, of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(Reference is made to Exhibit 10(xx) to</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Registration Statement on Form S-1, as amended (Registration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No. 33-95738), filed with the Securities and Exchange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Commission on August 14, 1995,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287" w:right="1440"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70"/>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98</w:t>
            </w: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853"/>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546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54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10(u)</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Reimbursement Agreement, dated August 25, 1993,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Peter J. Kight. (Reference is made to Exhibit</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10(yy) to Registration Statement on Form S-1, as amended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(Registration No. 33-95738),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on August 14, 1995, and incorporated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10(v)</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License Agreement, dated October 27, 1995,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 and Block Financial Corporation. (Reference is made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to Exhibit 10(ddd) to the Company's Annual Report on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10-K for the year ended December 31, 1995,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10(w)</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Joint Marketing and Trademark License Agreement, dated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December 28, 1995, between the Company and Electronic Data</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Systems Corporation. (Reference is made to Exhibit 10(eee)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to the Company's Annual Report on Form 10-K for the year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ended December 31, 1995,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10(x)</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Joint Marketing Agreement, dated November 3, 1995, between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the Company and Fiserv, Inc. (Reference is made to Exhibit</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10(fff) to the Company's Annual Report on Form 10-K for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year ended December 31, 1995, filed with the Securities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Exchange Commission, and incorporated herein by</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10(y)</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Payment Services, Software Development and Marketing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dated as of February 27, 1996, between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Company and CyberCash. (Reference is made to Exhibit 10(a)</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to the Form 10-Q for the quarter ended March 31, 1996,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with the Securities and Exchange Commission,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 **</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10(z)</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Executive Employment Agreement between the Company and Peter</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J. Kight. (Reference is made to Exhibit 10(z)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Company's Form 10-K for the year ended June 30,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with the Securities and Exchange Commission on September 26,</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10(aa)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First Amendment to Loan and Security Agreement by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between KeyBank National Association, as Lender,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CheckFree Corporation, as Borrower, dated as of December 9,</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1998. (Reference is made to Exhibit 10.1 to the Company's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Form 10-Q for the quarter ended March 31, 1999, filed with</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the Securities and Exchange Commission on May 17, 1999, and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10(bb)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Employment Agreement between the Company and Lynn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 Busing. (Reference is made to Exhibit 10(f) to the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10-Q for the quarter ended March 31, 1996,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10(cc)</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Agreement for ACH Services between the Company and The Chase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Manhattan Bank, N.A., dated as of July 1, 1996. (Reference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is made to Exhibit 10(qqq) to the Form 10-K for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transition period ended June 30, 1996,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Securities and Exchange Commission, and incorporated herein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10(dd)</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Loan and Security Agreement, dated as of May 13, 1997, among</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KeyBank National Association, the Company, CheckFree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Software Solutions, Inc., CheckFree Services Corporation,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Security APL, Inc., Servantis Systems, Inc., and Servantis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Services, Inc. (Reference is made to Exhibit 10(ee) to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9"/>
              </w:rPr>
              <w:t>Company's Form 10-K for the year ended June 30, 1997, filed</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with the Securities and Exchange Commission on September 26,</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10(ee)</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CheckFree Corporation Incentive Compensation Plan.</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(Reference is made to Exhibit 10(ff) to the Company's Form</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10-K for the year ended June 30, 1997, filed with the</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Securities and Exchange Commission on September 26, 1997,</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Consent of Porter, Wright, Morris &amp; Arthur LLP (Reference is</w:t>
            </w:r>
          </w:p>
        </w:tc>
      </w:tr>
      <w:tr>
        <w:trPr>
          <w:trHeight w:val="17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made to Exhibit 5 to this Registration Statement.)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287" w:right="1440" w:bottom="1440" w:gutter="0" w:footer="0" w:header="0"/>
          <w:type w:val="continuous"/>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2749" w:space="720"/>
            <w:col w:w="6759"/>
          </w:cols>
          <w:pgMar w:left="231" w:top="287" w:right="1440" w:bottom="1440" w:gutter="0" w:footer="0" w:header="0"/>
          <w:type w:val="continuous"/>
        </w:sectPr>
      </w:pPr>
    </w:p>
    <w:p>
      <w:pPr>
        <w:ind w:left="889" w:hanging="889"/>
        <w:spacing w:after="0"/>
        <w:tabs>
          <w:tab w:leader="none" w:pos="88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 of Attorney.</w:t>
      </w:r>
    </w:p>
    <w:p>
      <w:pPr>
        <w:spacing w:after="0" w:line="34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42"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 with this Registration Statement on June 1, 1999.</w:t>
      </w:r>
    </w:p>
    <w:p>
      <w:pPr>
        <w:spacing w:after="0" w:line="344" w:lineRule="exact"/>
        <w:rPr>
          <w:rFonts w:ascii="Courier New" w:cs="Courier New" w:eastAsia="Courier New" w:hAnsi="Courier New"/>
          <w:sz w:val="15"/>
          <w:szCs w:val="15"/>
          <w:color w:val="auto"/>
        </w:rPr>
      </w:pPr>
    </w:p>
    <w:p>
      <w:pPr>
        <w:ind w:left="349" w:right="3659" w:hanging="260"/>
        <w:spacing w:after="0" w:line="238" w:lineRule="auto"/>
        <w:tabs>
          <w:tab w:leader="none" w:pos="349"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Securities and Exchange Commission.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with this Registration Statement.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287" w:right="1440" w:bottom="1440" w:gutter="0" w:footer="0" w:header="0"/>
          <w:type w:val="continuous"/>
        </w:sectPr>
      </w:pPr>
    </w:p>
    <w:bookmarkStart w:id="104" w:name="page105"/>
    <w:bookmarkEnd w:id="104"/>
    <w:p>
      <w:pPr>
        <w:ind w:left="269"/>
        <w:spacing w:after="0"/>
        <w:rPr>
          <w:sz w:val="20"/>
          <w:szCs w:val="20"/>
          <w:color w:val="auto"/>
        </w:rPr>
      </w:pPr>
      <w:r>
        <w:rPr>
          <w:rFonts w:ascii="Courier New" w:cs="Courier New" w:eastAsia="Courier New" w:hAnsi="Courier New"/>
          <w:sz w:val="15"/>
          <w:szCs w:val="15"/>
          <w:color w:val="auto"/>
        </w:rPr>
        <w:t>100</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Norcross, State of Georgia, on June 15, 1999.</w:t>
      </w:r>
    </w:p>
    <w:p>
      <w:pPr>
        <w:spacing w:after="0" w:line="343"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729"/>
        <w:spacing w:after="0"/>
        <w:tabs>
          <w:tab w:leader="none" w:pos="440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ALLEN L. SHULMAN</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9"/>
        <w:spacing w:after="0"/>
        <w:rPr>
          <w:sz w:val="20"/>
          <w:szCs w:val="20"/>
          <w:color w:val="auto"/>
        </w:rPr>
      </w:pPr>
      <w:r>
        <w:rPr>
          <w:rFonts w:ascii="Courier New" w:cs="Courier New" w:eastAsia="Courier New" w:hAnsi="Courier New"/>
          <w:sz w:val="15"/>
          <w:szCs w:val="15"/>
          <w:color w:val="auto"/>
        </w:rPr>
        <w:t>Allen L. Shulman,</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Chief Financial Officer and General</w:t>
      </w:r>
    </w:p>
    <w:p>
      <w:pPr>
        <w:spacing w:after="0" w:line="1" w:lineRule="exact"/>
        <w:rPr>
          <w:sz w:val="20"/>
          <w:szCs w:val="20"/>
          <w:color w:val="auto"/>
        </w:rPr>
      </w:pPr>
    </w:p>
    <w:p>
      <w:pPr>
        <w:ind w:left="5229"/>
        <w:spacing w:after="0"/>
        <w:rPr>
          <w:sz w:val="20"/>
          <w:szCs w:val="20"/>
          <w:color w:val="auto"/>
        </w:rPr>
      </w:pPr>
      <w:r>
        <w:rPr>
          <w:rFonts w:ascii="Courier New" w:cs="Courier New" w:eastAsia="Courier New" w:hAnsi="Courier New"/>
          <w:sz w:val="15"/>
          <w:szCs w:val="15"/>
          <w:color w:val="auto"/>
        </w:rPr>
        <w:t>Counsel</w:t>
      </w:r>
    </w:p>
    <w:p>
      <w:pPr>
        <w:spacing w:after="0" w:line="345"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Pursuant to the requirements of the Securities Act of 1933, this Amendment</w:t>
      </w:r>
    </w:p>
    <w:p>
      <w:pPr>
        <w:spacing w:after="0" w:line="12" w:lineRule="exact"/>
        <w:rPr>
          <w:sz w:val="20"/>
          <w:szCs w:val="20"/>
          <w:color w:val="auto"/>
        </w:rPr>
      </w:pPr>
    </w:p>
    <w:p>
      <w:pPr>
        <w:ind w:left="9" w:right="3659"/>
        <w:spacing w:after="0" w:line="271" w:lineRule="auto"/>
        <w:rPr>
          <w:sz w:val="20"/>
          <w:szCs w:val="20"/>
          <w:color w:val="auto"/>
        </w:rPr>
      </w:pPr>
      <w:r>
        <w:rPr>
          <w:rFonts w:ascii="Courier New" w:cs="Courier New" w:eastAsia="Courier New" w:hAnsi="Courier New"/>
          <w:sz w:val="14"/>
          <w:szCs w:val="14"/>
          <w:color w:val="auto"/>
        </w:rPr>
        <w:t>No. 1 to the Registration Statement has been signed below by the following persons in the capacities indicated on the 15th day of June, 1999.</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929" w:space="720"/>
            <w:col w:w="3579"/>
          </w:cols>
          <w:pgMar w:left="231" w:top="287" w:right="1440" w:bottom="1440" w:gutter="0" w:footer="0" w:header="0"/>
          <w:type w:val="continuous"/>
        </w:sectPr>
      </w:pPr>
    </w:p>
    <w:p>
      <w:pPr>
        <w:spacing w:after="0" w:line="142"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 *PETER J. KIGHT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9"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344" w:lineRule="exact"/>
        <w:rPr>
          <w:sz w:val="20"/>
          <w:szCs w:val="20"/>
          <w:color w:val="auto"/>
        </w:rPr>
      </w:pPr>
    </w:p>
    <w:p>
      <w:pPr>
        <w:sectPr>
          <w:pgSz w:w="11900" w:h="16838" w:orient="portrait"/>
          <w:cols w:equalWidth="0" w:num="2">
            <w:col w:w="4889" w:space="0"/>
            <w:col w:w="5339"/>
          </w:cols>
          <w:pgMar w:left="231" w:top="287" w:right="1440" w:bottom="1440" w:gutter="0" w:footer="0" w:header="0"/>
          <w:type w:val="continuous"/>
        </w:sectPr>
      </w:pPr>
    </w:p>
    <w:p>
      <w:pPr>
        <w:ind w:left="1429"/>
        <w:spacing w:after="0"/>
        <w:rPr>
          <w:sz w:val="20"/>
          <w:szCs w:val="20"/>
          <w:color w:val="auto"/>
        </w:rPr>
      </w:pPr>
      <w:r>
        <w:rPr>
          <w:rFonts w:ascii="Courier New" w:cs="Courier New" w:eastAsia="Courier New" w:hAnsi="Courier New"/>
          <w:sz w:val="14"/>
          <w:szCs w:val="14"/>
          <w:color w:val="auto"/>
        </w:rPr>
        <w:t>/s/ *MARK A.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and Director</w:t>
      </w:r>
    </w:p>
    <w:p>
      <w:pPr>
        <w:spacing w:after="0" w:line="9" w:lineRule="exact"/>
        <w:rPr>
          <w:sz w:val="20"/>
          <w:szCs w:val="20"/>
          <w:color w:val="auto"/>
        </w:rPr>
      </w:pPr>
    </w:p>
    <w:p>
      <w:pPr>
        <w:sectPr>
          <w:pgSz w:w="11900" w:h="16838" w:orient="portrait"/>
          <w:cols w:equalWidth="0" w:num="2">
            <w:col w:w="4169" w:space="720"/>
            <w:col w:w="5339"/>
          </w:cols>
          <w:pgMar w:left="231" w:top="287" w:right="1440" w:bottom="1440" w:gutter="0" w:footer="0" w:header="0"/>
          <w:type w:val="continuous"/>
        </w:sectPr>
      </w:pPr>
    </w:p>
    <w:p>
      <w:pPr>
        <w:ind w:left="169" w:hanging="169"/>
        <w:spacing w:after="0"/>
        <w:tabs>
          <w:tab w:leader="none" w:pos="16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/s/ ALLEN L. SHULMAN</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80" w:type="dxa"/>
            <w:vAlign w:val="bottom"/>
          </w:tcPr>
          <w:p>
            <w:pPr>
              <w:ind w:left="340"/>
              <w:spacing w:after="0"/>
              <w:rPr>
                <w:sz w:val="20"/>
                <w:szCs w:val="20"/>
                <w:color w:val="auto"/>
              </w:rPr>
            </w:pPr>
            <w:r>
              <w:rPr>
                <w:rFonts w:ascii="Courier New" w:cs="Courier New" w:eastAsia="Courier New" w:hAnsi="Courier New"/>
                <w:sz w:val="15"/>
                <w:szCs w:val="15"/>
                <w:color w:val="auto"/>
              </w:rPr>
              <w:t>Officer and General Counsel (Principal</w:t>
            </w:r>
          </w:p>
        </w:tc>
      </w:tr>
      <w:tr>
        <w:trPr>
          <w:trHeight w:val="171"/>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Allen L. Shulman</w:t>
            </w:r>
          </w:p>
        </w:tc>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w:t>
            </w:r>
          </w:p>
        </w:tc>
      </w:tr>
      <w:tr>
        <w:trPr>
          <w:trHeight w:val="341"/>
        </w:trPr>
        <w:tc>
          <w:tcPr>
            <w:tcW w:w="488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/s/ *GARY A. LUOMA, JR.</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Vice President, Chief Accounting Officer and</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80" w:type="dxa"/>
            <w:vAlign w:val="bottom"/>
          </w:tcPr>
          <w:p>
            <w:pPr>
              <w:ind w:left="340"/>
              <w:spacing w:after="0"/>
              <w:rPr>
                <w:sz w:val="20"/>
                <w:szCs w:val="20"/>
                <w:color w:val="auto"/>
              </w:rPr>
            </w:pPr>
            <w:r>
              <w:rPr>
                <w:rFonts w:ascii="Courier New" w:cs="Courier New" w:eastAsia="Courier New" w:hAnsi="Courier New"/>
                <w:sz w:val="15"/>
                <w:szCs w:val="15"/>
                <w:color w:val="auto"/>
                <w:w w:val="98"/>
              </w:rPr>
              <w:t>Assistant Secretary (Principal Accounting</w:t>
            </w: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Gary A. Luoma, Jr.</w:t>
            </w:r>
          </w:p>
        </w:tc>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*WILLIAM P. BOARDMAN</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1"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171" w:lineRule="exact"/>
        <w:rPr>
          <w:sz w:val="20"/>
          <w:szCs w:val="20"/>
          <w:color w:val="auto"/>
        </w:rPr>
      </w:pPr>
    </w:p>
    <w:p>
      <w:pPr>
        <w:ind w:left="1429"/>
        <w:spacing w:after="0"/>
        <w:tabs>
          <w:tab w:leader="none" w:pos="4869" w:val="left"/>
        </w:tabs>
        <w:rPr>
          <w:sz w:val="20"/>
          <w:szCs w:val="20"/>
          <w:color w:val="auto"/>
        </w:rPr>
      </w:pPr>
      <w:r>
        <w:rPr>
          <w:rFonts w:ascii="Courier New" w:cs="Courier New" w:eastAsia="Courier New" w:hAnsi="Courier New"/>
          <w:sz w:val="15"/>
          <w:szCs w:val="15"/>
          <w:color w:val="auto"/>
        </w:rPr>
        <w:t>/s/ *GEORGE R. MANSER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R. Manser</w:t>
      </w:r>
    </w:p>
    <w:p>
      <w:pPr>
        <w:spacing w:after="0" w:line="171" w:lineRule="exact"/>
        <w:rPr>
          <w:sz w:val="20"/>
          <w:szCs w:val="20"/>
          <w:color w:val="auto"/>
        </w:rPr>
      </w:pPr>
    </w:p>
    <w:p>
      <w:pPr>
        <w:ind w:left="1429"/>
        <w:spacing w:after="0"/>
        <w:tabs>
          <w:tab w:leader="none" w:pos="4869" w:val="left"/>
        </w:tabs>
        <w:rPr>
          <w:sz w:val="20"/>
          <w:szCs w:val="20"/>
          <w:color w:val="auto"/>
        </w:rPr>
      </w:pPr>
      <w:r>
        <w:rPr>
          <w:rFonts w:ascii="Courier New" w:cs="Courier New" w:eastAsia="Courier New" w:hAnsi="Courier New"/>
          <w:sz w:val="15"/>
          <w:szCs w:val="15"/>
          <w:color w:val="auto"/>
        </w:rPr>
        <w:t>/s/ *EUGENE F. QUINN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171" w:lineRule="exact"/>
        <w:rPr>
          <w:sz w:val="20"/>
          <w:szCs w:val="20"/>
          <w:color w:val="auto"/>
        </w:rPr>
      </w:pPr>
    </w:p>
    <w:p>
      <w:pPr>
        <w:ind w:left="1329"/>
        <w:spacing w:after="0"/>
        <w:tabs>
          <w:tab w:leader="none" w:pos="4869" w:val="left"/>
        </w:tabs>
        <w:rPr>
          <w:sz w:val="20"/>
          <w:szCs w:val="20"/>
          <w:color w:val="auto"/>
        </w:rPr>
      </w:pPr>
      <w:r>
        <w:rPr>
          <w:rFonts w:ascii="Courier New" w:cs="Courier New" w:eastAsia="Courier New" w:hAnsi="Courier New"/>
          <w:sz w:val="15"/>
          <w:szCs w:val="15"/>
          <w:color w:val="auto"/>
        </w:rPr>
        <w:t>/s/ *JEFFREY M. WILKINS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pacing w:after="0" w:line="171" w:lineRule="exact"/>
        <w:rPr>
          <w:sz w:val="20"/>
          <w:szCs w:val="20"/>
          <w:color w:val="auto"/>
        </w:rPr>
      </w:pPr>
    </w:p>
    <w:p>
      <w:pPr>
        <w:jc w:val="center"/>
        <w:ind w:right="5510"/>
        <w:spacing w:after="0"/>
        <w:rPr>
          <w:sz w:val="20"/>
          <w:szCs w:val="20"/>
          <w:color w:val="auto"/>
        </w:rPr>
      </w:pPr>
      <w:r>
        <w:rPr>
          <w:rFonts w:ascii="Courier New" w:cs="Courier New" w:eastAsia="Courier New" w:hAnsi="Courier New"/>
          <w:sz w:val="15"/>
          <w:szCs w:val="15"/>
          <w:color w:val="auto"/>
        </w:rPr>
        <w:t>*By: /s/ CURTIS A. LOVELAND</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Curtis A. Loveland,</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Attorney-in-Fact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8"/>
          </w:cols>
          <w:pgMar w:left="231" w:top="287" w:right="1440" w:bottom="1440"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w:t>
      </w:r>
    </w:p>
    <w:p>
      <w:pPr>
        <w:spacing w:after="0" w:line="200" w:lineRule="exact"/>
        <w:rPr>
          <w:sz w:val="20"/>
          <w:szCs w:val="20"/>
          <w:color w:val="auto"/>
        </w:rPr>
      </w:pPr>
    </w:p>
    <w:p>
      <w:pPr>
        <w:spacing w:after="0" w:line="31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 Delaware corporation</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________, 1999</w:t>
      </w:r>
    </w:p>
    <w:p>
      <w:pPr>
        <w:sectPr>
          <w:pgSz w:w="11900" w:h="16838" w:orient="portrait"/>
          <w:cols w:equalWidth="0" w:num="1">
            <w:col w:w="10219"/>
          </w:cols>
          <w:pgMar w:left="240" w:top="13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920" w:type="dxa"/>
            <w:vAlign w:val="bottom"/>
          </w:tcPr>
          <w:p>
            <w:pPr>
              <w:jc w:val="right"/>
              <w:ind w:right="4586"/>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853"/>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1. Representations and Warranties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(a)   Representations and Warranties by the Company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Compliance with Registration Requirements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Incorporated Documents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Independent Accountants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Financial Statements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No Material Adverse Change in Business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Good Standing of the Company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Good Standing of Subsidiaries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Capitalization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(ix)</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Authorization of Agreement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Authorization and Description of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Defaults and Conflicts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Labor Dispute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Proceedings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(xiv)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Accuracy of Exhibits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Possession of Intellectual Property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(xvi)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Further Requirements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(xvii)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Possession of Licenses and Permits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(xviii)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Title to Property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(xix)</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Compliance with Cuba Act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(xx)</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Investment Company Act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(xxi)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Environmental Laws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(xxii)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Registration Rights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(b)   Representations and Warranties by the Selling Stockholders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Accurate Disclosure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Authorization of Agreements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Good and Valid Title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Due Execution of Power of Attorney and Custody Agreement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Manipulation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Absence of Further Requirements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Restriction on Sale of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(viii)</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Certificates Suitable for Transfer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840" w:type="dxa"/>
            <w:vAlign w:val="bottom"/>
          </w:tcPr>
          <w:p>
            <w:pPr>
              <w:spacing w:after="0"/>
              <w:rPr>
                <w:sz w:val="14"/>
                <w:szCs w:val="14"/>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(ix)</w:t>
            </w:r>
          </w:p>
        </w:tc>
        <w:tc>
          <w:tcPr>
            <w:tcW w:w="69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No Association with NASD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(c)</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Officer's Certificates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2. Sale and Delivery to Underwriters; Closing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Initial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(b)</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Option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83"/>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(c)</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Payment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(d)</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Denominations; Registration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3. Covenants of the Company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(a)   Compliance with Securities Regulations and Commission Requests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(b)</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Filing of Amendments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(c)</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Delivery of Registration Statements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(d)</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Delivery of Prospectuses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(e)   Continued Compliance with Securities Laws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(f)</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Blue Sky Qualifications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(g)</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Rule 158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(h)</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Use of Proceeds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(i)</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Listing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(j)   Restriction on Sale of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(k)</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Reporting Requirements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4. Payment of Expenses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Expenses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(b)   Expenses of the Selling Stockholders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(c)</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Termination of Agreement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(d)</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Allocation of Expenses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5. Conditions of Underwriters' Obligations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Effectiveness of Registration Statement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(b)   Opinion of Counsel for Company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(c)   Opinion of Counsel for the Selling Stockholders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(d)   Opinion of Counsel for Underwriters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(e)</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Officers' Certificate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(f)</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Certificate of Selling Stockholders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(g)</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Accountant's Comfort Letter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(h)</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Bring-down Comfort Letter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(i)</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Approval of Listing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(j)</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No Objection</w:t>
            </w:r>
          </w:p>
        </w:tc>
        <w:tc>
          <w:tcPr>
            <w:tcW w:w="6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(k)</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Lock-up Agreements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(l)   Conditions to Purchase of Option Securities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(i)</w:t>
            </w:r>
          </w:p>
        </w:tc>
        <w:tc>
          <w:tcPr>
            <w:tcW w:w="6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Officers' Certificate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840" w:type="dxa"/>
            <w:vAlign w:val="bottom"/>
          </w:tcPr>
          <w:p>
            <w:pPr>
              <w:spacing w:after="0"/>
              <w:rPr>
                <w:sz w:val="14"/>
                <w:szCs w:val="14"/>
                <w:color w:val="auto"/>
              </w:rPr>
            </w:pP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(ii)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2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Opinion of Counsel</w:t>
            </w:r>
          </w:p>
        </w:tc>
        <w:tc>
          <w:tcPr>
            <w:tcW w:w="6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for Underwriters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84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(iv)</w:t>
            </w:r>
          </w:p>
        </w:tc>
        <w:tc>
          <w:tcPr>
            <w:tcW w:w="68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8"/>
              </w:rPr>
              <w:t>Bring-down Comfort Letter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(m)</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Additional Documents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(n)</w:t>
            </w:r>
          </w:p>
        </w:tc>
        <w:tc>
          <w:tcPr>
            <w:tcW w:w="81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9"/>
              </w:rPr>
              <w:t>Termination of Agreement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1"/>
        </w:trPr>
        <w:tc>
          <w:tcPr>
            <w:tcW w:w="9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8"/>
              </w:rPr>
              <w:t>SECTION 6. Indemnification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3"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(a)</w:t>
        <w:tab/>
        <w:t>Indemnification of Underwriters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ind w:left="960" w:hanging="525"/>
        <w:spacing w:after="0"/>
        <w:tabs>
          <w:tab w:leader="none" w:pos="9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Company, Directors and Officers and Selling</w:t>
      </w:r>
    </w:p>
    <w:p>
      <w:pPr>
        <w:spacing w:after="0" w:line="1" w:lineRule="exact"/>
        <w:rPr>
          <w:sz w:val="20"/>
          <w:szCs w:val="20"/>
          <w:color w:val="auto"/>
        </w:rPr>
      </w:pPr>
    </w:p>
    <w:p>
      <w:pPr>
        <w:ind w:left="440"/>
        <w:spacing w:after="0"/>
        <w:tabs>
          <w:tab w:leader="dot" w:pos="92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(c)</w:t>
        <w:tab/>
        <w:t>Company Indemnification of Selling Stockholders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(d)</w:t>
        <w:tab/>
        <w:t>Selling Stockholders Indemnification of Company</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(e)</w:t>
        <w:tab/>
        <w:t>Actions against Parties; Notification</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(f)</w:t>
        <w:tab/>
        <w:t>Settlement without Consent if Failure to Reimburse</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(g)</w:t>
        <w:tab/>
        <w:t>Indemnification for Reserved Securities</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(h)</w:t>
        <w:tab/>
        <w:t>Other Agreements with Respect to Indemnification</w:t>
      </w:r>
      <w:r>
        <w:rPr>
          <w:sz w:val="20"/>
          <w:szCs w:val="20"/>
          <w:color w:val="auto"/>
        </w:rPr>
        <w:tab/>
      </w:r>
      <w:r>
        <w:rPr>
          <w:rFonts w:ascii="Courier New" w:cs="Courier New" w:eastAsia="Courier New" w:hAnsi="Courier New"/>
          <w:sz w:val="15"/>
          <w:szCs w:val="15"/>
          <w:color w:val="auto"/>
        </w:rPr>
        <w:t>26</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7. Contribution</w:t>
      </w:r>
      <w:r>
        <w:rPr>
          <w:sz w:val="20"/>
          <w:szCs w:val="20"/>
          <w:color w:val="auto"/>
        </w:rPr>
        <w:tab/>
      </w:r>
      <w:r>
        <w:rPr>
          <w:rFonts w:ascii="Courier New" w:cs="Courier New" w:eastAsia="Courier New" w:hAnsi="Courier New"/>
          <w:sz w:val="15"/>
          <w:szCs w:val="15"/>
          <w:color w:val="auto"/>
        </w:rPr>
        <w:t>26</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8. Representations, Warranties and Agreements to Survive Delivery</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9. Termination of Agreement</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(a)</w:t>
        <w:tab/>
        <w:t>Termination; General</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ind w:left="440"/>
        <w:spacing w:after="0"/>
        <w:tabs>
          <w:tab w:leader="none" w:pos="940" w:val="left"/>
          <w:tab w:leader="dot" w:pos="9280" w:val="left"/>
        </w:tabs>
        <w:rPr>
          <w:sz w:val="20"/>
          <w:szCs w:val="20"/>
          <w:color w:val="auto"/>
        </w:rPr>
      </w:pPr>
      <w:r>
        <w:rPr>
          <w:rFonts w:ascii="Courier New" w:cs="Courier New" w:eastAsia="Courier New" w:hAnsi="Courier New"/>
          <w:sz w:val="15"/>
          <w:szCs w:val="15"/>
          <w:color w:val="auto"/>
        </w:rPr>
        <w:t>(b)</w:t>
        <w:tab/>
        <w:t>Liabilities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10. Default by One or More of the Underwriters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11. Default by one or more of the Selling Stockholders or the Company</w:t>
      </w:r>
      <w:r>
        <w:rPr>
          <w:sz w:val="20"/>
          <w:szCs w:val="20"/>
          <w:color w:val="auto"/>
        </w:rPr>
        <w:tab/>
      </w:r>
      <w:r>
        <w:rPr>
          <w:rFonts w:ascii="Courier New" w:cs="Courier New" w:eastAsia="Courier New" w:hAnsi="Courier New"/>
          <w:sz w:val="15"/>
          <w:szCs w:val="15"/>
          <w:color w:val="auto"/>
        </w:rPr>
        <w:t>29</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12. Notices</w:t>
      </w:r>
      <w:r>
        <w:rPr>
          <w:sz w:val="20"/>
          <w:szCs w:val="20"/>
          <w:color w:val="auto"/>
        </w:rPr>
        <w:tab/>
      </w:r>
      <w:r>
        <w:rPr>
          <w:rFonts w:ascii="Courier New" w:cs="Courier New" w:eastAsia="Courier New" w:hAnsi="Courier New"/>
          <w:sz w:val="15"/>
          <w:szCs w:val="15"/>
          <w:color w:val="auto"/>
        </w:rPr>
        <w:t>30</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13. Parties</w:t>
      </w:r>
      <w:r>
        <w:rPr>
          <w:sz w:val="20"/>
          <w:szCs w:val="20"/>
          <w:color w:val="auto"/>
        </w:rPr>
        <w:tab/>
      </w:r>
      <w:r>
        <w:rPr>
          <w:rFonts w:ascii="Courier New" w:cs="Courier New" w:eastAsia="Courier New" w:hAnsi="Courier New"/>
          <w:sz w:val="15"/>
          <w:szCs w:val="15"/>
          <w:color w:val="auto"/>
        </w:rPr>
        <w:t>30</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14. GOVERNING LAW AND TIME</w:t>
      </w:r>
      <w:r>
        <w:rPr>
          <w:sz w:val="20"/>
          <w:szCs w:val="20"/>
          <w:color w:val="auto"/>
        </w:rPr>
        <w:tab/>
      </w:r>
      <w:r>
        <w:rPr>
          <w:rFonts w:ascii="Courier New" w:cs="Courier New" w:eastAsia="Courier New" w:hAnsi="Courier New"/>
          <w:sz w:val="15"/>
          <w:szCs w:val="15"/>
          <w:color w:val="auto"/>
        </w:rPr>
        <w:t>31</w:t>
      </w:r>
    </w:p>
    <w:p>
      <w:pPr>
        <w:spacing w:after="0" w:line="171" w:lineRule="exact"/>
        <w:rPr>
          <w:sz w:val="20"/>
          <w:szCs w:val="20"/>
          <w:color w:val="auto"/>
        </w:rPr>
      </w:pPr>
    </w:p>
    <w:p>
      <w:pPr>
        <w:spacing w:after="0"/>
        <w:tabs>
          <w:tab w:leader="dot" w:pos="9280" w:val="left"/>
        </w:tabs>
        <w:rPr>
          <w:sz w:val="20"/>
          <w:szCs w:val="20"/>
          <w:color w:val="auto"/>
        </w:rPr>
      </w:pPr>
      <w:r>
        <w:rPr>
          <w:rFonts w:ascii="Courier New" w:cs="Courier New" w:eastAsia="Courier New" w:hAnsi="Courier New"/>
          <w:sz w:val="15"/>
          <w:szCs w:val="15"/>
          <w:color w:val="auto"/>
        </w:rPr>
        <w:t>SECTION 15. Effect of Headings</w:t>
      </w:r>
      <w:r>
        <w:rPr>
          <w:sz w:val="20"/>
          <w:szCs w:val="20"/>
          <w:color w:val="auto"/>
        </w:rPr>
        <w:tab/>
      </w: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A</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List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of Underwriters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A-1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B</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List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of Selling Stockholders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B-1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Schedule C</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Pricing Information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C-1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D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Capitalization of Certain Subsidiaries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D-1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E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List of Subsidiaries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E-1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F -</w:t>
            </w:r>
          </w:p>
        </w:tc>
        <w:tc>
          <w:tcPr>
            <w:tcW w:w="1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Liens</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on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F-1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G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Registration Rights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G-1</w:t>
            </w:r>
          </w:p>
        </w:tc>
      </w:tr>
      <w:tr>
        <w:trPr>
          <w:trHeight w:val="341"/>
        </w:trPr>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w w:val="98"/>
              </w:rPr>
              <w:t>Schedule H -</w:t>
            </w:r>
          </w:p>
        </w:tc>
        <w:tc>
          <w:tcPr>
            <w:tcW w:w="120" w:type="dxa"/>
            <w:vAlign w:val="bottom"/>
          </w:tcPr>
          <w:p>
            <w:pPr>
              <w:spacing w:after="0"/>
              <w:rPr>
                <w:sz w:val="24"/>
                <w:szCs w:val="24"/>
                <w:color w:val="auto"/>
              </w:rPr>
            </w:pPr>
          </w:p>
        </w:tc>
        <w:tc>
          <w:tcPr>
            <w:tcW w:w="4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List of Persons subject to Lock-up</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Sch H-1</w:t>
            </w:r>
          </w:p>
        </w:tc>
      </w:tr>
      <w:tr>
        <w:trPr>
          <w:trHeight w:val="341"/>
        </w:trPr>
        <w:tc>
          <w:tcPr>
            <w:tcW w:w="18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A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Opinion of Company's Counsel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B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Opinion for the Selling Stockholders(s)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341"/>
        </w:trPr>
        <w:tc>
          <w:tcPr>
            <w:tcW w:w="2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Exhibit C - Form of</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Lock-up Letter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59"/>
          </w:cols>
          <w:pgMar w:left="50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 Delaware corporation)</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 Value $0.01 Per Share)</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PURCHASE AGREEMENT</w:t>
      </w:r>
    </w:p>
    <w:p>
      <w:pPr>
        <w:spacing w:after="0" w:line="345"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______________, 1999</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c/o</w:t>
        <w:tab/>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Financial Center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10281-1209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200" w:lineRule="exact"/>
        <w:rPr>
          <w:sz w:val="20"/>
          <w:szCs w:val="20"/>
          <w:color w:val="auto"/>
        </w:rPr>
      </w:pPr>
    </w:p>
    <w:p>
      <w:pPr>
        <w:spacing w:after="0" w:line="31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CheckFree Holdings Corporation, a Delaware corporation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persons listed in Schedule B hereto (the "Selling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 their respective agreements with Merrill Lynch &amp; Co., Merrill Lynch,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Pierce, Fenner &amp; Smith Incorporated ("Merrill Lynch") and each of the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Underwriters named in Schedule A hereto (collectively, the "Underwriters,"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shall also include any underwriter substituted as hereinafter provided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hereof), for whom Merrill Lynch, Deutsche Bank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 and U.S. Bancorp Piper Jaffray Inc. are acting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representatives (in such capacity, the "Representatives"), with respect to (i)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sale by the Company and the Selling Stockholders, acting severally and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jointly, and the purchase by the Underwriters, acting severally and not jointly,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respective numbers of shares of Common Stock, par value $0.01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("Common Stock") set forth in Schedules A and B hereto and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grant by the Company to the Underwriters, acting severally and not jointly,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option described in Section 2(b) hereof to purchase all or any part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 additional shares of Common Stock to cover over-allotments, if any.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aforesaid [_________] shares of Common Stock (the "Initial Securities") to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w:t>
      </w:r>
    </w:p>
    <w:p>
      <w:pPr>
        <w:sectPr>
          <w:pgSz w:w="11900" w:h="16838" w:orient="portrait"/>
          <w:cols w:equalWidth="0" w:num="1">
            <w:col w:w="10219"/>
          </w:cols>
          <w:pgMar w:left="240" w:top="287" w:right="1440" w:bottom="1440" w:gutter="0" w:footer="0" w:header="0"/>
        </w:sectPr>
      </w:pPr>
    </w:p>
    <w:bookmarkStart w:id="111" w:name="page112"/>
    <w:bookmarkEnd w:id="111"/>
    <w:p>
      <w:pPr>
        <w:ind w:left="269"/>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the Underwriters and all or any part of the [______] shares of Common Stock</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subject to the option described in Section 2(b) hereof (the "Option Securities")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hereinafter called, collectively, the "Securities."</w:t>
      </w:r>
    </w:p>
    <w:p>
      <w:pPr>
        <w:spacing w:after="0" w:line="174"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The Company and the Selling Stockholders understand that the Underwriters propose to make a public offering of the Securities as soon as the Representatives deem advisable after this Agreement has been executed and delivered.</w:t>
      </w:r>
    </w:p>
    <w:p>
      <w:pPr>
        <w:spacing w:after="0" w:line="347"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The Company and the Underwriters agree that up to 250,000 shares of the Securities to be purchased by the Underwriters (the "Reserved Securities") shall be reserved for sale by the Underwriters to certain persons having business relationships with the Company, as part of the distribution of the Securities by the Underwriters, subject to the terms of this Agreement, the applicable rules, regulations and interpretations of the National Association of Securities Dealers, Inc. and all other applicable laws, rule and regulations. To the extent that such Reserved Securities are not orally confirmed for purchase by such persons having business relationships with the Company by the end of the second business day after the date of the Agreement, such Reserved Securities may be offered to the public as part of the public offering contemplated hereby.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Company has filed with the Securities and Exchange Commission (the</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"Commission") a registration statement on Form S-3 (No. 333- ) covering the registration of the Securities under the Securities Act of 1933, as amended (the "1933 Act"), including the related preliminary prospectus or prospectuses. Promptly after execution and delivery of this Agreement, the Company will either</w:t>
      </w:r>
    </w:p>
    <w:p>
      <w:pPr>
        <w:spacing w:after="0" w:line="1" w:lineRule="exact"/>
        <w:rPr>
          <w:sz w:val="20"/>
          <w:szCs w:val="20"/>
          <w:color w:val="auto"/>
        </w:rPr>
      </w:pPr>
    </w:p>
    <w:p>
      <w:pPr>
        <w:ind w:left="9" w:right="3119" w:hanging="9"/>
        <w:spacing w:after="0" w:line="259" w:lineRule="auto"/>
        <w:tabs>
          <w:tab w:leader="none" w:pos="36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a prospectus in accordance with the provisions of Rule 430A ("Rule 430A") of the rules and regulations of the Commission under the 1933 Act (the "1933 Act Regulations") and paragraph (b) of Rule 424 ("Rule 424(b)") of the 1933 Act Regulations or (ii) if the Company has elected to rely upon Rule 434 ("Rule 434") of the 1933 Act Regulations, prepare and file a term sheet (a "Term Sheet") in accordance with the provisions of Rule 434 and Rule 424(b). The information included in such prospectus or in such Term Sheet, as the case may be, that was omitted from such registration statement at the time it became effective but that is deemed to be part of such registration statement at the time it became effective (a) pursuant to paragraph (b) of Rule 430A is referred to as "Rule 430A Information" or (b) pursuant to paragraph (d) of Rule 434 is referred to as "Rule 434 Information."</w:t>
      </w:r>
    </w:p>
    <w:p>
      <w:pPr>
        <w:spacing w:after="0" w:line="33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Each prospectus used before such registration statement became effective, and any prospectus that omitted, as applicable, the Rule 430A Information or the Rule 434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and the Rule 434 Information, as applicable, is herein called the "Registration Statement." Any registration statement filed pursuant to Rule 462(b) of the 1933 Act Regulations is herein referred to as the "Rule</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462(b) Registration Statement," and after such filing the term "Registration Statement" shall 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If Rule 434 is relied on, the term "Prospectus" shall refer to the preliminary prospectus dated May __, 1999 together with the Term Sheet and all references in this Agreement to the date of the Prospectus shall mean the date of the Term Sheet. For purposes of this Agreement, all references to the Registration Statement, any preliminary prospectus, the Prospectus or any Term Sheet or any amendment or supplement to any of the foregoing shall be deemed to include the copy filed with the Commission pursuant to its Electronic Data Gathering, Analysis and Retrieval system ("EDGAR").</w:t>
      </w:r>
    </w:p>
    <w:p>
      <w:pPr>
        <w:spacing w:after="0" w:line="16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 supplements to the Registration Statement, any preliminary prospectus or the Prospectus shall be deemed to mean and include the filing of any document under the Securities Exchange Act of 1934, as amended (the "1934 Act"), which is incorporated by reference in the Registration Statement, such preliminary prospectus or the Prospectus, as the case may be.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 Representations and Warranties</w:t>
      </w:r>
    </w:p>
    <w:p>
      <w:pPr>
        <w:spacing w:after="0" w:line="174" w:lineRule="exact"/>
        <w:rPr>
          <w:sz w:val="20"/>
          <w:szCs w:val="20"/>
          <w:color w:val="auto"/>
        </w:rPr>
      </w:pPr>
    </w:p>
    <w:p>
      <w:pPr>
        <w:ind w:right="3119" w:firstLine="790"/>
        <w:spacing w:after="0"/>
        <w:tabs>
          <w:tab w:leader="none" w:pos="115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the Company. The Company represents and warrants to each Underwriter as of the date hereof, as of the Closing Time referred to in Section 2(c) hereof, and as of each Date of Delivery (if any) referred to in Section 2(b) hereof, and agrees with each Underwriter, as follows:</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1934"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Registration Requirements. The Company meets the 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78" w:lineRule="exact"/>
        <w:rPr>
          <w:sz w:val="20"/>
          <w:szCs w:val="20"/>
          <w:color w:val="auto"/>
        </w:rPr>
      </w:pPr>
    </w:p>
    <w:p>
      <w:pPr>
        <w:ind w:left="780" w:right="3119" w:firstLine="799"/>
        <w:spacing w:after="0"/>
        <w:rPr>
          <w:sz w:val="20"/>
          <w:szCs w:val="20"/>
          <w:color w:val="auto"/>
        </w:rPr>
      </w:pPr>
      <w:r>
        <w:rPr>
          <w:rFonts w:ascii="Courier New" w:cs="Courier New" w:eastAsia="Courier New" w:hAnsi="Courier New"/>
          <w:sz w:val="15"/>
          <w:szCs w:val="15"/>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 Registration Statement and any amendments and supplements thereto complied and will comply in all material respects with the requirements of the 1933</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left="520" w:right="3399"/>
        <w:spacing w:after="0" w:line="239" w:lineRule="auto"/>
        <w:rPr>
          <w:sz w:val="20"/>
          <w:szCs w:val="20"/>
          <w:color w:val="auto"/>
        </w:rPr>
      </w:pPr>
      <w:r>
        <w:rPr>
          <w:rFonts w:ascii="Courier New" w:cs="Courier New" w:eastAsia="Courier New" w:hAnsi="Courier New"/>
          <w:sz w:val="15"/>
          <w:szCs w:val="15"/>
          <w:color w:val="auto"/>
        </w:rPr>
        <w:t>Act and the 1933 Act Regulations and did not and will not contain an untrue statement of a material fact or omit to state a material fact required to be stated therein or necessary to make the statements therein not misleading.</w:t>
      </w:r>
    </w:p>
    <w:p>
      <w:pPr>
        <w:spacing w:after="0" w:line="176" w:lineRule="exact"/>
        <w:rPr>
          <w:sz w:val="20"/>
          <w:szCs w:val="20"/>
          <w:color w:val="auto"/>
        </w:rPr>
      </w:pPr>
    </w:p>
    <w:p>
      <w:pPr>
        <w:ind w:left="520" w:right="3119" w:firstLine="799"/>
        <w:spacing w:after="0"/>
        <w:rPr>
          <w:sz w:val="20"/>
          <w:szCs w:val="20"/>
          <w:color w:val="auto"/>
        </w:rPr>
      </w:pPr>
      <w:r>
        <w:rPr>
          <w:rFonts w:ascii="Courier New" w:cs="Courier New" w:eastAsia="Courier New" w:hAnsi="Courier New"/>
          <w:sz w:val="15"/>
          <w:szCs w:val="15"/>
          <w:color w:val="auto"/>
        </w:rPr>
        <w:t>Neither the Prospectus nor any amendments or supplements thereto, at the time the Prospectus or any such amendment or supplement was issued and at the Closing Time (and, if any Option Securities are purchased, at the Date of Delivery), included or will include an untrue statement of a material fact or omitted or will omit to state a material fact necessary in order to make the statements therein, in the light of the circumstances under which they were made, not misleading. If Rule 434 is used, the Company will comply with the requirements of Rule 434 and the Prospectus shall not be "materially different," as such term is used in Rule 434, from the prospectus included in the Registration Statement at the time it became effective. The representations and warranties in this subsection shall not apply to statements in or omissions from the Registration Statement or Prospectus made in reliance upon and in conformity with information furnished to the Company in writing by any Underwriter through the Representatives expressly for use in the Registration Statement or Prospectus.</w:t>
      </w:r>
    </w:p>
    <w:p>
      <w:pPr>
        <w:spacing w:after="0" w:line="183" w:lineRule="exact"/>
        <w:rPr>
          <w:sz w:val="20"/>
          <w:szCs w:val="20"/>
          <w:color w:val="auto"/>
        </w:rPr>
      </w:pPr>
    </w:p>
    <w:p>
      <w:pPr>
        <w:ind w:left="520" w:right="3219" w:firstLine="799"/>
        <w:spacing w:after="0"/>
        <w:rPr>
          <w:sz w:val="20"/>
          <w:szCs w:val="20"/>
          <w:color w:val="auto"/>
        </w:rPr>
      </w:pPr>
      <w:r>
        <w:rPr>
          <w:rFonts w:ascii="Courier New" w:cs="Courier New" w:eastAsia="Courier New" w:hAnsi="Courier New"/>
          <w:sz w:val="15"/>
          <w:szCs w:val="15"/>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 Act Regulations and each preliminary prospectus and the Prospectus delivered to the Underwriters for use in connection with this offering was identical to the electronically transmitted copies thereof filed with the Commission pursuant to EDGAR, except to the extent permitted by Regulation S-T.</w:t>
      </w:r>
    </w:p>
    <w:p>
      <w:pPr>
        <w:spacing w:after="0" w:line="177" w:lineRule="exact"/>
        <w:rPr>
          <w:sz w:val="20"/>
          <w:szCs w:val="20"/>
          <w:color w:val="auto"/>
        </w:rPr>
      </w:pPr>
    </w:p>
    <w:p>
      <w:pPr>
        <w:ind w:left="520" w:right="3119" w:firstLine="808"/>
        <w:spacing w:after="0" w:line="259" w:lineRule="auto"/>
        <w:tabs>
          <w:tab w:leader="none" w:pos="17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Documents. The documents incorporated or deemed to be incorporated by reference in the Registration Statement and the Prospectus, when they became effective or at the time they were or hereafter are filed with the Commission, as applicable, complied and will comply in all material respects with the requirements of the 1933 Act and the 1933 Act Regulations or the 1934 Act and the rules and regulations of the Commission thereunder (the "1934 Act Regulations"), as applicable, 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163" w:lineRule="exact"/>
        <w:rPr>
          <w:rFonts w:ascii="Courier New" w:cs="Courier New" w:eastAsia="Courier New" w:hAnsi="Courier New"/>
          <w:sz w:val="14"/>
          <w:szCs w:val="14"/>
          <w:color w:val="auto"/>
        </w:rPr>
      </w:pPr>
    </w:p>
    <w:p>
      <w:pPr>
        <w:ind w:left="520" w:right="3299" w:firstLine="808"/>
        <w:spacing w:after="0" w:line="239" w:lineRule="auto"/>
        <w:tabs>
          <w:tab w:leader="none" w:pos="185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 The accountants who certified the financial statements and supporting schedules included in the Registration Statement are independent public accountants as required by the 1933 Act and the 1933 Act Regulations.</w:t>
      </w:r>
    </w:p>
    <w:p>
      <w:pPr>
        <w:spacing w:after="0" w:line="176" w:lineRule="exact"/>
        <w:rPr>
          <w:rFonts w:ascii="Courier New" w:cs="Courier New" w:eastAsia="Courier New" w:hAnsi="Courier New"/>
          <w:sz w:val="15"/>
          <w:szCs w:val="15"/>
          <w:color w:val="auto"/>
        </w:rPr>
      </w:pPr>
    </w:p>
    <w:p>
      <w:pPr>
        <w:ind w:left="520" w:right="3299" w:firstLine="808"/>
        <w:spacing w:after="0" w:line="239" w:lineRule="auto"/>
        <w:tabs>
          <w:tab w:leader="none" w:pos="176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The financial statements included in the Registration Statement and the Prospectus, together with the related schedules and notes, present fairly</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520" w:right="3119"/>
        <w:spacing w:after="0" w:line="259" w:lineRule="auto"/>
        <w:rPr>
          <w:sz w:val="20"/>
          <w:szCs w:val="20"/>
          <w:color w:val="auto"/>
        </w:rPr>
      </w:pPr>
      <w:r>
        <w:rPr>
          <w:rFonts w:ascii="Courier New" w:cs="Courier New" w:eastAsia="Courier New" w:hAnsi="Courier New"/>
          <w:sz w:val="14"/>
          <w:szCs w:val="14"/>
          <w:color w:val="auto"/>
        </w:rPr>
        <w:t>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generally accepted accounting principles ("GAAP") applied on a consistent basis throughout the periods involved. The supporting schedules, if any, included in the Registration Statement present fairly in accordance with GAAP the information required to be stated therein. The selected financial data and the summary financial information (excluding Other Data included therein) included in the Prospectus present fairly the information shown therein and have been compiled on a basis consistent with that of the audited financial statements included in the Registration Statement.</w:t>
      </w:r>
    </w:p>
    <w:p>
      <w:pPr>
        <w:spacing w:after="0" w:line="164" w:lineRule="exact"/>
        <w:rPr>
          <w:sz w:val="20"/>
          <w:szCs w:val="20"/>
          <w:color w:val="auto"/>
        </w:rPr>
      </w:pPr>
    </w:p>
    <w:p>
      <w:pPr>
        <w:ind w:left="520" w:right="3219" w:firstLine="808"/>
        <w:spacing w:after="0"/>
        <w:tabs>
          <w:tab w:leader="none" w:pos="16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in Business. Since the respective dates as of which information is given in the Registration Statement and the Prospectus, except as otherwise stated therein,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1" w:lineRule="exact"/>
        <w:rPr>
          <w:rFonts w:ascii="Courier New" w:cs="Courier New" w:eastAsia="Courier New" w:hAnsi="Courier New"/>
          <w:sz w:val="15"/>
          <w:szCs w:val="15"/>
          <w:color w:val="auto"/>
        </w:rPr>
      </w:pPr>
    </w:p>
    <w:p>
      <w:pPr>
        <w:ind w:left="520" w:right="3119" w:firstLine="808"/>
        <w:spacing w:after="0"/>
        <w:tabs>
          <w:tab w:leader="none" w:pos="176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Standing of the Company. The Company has been duly organized and is validly existing as a corporation in good standing under the laws of the state of Delaware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78" w:lineRule="exact"/>
        <w:rPr>
          <w:rFonts w:ascii="Courier New" w:cs="Courier New" w:eastAsia="Courier New" w:hAnsi="Courier New"/>
          <w:sz w:val="15"/>
          <w:szCs w:val="15"/>
          <w:color w:val="auto"/>
        </w:rPr>
      </w:pPr>
    </w:p>
    <w:p>
      <w:pPr>
        <w:ind w:left="520" w:right="3119" w:firstLine="808"/>
        <w:spacing w:after="0"/>
        <w:tabs>
          <w:tab w:leader="none" w:pos="185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Standing of Subsidiaries. Each "significant subsidiary" of the Company (as such term is defined in Rule 1-02 of Regulation S-X) (each a "Subsidiary" and, collectively, the "Subsidiaries")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set forth in Schedule D hereto and as otherwise disclosed in the Registration Statement, all of the issued and outstanding capital stock of</w:t>
      </w:r>
    </w:p>
    <w:p>
      <w:pPr>
        <w:spacing w:after="0" w:line="350"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7"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each such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Subsidiaries listed on Schedule E hereto.</w:t>
      </w:r>
    </w:p>
    <w:p>
      <w:pPr>
        <w:spacing w:after="0" w:line="177" w:lineRule="exact"/>
        <w:rPr>
          <w:sz w:val="20"/>
          <w:szCs w:val="20"/>
          <w:color w:val="auto"/>
        </w:rPr>
      </w:pPr>
    </w:p>
    <w:p>
      <w:pPr>
        <w:ind w:left="520" w:right="3119" w:firstLine="808"/>
        <w:spacing w:after="0"/>
        <w:tabs>
          <w:tab w:leader="none" w:pos="19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including the Securities to be purchased by the Underwriters from the Selling Stockholders, have been duly authorized and validly issued and are fully paid and non-assessable; none of the outstanding shares of capital stock, including the Securities to be purchased by the Underwriters from the Selling Stockholders, was issued in violation of the preemptive or other similar rights of any securityholder of the Company.</w:t>
      </w:r>
    </w:p>
    <w:p>
      <w:pPr>
        <w:spacing w:after="0" w:line="181" w:lineRule="exact"/>
        <w:rPr>
          <w:rFonts w:ascii="Courier New" w:cs="Courier New" w:eastAsia="Courier New" w:hAnsi="Courier New"/>
          <w:sz w:val="15"/>
          <w:szCs w:val="15"/>
          <w:color w:val="auto"/>
        </w:rPr>
      </w:pPr>
    </w:p>
    <w:p>
      <w:pPr>
        <w:ind w:left="520" w:right="3219" w:firstLine="808"/>
        <w:spacing w:after="0" w:line="238" w:lineRule="auto"/>
        <w:tabs>
          <w:tab w:leader="none" w:pos="176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Agreement. This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left="520" w:right="3119" w:firstLine="808"/>
        <w:spacing w:after="0" w:line="259" w:lineRule="auto"/>
        <w:tabs>
          <w:tab w:leader="none" w:pos="167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and Description of Securities.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the Common Stock conforms to all statements relating thereto contained in the Prospectus and such description conforms to the rights set forth in the instruments defining the same; no holder of the Securities will be subject to personal liability by reason of being such a holder; and the issuance of the Securities is not subject to the preemptive or other similar rights of any securityholder of the Company.</w:t>
      </w:r>
    </w:p>
    <w:p>
      <w:pPr>
        <w:spacing w:after="0" w:line="164" w:lineRule="exact"/>
        <w:rPr>
          <w:rFonts w:ascii="Courier New" w:cs="Courier New" w:eastAsia="Courier New" w:hAnsi="Courier New"/>
          <w:sz w:val="14"/>
          <w:szCs w:val="14"/>
          <w:color w:val="auto"/>
        </w:rPr>
      </w:pPr>
    </w:p>
    <w:p>
      <w:pPr>
        <w:ind w:left="520" w:right="3119" w:firstLine="808"/>
        <w:spacing w:after="0" w:line="259" w:lineRule="auto"/>
        <w:tabs>
          <w:tab w:leader="none" w:pos="176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Defaults and Conflicts. Neither the Company nor any of its Subsidiaries is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"Agreements and Instruments") except for such defaults that would not result in a Material Adverse Effect; and the execution, delivery and performance of this Agreement and the consummation of the transactions contemplated herein and in the Registration Statement (including the issuance and sale of the Securities and the use of the proceeds from the sale of the Securities as described in the Prospectus</w:t>
      </w:r>
    </w:p>
    <w:p>
      <w:pPr>
        <w:spacing w:after="0" w:line="16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520" w:right="3119"/>
        <w:spacing w:after="0" w:line="258" w:lineRule="auto"/>
        <w:rPr>
          <w:sz w:val="20"/>
          <w:szCs w:val="20"/>
          <w:color w:val="auto"/>
        </w:rPr>
      </w:pPr>
      <w:r>
        <w:rPr>
          <w:rFonts w:ascii="Courier New" w:cs="Courier New" w:eastAsia="Courier New" w:hAnsi="Courier New"/>
          <w:sz w:val="14"/>
          <w:szCs w:val="14"/>
          <w:color w:val="auto"/>
        </w:rPr>
        <w:t>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Subsidiary or any applicable law, statute, rule, regulation, judgment, order, writ or decree of any government, government instrumentality or court, domestic or foreign, having jurisdiction over the Company or any Subsidiary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345" w:lineRule="exact"/>
        <w:rPr>
          <w:sz w:val="20"/>
          <w:szCs w:val="20"/>
          <w:color w:val="auto"/>
        </w:rPr>
      </w:pPr>
    </w:p>
    <w:p>
      <w:pPr>
        <w:ind w:left="520" w:right="3219" w:firstLine="808"/>
        <w:spacing w:after="0"/>
        <w:tabs>
          <w:tab w:leader="none" w:pos="185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Labor Dispute.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 which, in either case, may reasonably be expected to result in a Material Adverse Effect.</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19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Proceedings. There is no action, suit, proceeding, inquiry or investigation before or brought by any court or governmental agency or body, domestic or foreign, now pending, or, to the knowledge of the Company, threatened, against or affecting the Company or any Subsidiary, which is required to be disclosed in the Registration Statement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or any Subsidiary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183" w:lineRule="exact"/>
        <w:rPr>
          <w:rFonts w:ascii="Courier New" w:cs="Courier New" w:eastAsia="Courier New" w:hAnsi="Courier New"/>
          <w:sz w:val="15"/>
          <w:szCs w:val="15"/>
          <w:color w:val="auto"/>
        </w:rPr>
      </w:pPr>
    </w:p>
    <w:p>
      <w:pPr>
        <w:ind w:left="520" w:right="3399" w:firstLine="808"/>
        <w:spacing w:after="0"/>
        <w:tabs>
          <w:tab w:leader="none" w:pos="185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Exhibits. There are no contracts or documents which are required to be described in the Registration Statement, the Prospectus or the documents incorporated by reference therein or to be filed as exhibits thereto which have not been so described and filed as required.</w:t>
      </w:r>
    </w:p>
    <w:p>
      <w:pPr>
        <w:spacing w:after="0" w:line="174" w:lineRule="exact"/>
        <w:rPr>
          <w:rFonts w:ascii="Courier New" w:cs="Courier New" w:eastAsia="Courier New" w:hAnsi="Courier New"/>
          <w:sz w:val="15"/>
          <w:szCs w:val="15"/>
          <w:color w:val="auto"/>
        </w:rPr>
      </w:pPr>
    </w:p>
    <w:p>
      <w:pPr>
        <w:ind w:left="520" w:right="3219" w:firstLine="808"/>
        <w:spacing w:after="0" w:line="239" w:lineRule="auto"/>
        <w:tabs>
          <w:tab w:leader="none" w:pos="176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of Intellectual Property. The Company and its Subsidiaries own or possess, or can acquire on reasonable terms, adequate patents, patent rights, licenses,</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singly or in the aggregate, would result in a Material Adverse Effect.</w:t>
      </w:r>
    </w:p>
    <w:p>
      <w:pPr>
        <w:spacing w:after="0" w:line="181" w:lineRule="exact"/>
        <w:rPr>
          <w:sz w:val="20"/>
          <w:szCs w:val="20"/>
          <w:color w:val="auto"/>
        </w:rPr>
      </w:pPr>
    </w:p>
    <w:p>
      <w:pPr>
        <w:ind w:left="520" w:right="3119" w:firstLine="808"/>
        <w:spacing w:after="0"/>
        <w:tabs>
          <w:tab w:leader="none" w:pos="185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Further Requirements.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Regulations or state securities laws.</w:t>
      </w:r>
    </w:p>
    <w:p>
      <w:pPr>
        <w:spacing w:after="0" w:line="177" w:lineRule="exact"/>
        <w:rPr>
          <w:rFonts w:ascii="Courier New" w:cs="Courier New" w:eastAsia="Courier New" w:hAnsi="Courier New"/>
          <w:sz w:val="15"/>
          <w:szCs w:val="15"/>
          <w:color w:val="auto"/>
        </w:rPr>
      </w:pPr>
    </w:p>
    <w:p>
      <w:pPr>
        <w:ind w:left="520" w:right="3119" w:firstLine="808"/>
        <w:spacing w:after="0"/>
        <w:tabs>
          <w:tab w:leader="none" w:pos="19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of Licenses and Permits. 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83" w:lineRule="exact"/>
        <w:rPr>
          <w:rFonts w:ascii="Courier New" w:cs="Courier New" w:eastAsia="Courier New" w:hAnsi="Courier New"/>
          <w:sz w:val="15"/>
          <w:szCs w:val="15"/>
          <w:color w:val="auto"/>
        </w:rPr>
      </w:pPr>
    </w:p>
    <w:p>
      <w:pPr>
        <w:ind w:left="520" w:right="3219" w:firstLine="808"/>
        <w:spacing w:after="0" w:line="259" w:lineRule="auto"/>
        <w:tabs>
          <w:tab w:leader="none" w:pos="202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Property.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Prospectus or in Schedule F hereto or (b)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w:t>
      </w:r>
    </w:p>
    <w:p>
      <w:pPr>
        <w:spacing w:after="0" w:line="33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Subsidiaries holds properties described in the Prospectus, are in full force and effect,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77" w:lineRule="exact"/>
        <w:rPr>
          <w:sz w:val="20"/>
          <w:szCs w:val="20"/>
          <w:color w:val="auto"/>
        </w:rPr>
      </w:pPr>
    </w:p>
    <w:p>
      <w:pPr>
        <w:ind w:left="520" w:right="3119" w:firstLine="808"/>
        <w:spacing w:after="0"/>
        <w:tabs>
          <w:tab w:leader="none" w:pos="185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Cuba Act. The Company has complied with, and is and will be in compliance with, the provisions of that certain Florida act relating to disclosure of doing business with Cuba, codified as Section 517.075 of the Florida statutes, and the rules and regulations thereunder (collectively, the "Cuba Act") or is exempt therefrom.</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176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Company Act. The Company is not, and upon the issuance and sale of the Securities as herein contemplated and the application of the net proceeds therefrom as described in the Prospectus will not be, an "investment company" or an entity "controlled" by an "investment company" as such terms are defined in the Investment Company Act of 1940, as amended (the "1940 Act").</w:t>
      </w:r>
    </w:p>
    <w:p>
      <w:pPr>
        <w:spacing w:after="0" w:line="175" w:lineRule="exact"/>
        <w:rPr>
          <w:rFonts w:ascii="Courier New" w:cs="Courier New" w:eastAsia="Courier New" w:hAnsi="Courier New"/>
          <w:sz w:val="15"/>
          <w:szCs w:val="15"/>
          <w:color w:val="auto"/>
        </w:rPr>
      </w:pPr>
    </w:p>
    <w:p>
      <w:pPr>
        <w:ind w:left="520" w:right="3119" w:firstLine="808"/>
        <w:spacing w:after="0" w:line="259" w:lineRule="auto"/>
        <w:tabs>
          <w:tab w:leader="none" w:pos="185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Except as described in the Registration Statement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w:t>
      </w:r>
    </w:p>
    <w:p>
      <w:pPr>
        <w:spacing w:after="0" w:line="161" w:lineRule="exact"/>
        <w:rPr>
          <w:rFonts w:ascii="Courier New" w:cs="Courier New" w:eastAsia="Courier New" w:hAnsi="Courier New"/>
          <w:sz w:val="14"/>
          <w:szCs w:val="14"/>
          <w:color w:val="auto"/>
        </w:rPr>
      </w:pPr>
    </w:p>
    <w:p>
      <w:pPr>
        <w:ind w:left="520" w:right="3119" w:firstLine="10"/>
        <w:spacing w:after="0"/>
        <w:tabs>
          <w:tab w:leader="none" w:pos="87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knowledge of the Company or its Subsidiaries, threatened administrative, regulatory or judicial actions, suits, demands, demand letters, claims, liens, notices of noncompliance or violation, investigation or proceedings relating to any Environmental Law against the Company or any of its Subsidiaries and (d) to the knowledge of the Company or its Subsidiaries,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78" w:lineRule="exact"/>
        <w:rPr>
          <w:rFonts w:ascii="Courier New" w:cs="Courier New" w:eastAsia="Courier New" w:hAnsi="Courier New"/>
          <w:sz w:val="15"/>
          <w:szCs w:val="15"/>
          <w:color w:val="auto"/>
        </w:rPr>
      </w:pPr>
    </w:p>
    <w:p>
      <w:pPr>
        <w:ind w:left="520" w:right="3299" w:firstLine="808"/>
        <w:spacing w:after="0" w:line="239" w:lineRule="auto"/>
        <w:tabs>
          <w:tab w:leader="none" w:pos="194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Other than the Selling Stockholders or as set forth in Schedule G, there are no persons with registration rights or other similar rights to have any</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7"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left="520" w:right="3839"/>
        <w:spacing w:after="0" w:line="238" w:lineRule="auto"/>
        <w:rPr>
          <w:sz w:val="20"/>
          <w:szCs w:val="20"/>
          <w:color w:val="auto"/>
        </w:rPr>
      </w:pPr>
      <w:r>
        <w:rPr>
          <w:rFonts w:ascii="Courier New" w:cs="Courier New" w:eastAsia="Courier New" w:hAnsi="Courier New"/>
          <w:sz w:val="15"/>
          <w:szCs w:val="15"/>
          <w:color w:val="auto"/>
        </w:rPr>
        <w:t>securities registered pursuant to the Registration Statement or otherwise registered by the Company under the 1933 Act.</w:t>
      </w:r>
    </w:p>
    <w:p>
      <w:pPr>
        <w:spacing w:after="0" w:line="175" w:lineRule="exact"/>
        <w:rPr>
          <w:sz w:val="20"/>
          <w:szCs w:val="20"/>
          <w:color w:val="auto"/>
        </w:rPr>
      </w:pPr>
    </w:p>
    <w:p>
      <w:pPr>
        <w:ind w:left="-260" w:right="3219" w:firstLine="790"/>
        <w:spacing w:after="0" w:line="239" w:lineRule="auto"/>
        <w:tabs>
          <w:tab w:leader="none" w:pos="89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by the Selling Stockholders. Each Selling Stockholder severally represents and warrants to each Underwriter as of the date hereof, and as of the Closing Time, and agrees with each Underwriter, as follows:</w:t>
      </w:r>
    </w:p>
    <w:p>
      <w:pPr>
        <w:spacing w:after="0" w:line="176" w:lineRule="exact"/>
        <w:rPr>
          <w:rFonts w:ascii="Courier New" w:cs="Courier New" w:eastAsia="Courier New" w:hAnsi="Courier New"/>
          <w:sz w:val="15"/>
          <w:szCs w:val="15"/>
          <w:color w:val="auto"/>
        </w:rPr>
      </w:pPr>
    </w:p>
    <w:p>
      <w:pPr>
        <w:ind w:left="520" w:right="3119" w:firstLine="808"/>
        <w:spacing w:after="0"/>
        <w:tabs>
          <w:tab w:leader="none" w:pos="167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 Disclosure. To the best knowledge of such Selling Stockholder, the representations and warranties of the Company contained in Section 1(a) hereof are true and correct; such Selling Stockholder has reviewed and is familiar with the Registration Statement and the Prospectus and neither the Prospectus nor any amendments or supplements thereto includes any untrue statement of a material fact or omits to state a material fact necessary in order to make the statements therein, in the light of the circumstances under which they were made, not misleading; such Selling Stockholder is not prompted to sell the Securities to be sold by such Selling Stockholder hereunder by any information concerning the Company or any Subsidiary of the Company which is not set forth in the Prospectus.</w:t>
      </w:r>
    </w:p>
    <w:p>
      <w:pPr>
        <w:spacing w:after="0" w:line="179" w:lineRule="exact"/>
        <w:rPr>
          <w:rFonts w:ascii="Courier New" w:cs="Courier New" w:eastAsia="Courier New" w:hAnsi="Courier New"/>
          <w:sz w:val="15"/>
          <w:szCs w:val="15"/>
          <w:color w:val="auto"/>
        </w:rPr>
      </w:pPr>
    </w:p>
    <w:p>
      <w:pPr>
        <w:ind w:left="520" w:right="3119" w:firstLine="808"/>
        <w:spacing w:after="0" w:line="258" w:lineRule="auto"/>
        <w:tabs>
          <w:tab w:leader="none" w:pos="176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Agreements. Such Selling Stockholder has the full right, power and authority to enter into this Agreement and a Power of Attorney and Custody Agreement (the "Power of Attorney and Custody Agreement") and to sell, transfer and deliver the Securities to be sold by such Selling Stockholder hereunder. The execution and delivery of this Agreement and the Power of Attorney and Custody Agreement and the sale and delivery of the Securities to be sold by such Selling Stockholder and the consummation of the transactions contemplated herein and compliance by such Selling Stockholder with its obligations hereunder have been duly authorized by such Selling Stockholder and do not and will not, whether with or without the giving of notice or passage of time or both, conflict with or constitute a breach of, or default under, or result in the creation or imposition of any tax, lien, charge or encumbrance upon the Securities to be sold by such Selling Stockholder or any property or assets of such Selling Stockholder pursuant to any contract, indenture, mortgage, deed of trust, loan or credit agreement, note, license, lease or other agreement or instrument to which such Selling Stockholder is a party or by which such Selling Stockholder may be bound, or to which any of the property or assets of such Selling Stockholder is subject, nor will such action result in any violation of the provisions of the charter or by-laws or other organizational instrument of such Selling Stockholder, if applicable, or any applicable treaty, law, statute, rule, regulation, judgment, order, writ or decree of any government, government instrumentality or court, domestic or foreign, having jurisdiction over such Selling Stockholder or any of its properties.</w:t>
      </w:r>
    </w:p>
    <w:p>
      <w:pPr>
        <w:spacing w:after="0" w:line="345" w:lineRule="exact"/>
        <w:rPr>
          <w:rFonts w:ascii="Courier New" w:cs="Courier New" w:eastAsia="Courier New" w:hAnsi="Courier New"/>
          <w:sz w:val="14"/>
          <w:szCs w:val="14"/>
          <w:color w:val="auto"/>
        </w:rPr>
      </w:pPr>
    </w:p>
    <w:p>
      <w:pPr>
        <w:ind w:left="520" w:right="3119" w:firstLine="808"/>
        <w:spacing w:after="0"/>
        <w:tabs>
          <w:tab w:leader="none" w:pos="1851"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and Valid Title. Such Selling Stockholder has and will at the Closing Time have good and valid title to the Securities to be sold by such Selling Stockholder hereunder, free and clear of any security interest, mortgage, pledge, lien, charge, claim, equity or encumbrance of any kind, other than pursuant to this Agreement; and upon delivery of such Securities and payment of the purchase price therefor as herein contemplated, assuming each such Underwriter has no notice of any adverse claim, each of the</w:t>
      </w: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7"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520" w:right="3299"/>
        <w:spacing w:after="0" w:line="239" w:lineRule="auto"/>
        <w:rPr>
          <w:sz w:val="20"/>
          <w:szCs w:val="20"/>
          <w:color w:val="auto"/>
        </w:rPr>
      </w:pPr>
      <w:r>
        <w:rPr>
          <w:rFonts w:ascii="Courier New" w:cs="Courier New" w:eastAsia="Courier New" w:hAnsi="Courier New"/>
          <w:sz w:val="15"/>
          <w:szCs w:val="15"/>
          <w:color w:val="auto"/>
        </w:rPr>
        <w:t>Underwriters will receive good and marketable title to the Securities purchased by it from such Selling Stockholder, free and clear of any security interest, mortgage, pledge, lien, charge, claim, equity or encumbrance of any kind.</w:t>
      </w:r>
    </w:p>
    <w:p>
      <w:pPr>
        <w:spacing w:after="0" w:line="176" w:lineRule="exact"/>
        <w:rPr>
          <w:sz w:val="20"/>
          <w:szCs w:val="20"/>
          <w:color w:val="auto"/>
        </w:rPr>
      </w:pPr>
    </w:p>
    <w:p>
      <w:pPr>
        <w:ind w:left="520" w:right="3119" w:firstLine="808"/>
        <w:spacing w:after="0" w:line="259" w:lineRule="auto"/>
        <w:tabs>
          <w:tab w:leader="none" w:pos="176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Execution of Power of Attorney and Custody Agreement. Such Selling Stockholder has duly executed and delivered, in the form heretofore furnished to the Representatives, the Power of Attorney and Custody Agreement with Robert J. Tannous, Esq., as attorney-in-fact (the "Attorney-in-Fact") and as custodian (the "Custodian"); the Custodian is authorized to deliver the Securities to be sold by such Selling Stockholder hereunder and to accept payment therefor; and each Attorney-in-Fact is authorized to execute and deliver this Agreement and the certificate referred to in Section 5(f) or that may be required pursuant to Sections 5(l) and 5(m) on behalf of such Selling Stockholder, to sell, assign and transfer to the Underwriters the Securities to be sold by such Selling Stockholder hereunder, to determine the purchase price to be paid by the Underwriters to such Selling Stockholder, as provided in Section 2(a) hereof, to authorize the delivery of the Securities to be sold by such Selling Stockholder hereunder, to accept payment therefor, and otherwise to act on behalf of such Selling Stockholder in connection with this Agreement.</w:t>
      </w:r>
    </w:p>
    <w:p>
      <w:pPr>
        <w:spacing w:after="0" w:line="162" w:lineRule="exact"/>
        <w:rPr>
          <w:rFonts w:ascii="Courier New" w:cs="Courier New" w:eastAsia="Courier New" w:hAnsi="Courier New"/>
          <w:sz w:val="14"/>
          <w:szCs w:val="14"/>
          <w:color w:val="auto"/>
        </w:rPr>
      </w:pPr>
    </w:p>
    <w:p>
      <w:pPr>
        <w:ind w:left="520" w:right="3219" w:firstLine="808"/>
        <w:spacing w:after="0"/>
        <w:tabs>
          <w:tab w:leader="none" w:pos="167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Manipulation. Such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Securities.</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176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Further Requirements. No filing with, or consent, approval, authorization, order, registration, qualification or decree of, any court or governmental authority or agency, domestic or foreign, is necessary or required for the performance by such Selling Stockholder of its obligations hereunder or in the Power of Attorney and Custody Agreement, or in connection with the sale and delivery of the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178" w:lineRule="exact"/>
        <w:rPr>
          <w:rFonts w:ascii="Courier New" w:cs="Courier New" w:eastAsia="Courier New" w:hAnsi="Courier New"/>
          <w:sz w:val="15"/>
          <w:szCs w:val="15"/>
          <w:color w:val="auto"/>
        </w:rPr>
      </w:pPr>
    </w:p>
    <w:p>
      <w:pPr>
        <w:ind w:left="520" w:right="3119" w:firstLine="808"/>
        <w:spacing w:after="0"/>
        <w:tabs>
          <w:tab w:leader="none" w:pos="185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Sale of Securities. During a period of 90 days from the date of the Prospectus, such Selling Stockholder will not, without the prior written consent of Merrill Lynch, (i) offer, pledge, sell, contract to sell, sell any option or contract to purchase, purchase any option or contract to sell, grant any option, right or warrant to purchase or otherwise transfer or dispose of, directly or indirectly,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the Securities to be sold hereunder.</w:t>
      </w:r>
    </w:p>
    <w:p>
      <w:pPr>
        <w:spacing w:after="0" w:line="200" w:lineRule="exact"/>
        <w:rPr>
          <w:sz w:val="20"/>
          <w:szCs w:val="20"/>
          <w:color w:val="auto"/>
        </w:rPr>
      </w:pPr>
    </w:p>
    <w:p>
      <w:pPr>
        <w:spacing w:after="0" w:line="32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7"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520" w:right="3219" w:firstLine="808"/>
        <w:spacing w:after="0"/>
        <w:tabs>
          <w:tab w:leader="none" w:pos="19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Suitable for Transfer. Certificates for all of the Securities to be sold by such Selling Stockholder pursuant to this Agreement, in suitable form for transfer by delivery or accompanied by duly executed instruments of transfer or assignment in blank with signatures guaranteed, have been placed in custody with the Custodian with irrevocable conditional instructions to deliver such Securities to the Underwriters pursuant to this Agreement.</w:t>
      </w:r>
    </w:p>
    <w:p>
      <w:pPr>
        <w:spacing w:after="0" w:line="175" w:lineRule="exact"/>
        <w:rPr>
          <w:rFonts w:ascii="Courier New" w:cs="Courier New" w:eastAsia="Courier New" w:hAnsi="Courier New"/>
          <w:sz w:val="15"/>
          <w:szCs w:val="15"/>
          <w:color w:val="auto"/>
        </w:rPr>
      </w:pPr>
    </w:p>
    <w:p>
      <w:pPr>
        <w:ind w:left="520" w:right="3119" w:firstLine="808"/>
        <w:spacing w:after="0"/>
        <w:tabs>
          <w:tab w:leader="none" w:pos="176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Association with NASD. Neither such Selling Stockholder nor any of his/her/its affiliates directly, or indirectly through one or more intermediaries, controls, or is controlled by, or is under common control with, or has any other association with (within the meaning of Article I, Section 1(m) of the By-laws of the National Association of Securities Dealers, Inc.), any member firm of the National Association of Securities Dealers, Inc.</w:t>
      </w:r>
    </w:p>
    <w:p>
      <w:pPr>
        <w:spacing w:after="0" w:line="176" w:lineRule="exact"/>
        <w:rPr>
          <w:sz w:val="20"/>
          <w:szCs w:val="20"/>
          <w:color w:val="auto"/>
        </w:rPr>
      </w:pPr>
    </w:p>
    <w:p>
      <w:pPr>
        <w:ind w:left="-260" w:right="3219" w:firstLine="790"/>
        <w:spacing w:after="0" w:line="260" w:lineRule="auto"/>
        <w:tabs>
          <w:tab w:leader="none" w:pos="89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Certificates. Any certificate signed by any officer of the Company or any of its Subsidiaries delivered to the Representatives or to counsel for the Underwriters shall be deemed a representation and warranty by the Company to each Underwriter as to the matters covered thereby; and any certificate signed by or on behalf of the Selling Stockholders as such and delivered to the Representatives or to counsel for the Underwriters pursuant to the terms of this Agreement shall be deemed a representation and warranty by such Selling Stockholder to the Underwriters as to the matters covered thereby.</w:t>
      </w:r>
    </w:p>
    <w:p>
      <w:pPr>
        <w:spacing w:after="0" w:line="15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 Sale and Delivery to Underwriters; Closing.</w:t>
      </w:r>
    </w:p>
    <w:p>
      <w:pPr>
        <w:spacing w:after="0" w:line="174" w:lineRule="exact"/>
        <w:rPr>
          <w:sz w:val="20"/>
          <w:szCs w:val="20"/>
          <w:color w:val="auto"/>
        </w:rPr>
      </w:pPr>
    </w:p>
    <w:p>
      <w:pPr>
        <w:ind w:left="-260" w:right="3219" w:firstLine="790"/>
        <w:spacing w:after="0"/>
        <w:tabs>
          <w:tab w:leader="none" w:pos="89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Securities. On the basis of the representations and warranties herein contained and subject to the terms and conditions herein set forth, the Company and each Selling Stockholders, severally and not jointly, agree to sell to each Underwriter, severally and not jointly, and each Underwriter, severally and not jointly, agrees to purchase from the Company and each Selling Stockholder, at the price per share set forth in Schedule C, that proportion of the number of Initial Securities set forth in Schedule B opposite the name of the Company or such Selling Stockholder,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Representatives in their sole discretion shall make to eliminate any sales or purchases of fractional securities.</w:t>
      </w:r>
    </w:p>
    <w:p>
      <w:pPr>
        <w:spacing w:after="0" w:line="181" w:lineRule="exact"/>
        <w:rPr>
          <w:rFonts w:ascii="Courier New" w:cs="Courier New" w:eastAsia="Courier New" w:hAnsi="Courier New"/>
          <w:sz w:val="15"/>
          <w:szCs w:val="15"/>
          <w:color w:val="auto"/>
        </w:rPr>
      </w:pPr>
    </w:p>
    <w:p>
      <w:pPr>
        <w:ind w:left="-260" w:right="3119" w:firstLine="790"/>
        <w:spacing w:after="0" w:line="259" w:lineRule="auto"/>
        <w:tabs>
          <w:tab w:leader="none" w:pos="89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Securities. In addition, on the basis of the representations and warranties herein contained and subject to the terms and conditions herein set forth, the Company hereby grants an option to the Underwriters, severally and not jointly, to purchase up to an additional [_________] shares of Common Stock, as set forth in Schedule B, at the price per share set forth in Schedule C, less an amount per share equal to any dividends or distributions declared by the Company and payable on the Initial Securities but not payable on the Option Securities. The option hereby granted will expire 30 days after the date hereof and may be exercised in whole or in part from time to time</w:t>
      </w:r>
    </w:p>
    <w:p>
      <w:pPr>
        <w:spacing w:after="0" w:line="33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only for the purpose of covering over-allotments which may be made in connection with the offering and distribution of the Initial Securities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as hereinafter defined.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discretion shall make to eliminate any sales or purchases of fractional shares.</w:t>
      </w:r>
    </w:p>
    <w:p>
      <w:pPr>
        <w:spacing w:after="0" w:line="183" w:lineRule="exact"/>
        <w:rPr>
          <w:sz w:val="20"/>
          <w:szCs w:val="20"/>
          <w:color w:val="auto"/>
        </w:rPr>
      </w:pPr>
    </w:p>
    <w:p>
      <w:pPr>
        <w:ind w:right="3119" w:firstLine="790"/>
        <w:spacing w:after="0" w:line="259" w:lineRule="auto"/>
        <w:tabs>
          <w:tab w:leader="none" w:pos="115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Payment of the purchase price for, and delivery of certificates for, the Initial Securities shall be made at the offices of [____________________________], or at such other place as shall be agreed upon by the Representatives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Payment shall be made to the Company and the Selling Stockholders by wire transfer of immediately available funds to bank accounts designated by the Company and the Custodian pursuant to each Selling Stockholder's Power of Attorney and Custody Agreement, as the case may be, against delivery to the Representatives for the respective accounts of the Underwriters of certificates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Merrill Lynch,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2" w:lineRule="exact"/>
        <w:rPr>
          <w:sz w:val="20"/>
          <w:szCs w:val="20"/>
          <w:color w:val="auto"/>
        </w:rPr>
      </w:pPr>
    </w:p>
    <w:p>
      <w:pPr>
        <w:ind w:right="3119" w:firstLine="790"/>
        <w:spacing w:after="0" w:line="239" w:lineRule="auto"/>
        <w:tabs>
          <w:tab w:leader="none" w:pos="115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Registration. Certificates for the Initial Securities and the Option Securities, if any, shall be in such denominations and registered in such names as the Representatives may request in writing at least one full business day before the Closing Time or the relevant Date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Delivery, as the case may be. The certificates for the Initial Securities and the Option Securities, if any, will be made available for examination and packaging by the Representatives in The City of New York not later than 10:00 A.M. (Eastern time) on the business day prior to the Closing Time or the relevant Date of Delivery, as the case may be.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Covenants of the Company. The Company covenants with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 as follows:</w:t>
      </w:r>
    </w:p>
    <w:p>
      <w:pPr>
        <w:spacing w:after="0" w:line="174" w:lineRule="exact"/>
        <w:rPr>
          <w:sz w:val="20"/>
          <w:szCs w:val="20"/>
          <w:color w:val="auto"/>
        </w:rPr>
      </w:pPr>
    </w:p>
    <w:p>
      <w:pPr>
        <w:ind w:right="3119" w:firstLine="790"/>
        <w:spacing w:after="0" w:line="258" w:lineRule="auto"/>
        <w:tabs>
          <w:tab w:leader="none" w:pos="115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Securities Regulations and Commission Requests. The Company, subject to Section 3(b), will comply with the requirements of Rule 430A or Rule 434, as applicable, and will notify the Representatives immediately, and confirm the notice in writing, (1) when any post-effective amendment to the Registration Statement shall become effective, or any supplement to the Prospectus or any amended Prospectus shall have been filed, (ii) of the receipt of any comments from the Commission,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Rules 424(b) and 434 and will take such steps as it deems necessary to ascertain promptly whether the form of prospectus transmitted for filing under Rule 424(b) or Rule 434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344" w:lineRule="exact"/>
        <w:rPr>
          <w:rFonts w:ascii="Courier New" w:cs="Courier New" w:eastAsia="Courier New" w:hAnsi="Courier New"/>
          <w:sz w:val="14"/>
          <w:szCs w:val="14"/>
          <w:color w:val="auto"/>
        </w:rPr>
      </w:pPr>
    </w:p>
    <w:p>
      <w:pPr>
        <w:ind w:right="3299" w:firstLine="790"/>
        <w:spacing w:after="0"/>
        <w:tabs>
          <w:tab w:leader="none" w:pos="11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Amendments. The Company will give the Representatives notice of its intention to file or prepare any amendment to the Registration Statement (including any filing under Rule 462(b)), any Term Sheet or any amendment, supplement or revision to either the prospectus included in the Registration Statement at the time it became effective or to the Prospectus, whether pursuant to the 1933 Act, the 1934 Act or otherwise, will furnish the Representatives with copies of any such documents a reasonable amount of time prior to such proposed filing or use, as the case may be, and will not file or use any such document to which the Representatives or counsel for the Underwriters shall object.</w:t>
      </w:r>
    </w:p>
    <w:p>
      <w:pPr>
        <w:spacing w:after="0" w:line="178"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Registration Statements. The Company has furnished or will deliver to the Representatives and counsel for the Underwriters, 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pursuant to EDGAR, except to the extent permitted by Regulation S-T.</w:t>
      </w:r>
    </w:p>
    <w:p>
      <w:pPr>
        <w:spacing w:after="0" w:line="183" w:lineRule="exact"/>
        <w:rPr>
          <w:sz w:val="20"/>
          <w:szCs w:val="20"/>
          <w:color w:val="auto"/>
        </w:rPr>
      </w:pPr>
    </w:p>
    <w:p>
      <w:pPr>
        <w:ind w:right="3219" w:firstLine="790"/>
        <w:spacing w:after="0"/>
        <w:tabs>
          <w:tab w:leader="none" w:pos="11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8" w:lineRule="exact"/>
        <w:rPr>
          <w:rFonts w:ascii="Courier New" w:cs="Courier New" w:eastAsia="Courier New" w:hAnsi="Courier New"/>
          <w:sz w:val="15"/>
          <w:szCs w:val="15"/>
          <w:color w:val="auto"/>
        </w:rPr>
      </w:pPr>
    </w:p>
    <w:p>
      <w:pPr>
        <w:ind w:right="3119" w:firstLine="790"/>
        <w:spacing w:after="0" w:line="258" w:lineRule="auto"/>
        <w:tabs>
          <w:tab w:leader="none" w:pos="1154"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Compliance with Securities Laws. The Company will comply with the 1933 Act, the 1933 Act Regulations,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174"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 Sky Qualifications. The Company will use its best efforts, in cooperation with the Underwriters, to qualify the Securities for offering and sale under the applicable securities laws of such states and other jurisdictions (domestic or foreign) as the Representatives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of not less than one year from the effective date of the Registration Statement and any Rule 462(b) Registration Statement.</w:t>
      </w:r>
    </w:p>
    <w:p>
      <w:pPr>
        <w:spacing w:after="0" w:line="182"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158. The Company will timely file such reports pursuant to the 1934 Act as are necessary in order to make generally available to its securityholders as soon as practicable an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25" w:name="page126"/>
    <w:bookmarkEnd w:id="125"/>
    <w:p>
      <w:pPr>
        <w:ind w:left="269"/>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earnings statement for the purposes of, and to provide the benefits contemplated by, the last paragraph of Section 11(a) of the 1933 Act.</w:t>
      </w:r>
    </w:p>
    <w:p>
      <w:pPr>
        <w:spacing w:after="0" w:line="175" w:lineRule="exact"/>
        <w:rPr>
          <w:sz w:val="20"/>
          <w:szCs w:val="20"/>
          <w:color w:val="auto"/>
        </w:rPr>
      </w:pPr>
    </w:p>
    <w:p>
      <w:pPr>
        <w:ind w:left="9" w:right="3219" w:firstLine="790"/>
        <w:spacing w:after="0" w:line="239" w:lineRule="auto"/>
        <w:tabs>
          <w:tab w:leader="none" w:pos="116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Company will use the net proceeds received by it from the sale of the Securities in the manner specified in the Prospectus under "Use of Proceeds."</w:t>
      </w:r>
    </w:p>
    <w:p>
      <w:pPr>
        <w:spacing w:after="0" w:line="175" w:lineRule="exact"/>
        <w:rPr>
          <w:rFonts w:ascii="Courier New" w:cs="Courier New" w:eastAsia="Courier New" w:hAnsi="Courier New"/>
          <w:sz w:val="15"/>
          <w:szCs w:val="15"/>
          <w:color w:val="auto"/>
        </w:rPr>
      </w:pPr>
    </w:p>
    <w:p>
      <w:pPr>
        <w:ind w:left="9" w:right="3219" w:firstLine="790"/>
        <w:spacing w:after="0"/>
        <w:tabs>
          <w:tab w:leader="none" w:pos="116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75" w:lineRule="exact"/>
        <w:rPr>
          <w:rFonts w:ascii="Courier New" w:cs="Courier New" w:eastAsia="Courier New" w:hAnsi="Courier New"/>
          <w:sz w:val="15"/>
          <w:szCs w:val="15"/>
          <w:color w:val="auto"/>
        </w:rPr>
      </w:pPr>
    </w:p>
    <w:p>
      <w:pPr>
        <w:ind w:left="9" w:right="3119" w:firstLine="790"/>
        <w:spacing w:after="0" w:line="258" w:lineRule="auto"/>
        <w:tabs>
          <w:tab w:leader="none" w:pos="1163"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w:t>
      </w:r>
    </w:p>
    <w:p>
      <w:pPr>
        <w:spacing w:after="0" w:line="1" w:lineRule="exact"/>
        <w:rPr>
          <w:rFonts w:ascii="Courier New" w:cs="Courier New" w:eastAsia="Courier New" w:hAnsi="Courier New"/>
          <w:sz w:val="14"/>
          <w:szCs w:val="14"/>
          <w:color w:val="auto"/>
        </w:rPr>
      </w:pPr>
    </w:p>
    <w:p>
      <w:pPr>
        <w:ind w:left="9" w:right="3119" w:hanging="9"/>
        <w:spacing w:after="0"/>
        <w:tabs>
          <w:tab w:leader="none" w:pos="45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or the documents incorporated therein by reference, (c) any shares of Common Stock issued or options to purchase Common Stock granted pursuant to existing employee benefit plans of the Company referred to in the Prospectus or the documents incorporated therein by reference, (d) any shares of Common Stock issued pursuant to any non-employee director stock plan or dividend reinvestment plan, or (e) warrants to purchase Common Stock issued by the Company in connection with a business acquisition, but only if such warrants may not be exercised for or converted into shares of Common Stock prior to the date which is 90 days after the date hereof.</w:t>
      </w:r>
    </w:p>
    <w:p>
      <w:pPr>
        <w:spacing w:after="0" w:line="181"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4. Payment of Expenses.</w:t>
      </w:r>
    </w:p>
    <w:p>
      <w:pPr>
        <w:spacing w:after="0" w:line="174" w:lineRule="exact"/>
        <w:rPr>
          <w:sz w:val="20"/>
          <w:szCs w:val="20"/>
          <w:color w:val="auto"/>
        </w:rPr>
      </w:pPr>
    </w:p>
    <w:p>
      <w:pPr>
        <w:ind w:left="9" w:right="3119" w:firstLine="790"/>
        <w:spacing w:after="0" w:line="258" w:lineRule="auto"/>
        <w:tabs>
          <w:tab w:leader="none" w:pos="116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Company will pay or cause to be paid all expenses incident to the performance of their obligations under this Agreement, including</w:t>
      </w:r>
    </w:p>
    <w:p>
      <w:pPr>
        <w:ind w:left="9" w:right="3399" w:hanging="9"/>
        <w:spacing w:after="0" w:line="239" w:lineRule="auto"/>
        <w:tabs>
          <w:tab w:leader="none" w:pos="36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printing and filing of the Registration Statement (including financial statements and exhibits) as originally filed and of each amendment thereto, (ii) the preparation, printing and delivery to the Underwriters of this</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126" w:name="page127"/>
    <w:bookmarkEnd w:id="126"/>
    <w:p>
      <w:pPr>
        <w:ind w:left="269"/>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3(f) hereof, including filing fees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any Term Sheets and of the Prospectus and any amendments or supplements thereto, (vii) the preparation, printing and delivery to the Underwriters of copies of the Blue Sky Survey and any supplement thereto, (viii) the fees and expenses of any transfer agent or registrar for the Securities,</w:t>
      </w:r>
    </w:p>
    <w:p>
      <w:pPr>
        <w:spacing w:after="0" w:line="3" w:lineRule="exact"/>
        <w:rPr>
          <w:sz w:val="20"/>
          <w:szCs w:val="20"/>
          <w:color w:val="auto"/>
        </w:rPr>
      </w:pPr>
    </w:p>
    <w:p>
      <w:pPr>
        <w:ind w:left="9" w:right="3219" w:hanging="9"/>
        <w:spacing w:after="0"/>
        <w:tabs>
          <w:tab w:leader="none" w:pos="45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fees in connection with, the review by the National Association of Securities Dealers, Inc. (the "NASD") of the terms of the sale of the Securities and (x) the fees and expenses incurred in connection with the inclusion of the Securities in the Nasdaq National Market; provided, however, that the Underwriters will reimburse the Company for certain fees and expenses in connection with the sale of the Reserved Securities, subject to mutual agreement between the Company and the Underwriters.</w:t>
      </w:r>
    </w:p>
    <w:p>
      <w:pPr>
        <w:spacing w:after="0" w:line="346" w:lineRule="exact"/>
        <w:rPr>
          <w:rFonts w:ascii="Courier New" w:cs="Courier New" w:eastAsia="Courier New" w:hAnsi="Courier New"/>
          <w:sz w:val="15"/>
          <w:szCs w:val="15"/>
          <w:color w:val="auto"/>
        </w:rPr>
      </w:pPr>
    </w:p>
    <w:p>
      <w:pPr>
        <w:ind w:left="9" w:right="3219" w:firstLine="790"/>
        <w:spacing w:after="0" w:line="260" w:lineRule="auto"/>
        <w:tabs>
          <w:tab w:leader="none" w:pos="1163"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the Selling Stockholders. Notwithstanding the provisions of Section 4(a), the Selling Stockholders will pay all expenses incident to the performance of their respective obligations under, and the consummation of the transactions contemplated by this Agreement, including (i) any stamp duties, capital duties and stock transfer taxes, if any, payable upon the sale of the Securities to the Underwriters, and their transfer between the Underwriters pursuant to an agreement between such Underwriters, and (ii) the fees and disbursements of their respective counsel and accountants.</w:t>
      </w:r>
    </w:p>
    <w:p>
      <w:pPr>
        <w:spacing w:after="0" w:line="161" w:lineRule="exact"/>
        <w:rPr>
          <w:rFonts w:ascii="Courier New" w:cs="Courier New" w:eastAsia="Courier New" w:hAnsi="Courier New"/>
          <w:sz w:val="14"/>
          <w:szCs w:val="14"/>
          <w:color w:val="auto"/>
        </w:rPr>
      </w:pPr>
    </w:p>
    <w:p>
      <w:pPr>
        <w:ind w:left="9" w:right="3219" w:firstLine="790"/>
        <w:spacing w:after="0"/>
        <w:tabs>
          <w:tab w:leader="none" w:pos="1163"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If this Agreement is terminated by the Representatives in accordance with the provisions of Section 5, Section 9(a)(i) or Section 11 hereof, the Company and the Selling Stockholders shall reimburse the Underwriters for all of their out-of-pocket expenses, including the reasonable fees and disbursements of counsel for the Underwriters.</w:t>
      </w:r>
    </w:p>
    <w:p>
      <w:pPr>
        <w:spacing w:after="0" w:line="174" w:lineRule="exact"/>
        <w:rPr>
          <w:rFonts w:ascii="Courier New" w:cs="Courier New" w:eastAsia="Courier New" w:hAnsi="Courier New"/>
          <w:sz w:val="15"/>
          <w:szCs w:val="15"/>
          <w:color w:val="auto"/>
        </w:rPr>
      </w:pPr>
    </w:p>
    <w:p>
      <w:pPr>
        <w:ind w:left="9" w:right="3219" w:firstLine="790"/>
        <w:spacing w:after="0" w:line="239" w:lineRule="auto"/>
        <w:tabs>
          <w:tab w:leader="none" w:pos="1163"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Expenses. The provisions of this Section shall not affect any agreement that the Company and the Selling Stockholders may make for the sharing of such costs and expenses.</w:t>
      </w:r>
    </w:p>
    <w:p>
      <w:pPr>
        <w:spacing w:after="0" w:line="175"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5. Conditions of Underwriters' Obligations. The obligations of the several Underwriters hereunder are subject to the accuracy of the representations and warranties of the Company and the Selling Stockholders contained in Section 1 hereof or in certificates of any officer of the Company or any Subsidiary of the Company or on behalf of any Selling Stockholder delivered pursuant to the provisions hereof, to the performance by the Company of its covenants and other obligations hereunder, and to the following further conditions:</w:t>
      </w:r>
    </w:p>
    <w:p>
      <w:pPr>
        <w:spacing w:after="0" w:line="177" w:lineRule="exact"/>
        <w:rPr>
          <w:sz w:val="20"/>
          <w:szCs w:val="20"/>
          <w:color w:val="auto"/>
        </w:rPr>
      </w:pPr>
    </w:p>
    <w:p>
      <w:pPr>
        <w:ind w:left="9" w:right="3919" w:firstLine="790"/>
        <w:spacing w:after="0" w:line="239" w:lineRule="auto"/>
        <w:tabs>
          <w:tab w:leader="none" w:pos="116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Registration Statement. The Registration Statement, including any Rule 462(b) Registration Statement, has become effective and at Closing Time no stop order</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 or, if the Company has elected to rely upon Rule 434, a Term Sheet shall have been filed with the Commission in accordance with Rule 424(b).</w:t>
      </w:r>
    </w:p>
    <w:p>
      <w:pPr>
        <w:spacing w:after="0" w:line="175" w:lineRule="exact"/>
        <w:rPr>
          <w:sz w:val="20"/>
          <w:szCs w:val="20"/>
          <w:color w:val="auto"/>
        </w:rPr>
      </w:pPr>
    </w:p>
    <w:p>
      <w:pPr>
        <w:ind w:left="1140" w:hanging="350"/>
        <w:spacing w:after="0"/>
        <w:tabs>
          <w:tab w:leader="none" w:pos="11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Company. At Closing Time, the</w:t>
      </w:r>
    </w:p>
    <w:p>
      <w:pPr>
        <w:spacing w:after="0" w:line="3" w:lineRule="exact"/>
        <w:rPr>
          <w:rFonts w:ascii="Courier New" w:cs="Courier New" w:eastAsia="Courier New" w:hAnsi="Courier New"/>
          <w:sz w:val="15"/>
          <w:szCs w:val="15"/>
          <w:color w:val="auto"/>
        </w:rPr>
      </w:pPr>
    </w:p>
    <w:p>
      <w:pPr>
        <w:ind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Representatives shall have received the favorable opinion, dated as of Closing Time, of Porter, Wright, Morris &amp; Arthur LLP, counsel for the Company, in form and substance satisfactory to counsel for the Underwriters, together with signed or reproduced copies of such letter for each of the other Underwriters, to the effect set forth in Exhibit A hereto and to such further effect as counsel to the Underwriters may reasonably request. In giving such opinion, such counsel may rely, as to all matters governed by the laws of jurisdictions other than the law of the State of Ohio, the federal law of the United States and the General Corporation Law of the State of Delaware, upon the opinions of counsel satisfactory to the Representatives. Such counsel may also state that, insofar as such opinion involves factual matters, they have relied, to the extent they deem proper, upon certificates of officers of the Company and its Subsidiaries, certificates of the Selling Stockholders and certificates of public officials. The foregoing opinion may be qualified by statements to the effect that (i) such counsel does not assume any responsibility for the accuracy, completeness, or fairness of the statements contained in the Registration Statement, including any Rule 462(b) Registration Statement, or the Prospectus or amended Prospectus, and (b) that such counsel express no belief as to the financial statements and other financial and statistical information included therein.</w:t>
      </w:r>
    </w:p>
    <w:p>
      <w:pPr>
        <w:spacing w:after="0" w:line="173"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the Selling Stockholders. At Closing Time, the Representatives shall have received the favorable opinion, dated as of Closing Time, of Porter, Wright, Morris &amp; Arthur LLP, counsel for the Selling Stockholders, in form and substance satisfactory to counsel for the Underwriters, together with signed or reproduced copies of such letter for each of the other Underwriters to the effect set forth in Exhibit B hereto and to such further effect as counsel to the Underwriters may reasonably request. In giving such opinion, such counsel may rely, as to all matters governed by the laws of jurisdictions other than the law of the State of Ohio, the federal law of the United States and the General Corporation Law of the State of Delaware, upon the opinions of counsel satisfactory to the Representatives. Such counsel may also state that, insofar as such opinion involves factual matters, they have relied, to the extent they deem proper, upon certificates of officers of the Company and its Subsidiaries, certificates of the Selling Stockholders and certificates of public officials. The foregoing opinion may be qualified by statements to the effect that (i) such counsel does not assume any responsibility for the accuracy, completeness, or fairness of the statements contained in the Registration Statement, including any Rule 462(b) Registration Statement, or the Prospectus or amended Prospectus, and (b) that such counsel expresses no opinion as to the financial statements and other financial and statistical information included therein.</w:t>
      </w:r>
    </w:p>
    <w:p>
      <w:pPr>
        <w:spacing w:after="0" w:line="200" w:lineRule="exact"/>
        <w:rPr>
          <w:sz w:val="20"/>
          <w:szCs w:val="20"/>
          <w:color w:val="auto"/>
        </w:rPr>
      </w:pPr>
    </w:p>
    <w:p>
      <w:pPr>
        <w:spacing w:after="0" w:line="3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28" w:name="page129"/>
    <w:bookmarkEnd w:id="128"/>
    <w:p>
      <w:pPr>
        <w:ind w:left="269"/>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left="9" w:right="3119" w:firstLine="790"/>
        <w:spacing w:after="0"/>
        <w:tabs>
          <w:tab w:leader="none" w:pos="1163"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Underwriters. At Closing Time, the Representatives shall have received the favorable opinion, dated as of Closing Time, of Ropes &amp; Gray, counsel for the Underwriters, together with signed or reproduced copies of such letter for each of the other Underwriters with respect to the matters set forth in clauses (i), (ii), (iv), (v), (viii), (xv) (solely as to the information in the Prospectus under "Description of Capital Stock--Common Stock") and the penultimate paragraph of Exhibit A hereto. In giving such opinion, such counsel may rely, as to all matters governed by the laws of jurisdictions other than the law of The Commonwealth of Massachusetts, the federal law of the United States and the General Corporation Law of the State of Delaware, upon the opinions of counsel satisfactory to the Representatives. Such counsel may also state that, insofar as such opinion involves factual matters, they have relied, to the extent they deem proper, upon certificates of officers of the Company and its Subsidiaries and certificates of public officials.</w:t>
      </w:r>
    </w:p>
    <w:p>
      <w:pPr>
        <w:spacing w:after="0" w:line="181" w:lineRule="exact"/>
        <w:rPr>
          <w:rFonts w:ascii="Courier New" w:cs="Courier New" w:eastAsia="Courier New" w:hAnsi="Courier New"/>
          <w:sz w:val="15"/>
          <w:szCs w:val="15"/>
          <w:color w:val="auto"/>
        </w:rPr>
      </w:pPr>
    </w:p>
    <w:p>
      <w:pPr>
        <w:ind w:left="9" w:right="3119" w:firstLine="790"/>
        <w:spacing w:after="0" w:line="259" w:lineRule="auto"/>
        <w:tabs>
          <w:tab w:leader="none" w:pos="116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At Closing Time, there shall not have been, since the date hereof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President or a Vice President of the Company and of the chief financial or chief accounting officer of the Company, dated as of Closing Time, to the effect that (1) there has been no such material adverse change, (ii) the representations and warranties in Section 1(a) hereof are true and correct with the same force and effect as though expressly made at and as of Closing Time, (iii) 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162" w:lineRule="exact"/>
        <w:rPr>
          <w:rFonts w:ascii="Courier New" w:cs="Courier New" w:eastAsia="Courier New" w:hAnsi="Courier New"/>
          <w:sz w:val="14"/>
          <w:szCs w:val="14"/>
          <w:color w:val="auto"/>
        </w:rPr>
      </w:pPr>
    </w:p>
    <w:p>
      <w:pPr>
        <w:ind w:left="9" w:right="3119" w:firstLine="790"/>
        <w:spacing w:after="0" w:line="258" w:lineRule="auto"/>
        <w:tabs>
          <w:tab w:leader="none" w:pos="116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Selling Stockholders. At Closing Time, the Representatives shall have received a certificate of an Attorney-in-Fact on behalf of each Selling Stockholder, dated as of Closing Time, to the effect that</w:t>
      </w:r>
    </w:p>
    <w:p>
      <w:pPr>
        <w:ind w:left="9" w:right="3119" w:hanging="9"/>
        <w:spacing w:after="0"/>
        <w:tabs>
          <w:tab w:leader="none" w:pos="36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each Selling Stockholder contained in Section 1(b) hereof are true and correct in all respects with the same force and effect as though expressly made at and as of Closing Time and (ii) each Selling Stockholder has complied in all material respects with all agreements and all conditions on its part to be performed under this Agreement at or prior to Closing Time.</w:t>
      </w:r>
    </w:p>
    <w:p>
      <w:pPr>
        <w:spacing w:after="0" w:line="175"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Comfort Letter. At the time of the execution of this Agreement, the Representatives shall have received from Deloitte &amp; Touche,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76" w:lineRule="exact"/>
        <w:rPr>
          <w:rFonts w:ascii="Courier New" w:cs="Courier New" w:eastAsia="Courier New" w:hAnsi="Courier New"/>
          <w:sz w:val="15"/>
          <w:szCs w:val="15"/>
          <w:color w:val="auto"/>
        </w:rPr>
      </w:pPr>
    </w:p>
    <w:p>
      <w:pPr>
        <w:ind w:left="9" w:right="3399" w:firstLine="790"/>
        <w:spacing w:after="0" w:line="239" w:lineRule="auto"/>
        <w:tabs>
          <w:tab w:leader="none" w:pos="1163"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Comfort Letter. At Closing Time, the Representatives shall have received from Deloitte &amp; Touche, LLP a letter, dated as of Closing Time, to the effect that they</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reaffirm the statements made in the letter furnished pursuant to subsection of this Section, except that the specified date referred to shall be a date not more than three business days prior to Closing Time.</w:t>
      </w:r>
    </w:p>
    <w:p>
      <w:pPr>
        <w:spacing w:after="0" w:line="175" w:lineRule="exact"/>
        <w:rPr>
          <w:sz w:val="20"/>
          <w:szCs w:val="20"/>
          <w:color w:val="auto"/>
        </w:rPr>
      </w:pPr>
    </w:p>
    <w:p>
      <w:pPr>
        <w:ind w:right="3479" w:firstLine="790"/>
        <w:spacing w:after="0" w:line="239" w:lineRule="auto"/>
        <w:tabs>
          <w:tab w:leader="none" w:pos="115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Listing. At Closing Time, the Securities shall have been approved for inclusion in the Nasdaq National Market, subject only to official notice of issuance.</w:t>
      </w:r>
    </w:p>
    <w:p>
      <w:pPr>
        <w:spacing w:after="0" w:line="175"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Objection. The NASD has confirmed that it has not raised any objection with respect to the fairness and reasonableness of the underwriting terms and arrangements.</w:t>
      </w:r>
    </w:p>
    <w:p>
      <w:pPr>
        <w:spacing w:after="0" w:line="175"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Lock-up Agreements. At the date of this Agreement, the Representatives shall have received an agreement substantially in the form of Exhibit C hereto signed by the persons listed on Schedule H hereto.</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Purchase of Option Securities. In the event that the Underwriters exercise their option provided in Section 2(b) hereof to purchase all or any portion of the Option Securities, the representations and warranties of the Company contained herein and the statements in any certificates furnished by the Company and any Subsidiary of the Company hereunder shall be true and correct as of each Date of Delivery and, at the relevant Date of Delivery, the Representatives shall have received:</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Certificate. A certificate, dated such Date of Delivery, of the President or a Vice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Company. The favorable opinion of Porter, Wright, Morris &amp; Arthur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Underwriters. The favorable opinion of Ropes &amp; Gray, counsel for the Underwriters, dated such Date of Delivery, relating to the Option Securities to be purchased on such Date of Delivery and otherwise to the same effect as the opinion required by Section 5(d) hereof.</w:t>
      </w:r>
    </w:p>
    <w:p>
      <w:pPr>
        <w:spacing w:after="0" w:line="174" w:lineRule="exact"/>
        <w:rPr>
          <w:rFonts w:ascii="Courier New" w:cs="Courier New" w:eastAsia="Courier New" w:hAnsi="Courier New"/>
          <w:sz w:val="15"/>
          <w:szCs w:val="15"/>
          <w:color w:val="auto"/>
        </w:rPr>
      </w:pPr>
    </w:p>
    <w:p>
      <w:pPr>
        <w:ind w:left="780" w:right="3119" w:firstLine="808"/>
        <w:spacing w:after="0"/>
        <w:tabs>
          <w:tab w:leader="none" w:pos="2022"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Bring-down Comfort Letter. A letter from Deloitte &amp; Touche, LLP, in form and substance satisfactory to the Representatives and dated such Date of Delivery, substantially in the same form and substance as the letter furnished to the Representatives pursuant to Section 5(g) hereof, except that the "specified date" in the letter furnished pursuant to this paragraph shall be a date not more than five days prior to such Date of Delivery.</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left="-260" w:right="3119" w:firstLine="790"/>
        <w:spacing w:after="0" w:line="259" w:lineRule="auto"/>
        <w:tabs>
          <w:tab w:leader="none" w:pos="89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At Closing Time and at each Date of Delivery counsel for the Underwriters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Stockholders in connection with the issuance and sale of the Securities as herein contemplated shall be satisfactory in form and substance to the Representatives and counsel for the Underwriters.</w:t>
      </w:r>
    </w:p>
    <w:p>
      <w:pPr>
        <w:spacing w:after="0" w:line="166" w:lineRule="exact"/>
        <w:rPr>
          <w:rFonts w:ascii="Courier New" w:cs="Courier New" w:eastAsia="Courier New" w:hAnsi="Courier New"/>
          <w:sz w:val="14"/>
          <w:szCs w:val="14"/>
          <w:color w:val="auto"/>
        </w:rPr>
      </w:pPr>
    </w:p>
    <w:p>
      <w:pPr>
        <w:ind w:left="-260" w:right="3119" w:firstLine="790"/>
        <w:spacing w:after="0"/>
        <w:tabs>
          <w:tab w:leader="none" w:pos="89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6. Indemnification.</w:t>
      </w:r>
    </w:p>
    <w:p>
      <w:pPr>
        <w:spacing w:after="0" w:line="174" w:lineRule="exact"/>
        <w:rPr>
          <w:sz w:val="20"/>
          <w:szCs w:val="20"/>
          <w:color w:val="auto"/>
        </w:rPr>
      </w:pPr>
    </w:p>
    <w:p>
      <w:pPr>
        <w:ind w:left="-260" w:right="3219" w:firstLine="790"/>
        <w:spacing w:after="0" w:line="262" w:lineRule="auto"/>
        <w:tabs>
          <w:tab w:leader="none" w:pos="89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Underwriters. The Company and the Selling Stockholders, jointly and severally, agree to indemnify and hold harmless each Underwriter and each person, if any, who controls any Underwriter within the meaning of Section 15 of the 1933 Act or Section 20 of the 1934 Act as follows:</w:t>
      </w:r>
    </w:p>
    <w:p>
      <w:pPr>
        <w:spacing w:after="0" w:line="160" w:lineRule="exact"/>
        <w:rPr>
          <w:rFonts w:ascii="Courier New" w:cs="Courier New" w:eastAsia="Courier New" w:hAnsi="Courier New"/>
          <w:sz w:val="14"/>
          <w:szCs w:val="14"/>
          <w:color w:val="auto"/>
        </w:rPr>
      </w:pPr>
    </w:p>
    <w:p>
      <w:pPr>
        <w:ind w:left="1320" w:right="3119" w:firstLine="807"/>
        <w:spacing w:after="0"/>
        <w:tabs>
          <w:tab w:leader="none" w:pos="2474"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and the Rule 434 Information, if applicable,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1" w:lineRule="exact"/>
        <w:rPr>
          <w:rFonts w:ascii="Courier New" w:cs="Courier New" w:eastAsia="Courier New" w:hAnsi="Courier New"/>
          <w:sz w:val="15"/>
          <w:szCs w:val="15"/>
          <w:color w:val="auto"/>
        </w:rPr>
      </w:pPr>
    </w:p>
    <w:p>
      <w:pPr>
        <w:ind w:left="1320" w:right="3219" w:firstLine="807"/>
        <w:spacing w:after="0"/>
        <w:tabs>
          <w:tab w:leader="none" w:pos="256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6(f) below) any such settlement is effected with the written consent of the Company; and</w:t>
      </w: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880" w:right="3119" w:firstLine="442"/>
        <w:spacing w:after="0"/>
        <w:tabs>
          <w:tab w:leader="none" w:pos="185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including the Rule 430A Information and the Rule 434 Information, if applicable, or any preliminary prospectus or the Prospectus (or any amendment or supplement thereto) and provided, further, that (i) the liability of each Selling Stockholder shall be limited to any loss, liability, claim, damage or expense which arises out of, or is based upon, any untrue statement or alleged untrue statement or omission or alleged omission made in any preliminary prospectus or the Prospectus (or any amendment or supplement thereto) or in any Registration Statement (or any amendment thereto) including the Rule 430A Information and the Rule 434 Information in reliance upon and in conformity with written information concerning such Selling Stockholder furnished to the Company by or on behalf of the Selling Stockholder specifically for inclusion therein, and (ii) the liability of each Selling Stockholder pursuant to this Section 6(a) shall not exceed the product of the number of Securities sold by such Selling Stockholder and the public offering price per share (net of the underwriting discount) of the Securities as set forth in the Prospectus.</w:t>
      </w:r>
    </w:p>
    <w:p>
      <w:pPr>
        <w:spacing w:after="0" w:line="186" w:lineRule="exact"/>
        <w:rPr>
          <w:sz w:val="20"/>
          <w:szCs w:val="20"/>
          <w:color w:val="auto"/>
        </w:rPr>
      </w:pPr>
    </w:p>
    <w:p>
      <w:pPr>
        <w:ind w:right="3119" w:firstLine="790"/>
        <w:spacing w:after="0"/>
        <w:tabs>
          <w:tab w:leader="none" w:pos="1154"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Company, Directors and Officers and Selling Stockholders.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and each Selling Stockholder and each person, if any, who controls any Selling Stockholder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the Rule 430A Information and the Rule 434 Information, if applicable, or any preliminary prospectus or the Prospectus (or any amendment or supplement thereto) in reliance upon and in conformity with written information furnished to the Company by such Underwriter through the Representatives expressly for use in the Registration Statement (or any amendment thereto) or such preliminary prospectus or the Prospectus (or any amendment or supplement thereto).</w:t>
      </w:r>
    </w:p>
    <w:p>
      <w:pPr>
        <w:spacing w:after="0" w:line="18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Indemnification of Selling Stockholders. The Company agrees to indemnify and hold harmless each Selling Stockholder and each person, if any, who controls any Selling</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Stockholder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Rule 430A Information and the Rule 434 Information, if applicable, or any preliminary prospectus or the Prospectus (or any amendment or supplement thereto) in reliance upon and in conformity with written information furnished by the Company expressly for use in the Registration Statement (or any amendment thereto) or such preliminary prospectus or Prospectus (or any amendment or supplement thereto); provided, however, that in no event shall any Selling Stockholder be indemnified or held harmless pursuant to this Section 6(c) for any matter with respect to which such Selling Stockholder has indemnification obligations pursuant to Section 6(a).</w:t>
      </w:r>
    </w:p>
    <w:p>
      <w:pPr>
        <w:spacing w:after="0" w:line="178" w:lineRule="exact"/>
        <w:rPr>
          <w:sz w:val="20"/>
          <w:szCs w:val="20"/>
          <w:color w:val="auto"/>
        </w:rPr>
      </w:pPr>
    </w:p>
    <w:p>
      <w:pPr>
        <w:ind w:left="780" w:hanging="345"/>
        <w:spacing w:after="0"/>
        <w:tabs>
          <w:tab w:leader="none" w:pos="7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Stockholders Indemnification of Company. Each Selling</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Rule 430A Information and the Rule 434 Information, if applicable, or any preliminary prospectus or the Prospectus (or any amendment or supplement thereto) in reliance upon and in conformity with written information furnished by such Selling Stockholder to the Company expressly for use in the Registration Statement (or any amendment thereto) or such preliminary prospectus or Prospectus (or any amendment or supplement thereto); provided, however, that the liability of each Selling Stockholder pursuant to this Section 6(d) shall not exceed the product of the number of Securities sold by such Selling Stockholder and the public offering price per share (net of the underwriting discount) of the Securities as set forth in the Prospectus. The provisions of this Section 6(d) are in addition to the Selling Stockholders indemnification obligations contained in Section 6(a) and shall in no way limit, supersede, offset or otherwise affect such obligations.</w:t>
      </w:r>
    </w:p>
    <w:p>
      <w:pPr>
        <w:spacing w:after="0" w:line="18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Merrill Lynch, and, in the case of parties indemnified pursuant to Section 6(b), 6(c) or 6(d)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1" w:lineRule="exact"/>
        <w:rPr>
          <w:sz w:val="20"/>
          <w:szCs w:val="20"/>
          <w:color w:val="auto"/>
        </w:rPr>
      </w:pPr>
    </w:p>
    <w:p>
      <w:pPr>
        <w:ind w:right="3119" w:firstLine="435"/>
        <w:spacing w:after="0" w:line="259" w:lineRule="auto"/>
        <w:tabs>
          <w:tab w:leader="none" w:pos="79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Notwithstanding the immediately preceding sentence, if at any time an indemnified party shall have requested an indemnifying party to reimburse the indemnified party for fees and expenses of counsel, an indemnifying party shall not be liable for any settlement of the nature contemplated by Section 7(a)(ii) effected without its consent if such indemnifying party (i) reimburses such indemnified party in accordance with such request to the extent it considers such request to be reasonable and (ii) provides written notice to the indemnified party substantiating the unpaid balance as unreasonable, in each case prior to the date of such settlement.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right="3119" w:firstLine="790"/>
        <w:spacing w:after="0"/>
        <w:tabs>
          <w:tab w:leader="none" w:pos="11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Reserved Securities. In connection with the offer and sale of the Reserved Securities, the Company agrees, promptly upon a request in writing, to indemnify and hold harmless the underwriters from and against any and all losses, liabilities, claims, damages and expenses incurred by them as a result of the failure of persons having business relationships with the Company to pay for and accept delivery of reserved securities which, by the end of the first business day following the date of this agreement, were subject to a properly confirmed agreement to purchase.</w:t>
      </w:r>
    </w:p>
    <w:p>
      <w:pPr>
        <w:spacing w:after="0" w:line="176"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with Respect to Indemnification. The provisions of this Section shall not affect any agreement among the Company and the Selling Stockholders with respect to indemnification.</w:t>
      </w:r>
    </w:p>
    <w:p>
      <w:pPr>
        <w:spacing w:after="0" w:line="34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134" w:name="page135"/>
    <w:bookmarkEnd w:id="134"/>
    <w:p>
      <w:pPr>
        <w:ind w:left="269"/>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by such indemnified party, as incurred, (i) in such proportion as is appropriate to reflect the relative benefits received by the Company and the Selling Stockholders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w:t>
      </w:r>
    </w:p>
    <w:p>
      <w:pPr>
        <w:spacing w:after="0" w:line="1" w:lineRule="exact"/>
        <w:rPr>
          <w:sz w:val="20"/>
          <w:szCs w:val="20"/>
          <w:color w:val="auto"/>
        </w:rPr>
      </w:pPr>
    </w:p>
    <w:p>
      <w:pPr>
        <w:ind w:left="9" w:right="3659" w:hanging="9"/>
        <w:spacing w:after="0"/>
        <w:tabs>
          <w:tab w:leader="none" w:pos="36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but also the relative fault of the Company and the Selling Stockholders on the one hand and of the Underwriters on the other hand in connection with the statements or omissions which resulted in such losses, liabilities, claims, damages or expenses, as well as any other relevant equitable considerations.</w:t>
      </w:r>
    </w:p>
    <w:p>
      <w:pPr>
        <w:spacing w:after="0" w:line="174"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The relative benefits received by the Company and the Selling Stockholders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Selling Stockholders and the total underwriting discount received by the Underwriters, in each case as set forth on the cover of the Prospectus, or, if Rule 434 is used, the corresponding location on the Term Sheet bear to the aggregate initial public offering price of the Securities as set forth on such cover.</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relative fault of the Company and the Selling Stockholders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Stockholders or by the Underwriters and the parties' relative intent, knowledge, access to information and opportunity to correct or prevent such statement or omission.</w:t>
      </w:r>
    </w:p>
    <w:p>
      <w:pPr>
        <w:spacing w:after="0" w:line="176"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Company, the Selling Stockholders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w:t>
      </w:r>
    </w:p>
    <w:p>
      <w:pPr>
        <w:spacing w:after="0" w:line="1" w:lineRule="exact"/>
        <w:rPr>
          <w:sz w:val="20"/>
          <w:szCs w:val="20"/>
          <w:color w:val="auto"/>
        </w:rPr>
      </w:pPr>
    </w:p>
    <w:p>
      <w:pPr>
        <w:ind w:left="9" w:right="3299" w:hanging="9"/>
        <w:spacing w:after="0"/>
        <w:tabs>
          <w:tab w:leader="none" w:pos="27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287" w:right="1440" w:bottom="1440" w:gutter="0" w:footer="0" w:header="0"/>
        </w:sectPr>
      </w:pPr>
    </w:p>
    <w:bookmarkStart w:id="135" w:name="page136"/>
    <w:bookmarkEnd w:id="135"/>
    <w:p>
      <w:pPr>
        <w:ind w:left="269"/>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No person guilty of fraudulent misrepresentation (within the meaning of Section 11(f) of the 1933 Act) shall be entitled to contribution from any person who was not guilty of such fraudulent misrepresentation.</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this Section 7,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or any Selling Stockholder within the meaning of Section 15 of the 1933 Act or Section 20 of the 1934 Act shall have the same rights to contribution as the Company or such Selling Stockholder, as the case may be. The Underwriters' respective obligations to contribute pursuant to this Section 7 are several in proportion to the number of Initial Securities set forth opposite their respective names in Schedule A hereto and not joint.</w:t>
      </w:r>
    </w:p>
    <w:p>
      <w:pPr>
        <w:spacing w:after="0" w:line="179"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The provisions of this Section shall not affect any agreement among the Company and the Selling Stockholders with respect to contribution.</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8. Representations, Warranties and Agreements to Survive Delivery. All representations, warranties and agreements contained in this Agreement or in certificates of officers of the Company or any of its Subsidiaries or the Selling Stockholders submitted pursuant hereto, shall remain operative and in full force and effect, regardless of any investigation made by or on behalf of any Underwriter or controlling person, or by or on behalf of the Company or the Selling Stockholders, and shall survive delivery of the Securities to the Underwriters.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9. Termination of Agreement.</w:t>
      </w:r>
    </w:p>
    <w:p>
      <w:pPr>
        <w:spacing w:after="0" w:line="174" w:lineRule="exact"/>
        <w:rPr>
          <w:sz w:val="20"/>
          <w:szCs w:val="20"/>
          <w:color w:val="auto"/>
        </w:rPr>
      </w:pPr>
    </w:p>
    <w:p>
      <w:pPr>
        <w:ind w:left="9" w:right="3119" w:firstLine="435"/>
        <w:spacing w:after="0" w:line="258" w:lineRule="auto"/>
        <w:tabs>
          <w:tab w:leader="none" w:pos="808"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General. The Representatives may terminate this Agreement, by notice to the Company,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or</w:t>
      </w:r>
    </w:p>
    <w:p>
      <w:pPr>
        <w:spacing w:after="0" w:line="1" w:lineRule="exact"/>
        <w:rPr>
          <w:rFonts w:ascii="Courier New" w:cs="Courier New" w:eastAsia="Courier New" w:hAnsi="Courier New"/>
          <w:sz w:val="14"/>
          <w:szCs w:val="14"/>
          <w:color w:val="auto"/>
        </w:rPr>
      </w:pPr>
    </w:p>
    <w:p>
      <w:pPr>
        <w:ind w:left="9" w:right="3119" w:hanging="9"/>
        <w:spacing w:after="0" w:line="259" w:lineRule="auto"/>
        <w:tabs>
          <w:tab w:leader="none" w:pos="45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has occurred any material adverse change in the financial markets in the United States,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to market the Securities or to enforce contracts for the sale of the Securities, or (iii) if trading in any securities of the Company has been suspended or materially limited by the Commission or the Nasdaq National Market,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if a banking moratorium has been declared by Federal or state authorities.</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287"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right="3119" w:firstLine="435"/>
        <w:spacing w:after="0" w:line="239" w:lineRule="auto"/>
        <w:tabs>
          <w:tab w:leader="none" w:pos="7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 Default by One or More of the Underwriters. If one or more of the Underwriters shall fail at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77" w:lineRule="exact"/>
        <w:rPr>
          <w:sz w:val="20"/>
          <w:szCs w:val="20"/>
          <w:color w:val="auto"/>
        </w:rPr>
      </w:pPr>
    </w:p>
    <w:p>
      <w:pPr>
        <w:ind w:left="440" w:right="3119" w:hanging="5"/>
        <w:spacing w:after="0"/>
        <w:tabs>
          <w:tab w:leader="none" w:pos="79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5" w:lineRule="exact"/>
        <w:rPr>
          <w:rFonts w:ascii="Courier New" w:cs="Courier New" w:eastAsia="Courier New" w:hAnsi="Courier New"/>
          <w:sz w:val="15"/>
          <w:szCs w:val="15"/>
          <w:color w:val="auto"/>
        </w:rPr>
      </w:pPr>
    </w:p>
    <w:p>
      <w:pPr>
        <w:ind w:left="440" w:right="3119" w:hanging="5"/>
        <w:spacing w:after="0" w:line="260" w:lineRule="auto"/>
        <w:tabs>
          <w:tab w:leader="none" w:pos="88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number of Defaulted Securities exceeds 10% of the number of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16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No action taken pursuant to this Section shall relieve any defaulting Underwriter from liability in respect of its default.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(i) the Representatives or (ii) the Company and any Selling Stockholder shall have the right to postpone Closing Time or the relevant Date of Delivery, as the case may be, for a period not exceeding seven days in order to effect any required changes in the Registration Statement or Prospectus or in any other documents or arrangements. As used herein, the term "Underwriter" includes any person substituted for an Underwriter under this Section 10.</w:t>
      </w:r>
    </w:p>
    <w:p>
      <w:pPr>
        <w:spacing w:after="0" w:line="17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11. Default by one or more of the Selling Stockholders or the Company. (a) If a Selling Stockholder shall fail at Closing Time to sell and deliver the number of Securities which such Selling Stockholder or Selling Stockholders are obligated to sell hereunder, and the remaining Selling Stockholders do not exercise the right hereby granted to increase, pro rata or otherwise, the number of Securities to be sold by them hereunder to the total number to be sold by all Selling</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Stockholders as set forth in Schedule B hereto, then the Underwriters may, at the option of the Representatives, by notice from the Representatives to the Company, either (i) terminate this Agreement without any liability on the fault of any non-defaulting party except that the provisions of Sections 1, 4, 6, 7 and 8 shall remain in full force and effect or (ii) elect to purchase the Securities which the non-defaulting Selling Stockholders and the Company have agreed to sell hereunder; provided, however, that clause (i) shall apply only if the aggregate number of Securities which Selling Stockholders fail to sell and deliver at Closing Time exceeds 100,000. No action taken pursuant to this Section 11 shall relieve any Selling Stockholder so defaulting from liability, if any, in respect of such default.</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event of a default by any Selling Stockholder as referred to in this Section 11, the Representatives and the Company shall have the right to postpone Closing Time or Date of Delivery for a period not exceeding seven days in order to effect any required change in the Registration Statement or Prospectus or in any other documents or arrangements.</w:t>
      </w:r>
    </w:p>
    <w:p>
      <w:pPr>
        <w:spacing w:after="0" w:line="174" w:lineRule="exact"/>
        <w:rPr>
          <w:sz w:val="20"/>
          <w:szCs w:val="20"/>
          <w:color w:val="auto"/>
        </w:rPr>
      </w:pPr>
    </w:p>
    <w:p>
      <w:pPr>
        <w:ind w:right="3119" w:firstLine="435"/>
        <w:spacing w:after="0" w:line="260" w:lineRule="auto"/>
        <w:tabs>
          <w:tab w:leader="none" w:pos="79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fail at Closing Time or at the Date of Delivery to sell the number of Securities that it is obligated to sell hereunder, then this Agreement shall terminate without any liability on the part of any nondefaulting party; provided, however, that the provisions of Sections 1, 4, 6, 7 and 8 shall remain in full force and effect. No action taken pursuant to this Section shall relieve the Company from liability, if any, in respect of such default.</w:t>
      </w:r>
    </w:p>
    <w:p>
      <w:pPr>
        <w:spacing w:after="0" w:line="33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12. Notices. All notices and other communications hereunder shall be in writing and shall be deemed to have been duly given if mailed or transmitted by any standard form of telecommunication. Notices to the Underwriters shall be directed to the Representatives at Merrill Lynch &amp; Co., 5500 Sears Tower, Chicago, Illinois 60606, attention of Mr. Steve Moss, with a copy to Merrill Lynch &amp; Co., North Tower, World Financial Center, New York, New York 10281-1201, attention of IBK counsel; notices to the Company or the Selling Stockholders shall be directed to it or them at CheckFree Holdings Corporation, 4411 East Jones Bridge Road, NORCROSS, Georgia 30092, attention of Allen L. Shulman, Esq., with a copy to Porter, Wright, Morris &amp; Arthur LLP, 41 South High Street, Columbus, Ohio 43215, attention of Robert J. Tannous, Esq.</w:t>
      </w:r>
    </w:p>
    <w:p>
      <w:pPr>
        <w:spacing w:after="0" w:line="33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13. Parties. This Agreement shall each inure to the benefit of and be binding upon the Underwriters, the Company and the Selling Stockholders and their respective successors. Nothing expressed or mentioned in this Agreement is intended or shall be construed to give any person, firm or corporation, other than the Underwriters, the Company and the Selling Stockholders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Stockholders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SECTION 14. GOVERNING LAW AND TIME. THIS AGREEMENT SHALL BE GOVERNED BY AND CONSTRUED IN ACCORDANCE WITH THE LAWS OF THE STATE OF NEW YORK. SPECIFIED TIMES OF DAY REFER TO NEW YORK CITY TIME.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15. Effect of Headings. The Article and Section headings herein and the Table of Contents are for convenience only and shall not affect the construction hereof.</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If the foregoing is in accordance with your understanding of our agreement, please sign and return to the Company and the Attorney-in-Fact for the Selling Stockholders a counterpart hereof, whereupon this instrument, along with all counterparts, will become a binding agreement among the Underwriters, the Company and the Selling Stockholders in accordance with its terms.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[List of Selling Stockholders]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As Attorney-in-Fact acting on behalf of</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the Selling Stockholders named in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Schedule B hereto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CONFIRMED AND ACCEPTED,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date first above written: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MERRILL LYNCH, PIERCE, FENNER &amp; SMITH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Authorized Signatory</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For itself and as Representatives of the other Underwriters named in Schedule A hereto.</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36</w:t>
      </w: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SCHEDULE A</w:t>
      </w:r>
    </w:p>
    <w:p>
      <w:pPr>
        <w:sectPr>
          <w:pgSz w:w="11900" w:h="16838" w:orient="portrait"/>
          <w:cols w:equalWidth="0" w:num="1">
            <w:col w:w="10280"/>
          </w:cols>
          <w:pgMar w:left="240" w:top="28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 of 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80" w:lineRule="exact"/>
        <w:rPr>
          <w:sz w:val="20"/>
          <w:szCs w:val="20"/>
          <w:color w:val="auto"/>
        </w:rPr>
      </w:pPr>
    </w:p>
    <w:p>
      <w:pPr>
        <w:sectPr>
          <w:pgSz w:w="11900" w:h="16838" w:orient="portrait"/>
          <w:cols w:equalWidth="0" w:num="2">
            <w:col w:w="8240" w:space="720"/>
            <w:col w:w="1320"/>
          </w:cols>
          <w:pgMar w:left="240" w:top="287" w:right="13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Hambrecht &amp; Quist LLC......................................................................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Bancorp Piper Jaffray Inc...............................................................</w:t>
      </w:r>
    </w:p>
    <w:p>
      <w:pPr>
        <w:sectPr>
          <w:pgSz w:w="11900" w:h="16838" w:orient="portrait"/>
          <w:cols w:equalWidth="0" w:num="1">
            <w:col w:w="10280"/>
          </w:cols>
          <w:pgMar w:left="240" w:top="287" w:right="137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580" w:space="720"/>
            <w:col w:w="980"/>
          </w:cols>
          <w:pgMar w:left="240" w:top="287" w:right="1379"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SCHEDULE B</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5"/>
          <w:szCs w:val="15"/>
          <w:color w:val="auto"/>
        </w:rPr>
        <w:t>Number of Initial</w:t>
      </w:r>
    </w:p>
    <w:p>
      <w:pPr>
        <w:spacing w:after="0" w:line="3"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4"/>
          <w:szCs w:val="14"/>
          <w:color w:val="auto"/>
        </w:rPr>
        <w:t>Securities to be 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Number of Option</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 to Be Sold</w:t>
      </w:r>
    </w:p>
    <w:p>
      <w:pPr>
        <w:spacing w:after="0" w:line="1" w:lineRule="exact"/>
        <w:rPr>
          <w:sz w:val="20"/>
          <w:szCs w:val="20"/>
          <w:color w:val="auto"/>
        </w:rPr>
      </w:pPr>
    </w:p>
    <w:p>
      <w:pPr>
        <w:sectPr>
          <w:pgSz w:w="11900" w:h="16838" w:orient="portrait"/>
          <w:cols w:equalWidth="0" w:num="2">
            <w:col w:w="7080" w:space="720"/>
            <w:col w:w="24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Stockholders]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ectPr>
          <w:pgSz w:w="11900" w:h="16838" w:orient="portrait"/>
          <w:cols w:equalWidth="0" w:num="1">
            <w:col w:w="10219"/>
          </w:cols>
          <w:pgMar w:left="240" w:top="287" w:right="1440" w:bottom="1440" w:gutter="0" w:footer="0" w:header="0"/>
          <w:type w:val="continuous"/>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38</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[_________] Shares of Common Stock</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 Value $0.01 Per Share)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919" w:firstLine="435"/>
        <w:spacing w:after="0" w:line="271" w:lineRule="auto"/>
        <w:tabs>
          <w:tab w:leader="none" w:pos="71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public offering price per share for the Securities, determined as provided in said Section 2, shall be $________.</w:t>
      </w:r>
    </w:p>
    <w:p>
      <w:pPr>
        <w:spacing w:after="0" w:line="153"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for the Securities to be paid by the several Underwriters shall be $________, being an amount equal to the initial public offering price set forth above less $________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ectPr>
          <w:pgSz w:w="11900" w:h="16838" w:orient="portrait"/>
          <w:cols w:equalWidth="0" w:num="1">
            <w:col w:w="10219"/>
          </w:cols>
          <w:pgMar w:left="240" w:top="28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39</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D</w:t>
      </w:r>
    </w:p>
    <w:p>
      <w:pPr>
        <w:spacing w:after="0" w:line="171"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Capitalization of Certain Subsidiaries</w:t>
      </w:r>
    </w:p>
    <w:p>
      <w:pPr>
        <w:sectPr>
          <w:pgSz w:w="11900" w:h="16838" w:orient="portrait"/>
          <w:cols w:equalWidth="0" w:num="1">
            <w:col w:w="9959"/>
          </w:cols>
          <w:pgMar w:left="500" w:top="287"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E</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List of Subsidiaries</w:t>
      </w:r>
    </w:p>
    <w:p>
      <w:pPr>
        <w:sectPr>
          <w:pgSz w:w="11900" w:h="16838" w:orient="portrait"/>
          <w:cols w:equalWidth="0" w:num="1">
            <w:col w:w="9959"/>
          </w:cols>
          <w:pgMar w:left="500" w:top="287"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41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SCHEDULE F</w:t>
      </w:r>
    </w:p>
    <w:p>
      <w:pPr>
        <w:spacing w:after="0" w:line="17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5"/>
          <w:szCs w:val="15"/>
          <w:color w:val="auto"/>
        </w:rPr>
        <w:t>Liens on Assets</w:t>
      </w:r>
    </w:p>
    <w:p>
      <w:pPr>
        <w:sectPr>
          <w:pgSz w:w="11900" w:h="16838" w:orient="portrait"/>
          <w:cols w:equalWidth="0" w:num="1">
            <w:col w:w="9959"/>
          </w:cols>
          <w:pgMar w:left="500" w:top="28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42</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SCHEDULE G</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Registration Rights</w:t>
      </w:r>
    </w:p>
    <w:p>
      <w:pPr>
        <w:sectPr>
          <w:pgSz w:w="11900" w:h="16838" w:orient="portrait"/>
          <w:cols w:equalWidth="0" w:num="1">
            <w:col w:w="9959"/>
          </w:cols>
          <w:pgMar w:left="500" w:top="28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43</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H</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List of persons and entities</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subject to lock-up</w:t>
      </w:r>
    </w:p>
    <w:p>
      <w:pPr>
        <w:sectPr>
          <w:pgSz w:w="11900" w:h="16838" w:orient="portrait"/>
          <w:cols w:equalWidth="0" w:num="1">
            <w:col w:w="9959"/>
          </w:cols>
          <w:pgMar w:left="500"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OF OPINION OF COMPANY'S COUNSEL</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DELIVERED PURSUANT TO SECTION 5(B)</w:t>
      </w:r>
    </w:p>
    <w:p>
      <w:pPr>
        <w:spacing w:after="0" w:line="200" w:lineRule="exact"/>
        <w:rPr>
          <w:sz w:val="20"/>
          <w:szCs w:val="20"/>
          <w:color w:val="auto"/>
        </w:rPr>
      </w:pPr>
    </w:p>
    <w:p>
      <w:pPr>
        <w:spacing w:after="0" w:line="315" w:lineRule="exact"/>
        <w:rPr>
          <w:sz w:val="20"/>
          <w:szCs w:val="20"/>
          <w:color w:val="auto"/>
        </w:rPr>
      </w:pPr>
    </w:p>
    <w:p>
      <w:pPr>
        <w:ind w:right="3479" w:firstLine="435"/>
        <w:spacing w:after="0" w:line="238" w:lineRule="auto"/>
        <w:tabs>
          <w:tab w:leader="none" w:pos="7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Delaware.</w:t>
      </w:r>
    </w:p>
    <w:p>
      <w:pPr>
        <w:spacing w:after="0" w:line="174" w:lineRule="exact"/>
        <w:rPr>
          <w:rFonts w:ascii="Courier New" w:cs="Courier New" w:eastAsia="Courier New" w:hAnsi="Courier New"/>
          <w:sz w:val="15"/>
          <w:szCs w:val="15"/>
          <w:color w:val="auto"/>
        </w:rPr>
      </w:pPr>
    </w:p>
    <w:p>
      <w:pPr>
        <w:ind w:right="3579" w:firstLine="435"/>
        <w:spacing w:after="0" w:line="239" w:lineRule="auto"/>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corporate power and authority to own, lease and operate its properties and to conduct its business as described in the Prospectus and to enter into and perform its obligations under the Purchase Agreement.</w:t>
      </w:r>
    </w:p>
    <w:p>
      <w:pPr>
        <w:spacing w:after="0" w:line="176" w:lineRule="exact"/>
        <w:rPr>
          <w:rFonts w:ascii="Courier New" w:cs="Courier New" w:eastAsia="Courier New" w:hAnsi="Courier New"/>
          <w:sz w:val="15"/>
          <w:szCs w:val="15"/>
          <w:color w:val="auto"/>
        </w:rPr>
      </w:pPr>
    </w:p>
    <w:p>
      <w:pPr>
        <w:ind w:right="3299" w:firstLine="435"/>
        <w:spacing w:after="0"/>
        <w:tabs>
          <w:tab w:leader="none" w:pos="97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74"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issued and outstanding capital stock of the Company is as set forth in the Prospectus in the column entitled "Actual" under the caption "Capitalization" (except for subsequent issuances, if any, pursuant to the Purchase Agreement or pursuant to reservations, agreements or employee benefit plans referred to in the Prospectus or pursuant to the exercise of convertible securities or options referred to in the Prospectus); the shares of issued and outstanding capital stock of the Company, including the Securities to be purchased by the Underwriters from the Selling Stockholders, have been duly authorized and validly issued and are fully paid and non-assessable; and none of the outstanding shares of capital stock of the Company was issued in violation of the preemptive or other similar rights of any securityholder of the Company.</w:t>
      </w:r>
    </w:p>
    <w:p>
      <w:pPr>
        <w:spacing w:after="0" w:line="16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to be purchased by the Underwriters from the Company have been duly authorized for issuance and sale to the Underwriters pursuant to the Purchase Agreement and, when issued and delivered by the Company pursuant to the Purchase Agreement against payment of the consideration set forth in the Purchase Agreement, will be validly issued and fully paid and non-assessable and no holder of the Securities is or will be subject to personal liability by reason of being such a holder.</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and sale of the Securities by the Company and the sale of the Securities by the Selling Stockholders is not subject to the preemptive or other similar rights of any securityholder of the Company.</w:t>
      </w:r>
    </w:p>
    <w:p>
      <w:pPr>
        <w:spacing w:after="0" w:line="345" w:lineRule="exact"/>
        <w:rPr>
          <w:rFonts w:ascii="Courier New" w:cs="Courier New" w:eastAsia="Courier New" w:hAnsi="Courier New"/>
          <w:sz w:val="15"/>
          <w:szCs w:val="15"/>
          <w:color w:val="auto"/>
        </w:rPr>
      </w:pPr>
    </w:p>
    <w:p>
      <w:pPr>
        <w:ind w:right="3119" w:firstLine="435"/>
        <w:spacing w:after="0" w:line="239" w:lineRule="auto"/>
        <w:tabs>
          <w:tab w:leader="none" w:pos="97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has been duly incorporated and is validly existing as a corporation in good standing under the laws of the jurisdiction of its incorporation, has corporate power and authority to own, lease and operate its properties and to conduct its</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set forth in Schedule D to the Purchase Agreement and as otherwise disclosed in the Registration Statement, all of the issued and outstanding capital stock of each Subsidiary has been duly authorized and validly issued, is fully paid and non-assessable and, to the best of our knowledge,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w:t>
      </w:r>
    </w:p>
    <w:p>
      <w:pPr>
        <w:spacing w:after="0" w:line="164" w:lineRule="exact"/>
        <w:rPr>
          <w:sz w:val="20"/>
          <w:szCs w:val="20"/>
          <w:color w:val="auto"/>
        </w:rPr>
      </w:pPr>
    </w:p>
    <w:p>
      <w:pPr>
        <w:ind w:right="3759" w:firstLine="435"/>
        <w:spacing w:after="0" w:line="238" w:lineRule="auto"/>
        <w:tabs>
          <w:tab w:leader="none" w:pos="10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Agreement has been duly authorized, executed and delivered by the Company.</w:t>
      </w:r>
    </w:p>
    <w:p>
      <w:pPr>
        <w:spacing w:after="0" w:line="174"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including any Rule 462(b) Registration Statement, has been declared effective under the 1933 Act; any required filing of the Prospectus pursuant to Rule 424(b) has been made in the manner and within the time period required by Rule 424(b); and, to the best of our knowledge, no stop order suspending the effectiveness of the Registration Statement or any Rule 462(b) Registration Statement has been issued under the 1933 Act and no proceedings for that purpose have been instituted or are pending or threatened by the Commission.</w:t>
      </w:r>
    </w:p>
    <w:p>
      <w:pPr>
        <w:spacing w:after="0" w:line="176" w:lineRule="exact"/>
        <w:rPr>
          <w:rFonts w:ascii="Courier New" w:cs="Courier New" w:eastAsia="Courier New" w:hAnsi="Courier New"/>
          <w:sz w:val="15"/>
          <w:szCs w:val="15"/>
          <w:color w:val="auto"/>
        </w:rPr>
      </w:pPr>
    </w:p>
    <w:p>
      <w:pPr>
        <w:ind w:right="3299" w:firstLine="435"/>
        <w:spacing w:after="0" w:line="259" w:lineRule="auto"/>
        <w:tabs>
          <w:tab w:leader="none" w:pos="79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including any Rule 462(b) Registration Statement, the Rule 430A Information and the Rule 434 Information, as applicable, the Prospectus, excluding the documents incorporated by reference therein, and each amendment or supplement to the Registration Statement and Prospectus, excluding the documents incorporated by reference therein, as of their respective effective or issue dates (other than the financial statements and supporting schedules included therein or omitted therefrom, as to which we need express no opinion) complied as to form in all material respects with the requirements of the 1933 Act and the 1933 Act Regulations.</w:t>
      </w:r>
    </w:p>
    <w:p>
      <w:pPr>
        <w:spacing w:after="0" w:line="166" w:lineRule="exact"/>
        <w:rPr>
          <w:rFonts w:ascii="Courier New" w:cs="Courier New" w:eastAsia="Courier New" w:hAnsi="Courier New"/>
          <w:sz w:val="14"/>
          <w:szCs w:val="14"/>
          <w:color w:val="auto"/>
        </w:rPr>
      </w:pPr>
    </w:p>
    <w:p>
      <w:pPr>
        <w:ind w:right="3219" w:firstLine="435"/>
        <w:spacing w:after="0" w:line="260" w:lineRule="auto"/>
        <w:tabs>
          <w:tab w:leader="none" w:pos="88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(other than the financial statements and supporting schedules included therein or omitted therefrom, as to which we need express no opinion), when they became effective or were filed with the Commission, as the case may be, complied as to form in all material respects with the requirements of the 1933 Act or the 1934 Act, as applicable, and the rules and regulations of the Commission thereunder.</w:t>
      </w:r>
    </w:p>
    <w:p>
      <w:pPr>
        <w:spacing w:after="0" w:line="163" w:lineRule="exact"/>
        <w:rPr>
          <w:rFonts w:ascii="Courier New" w:cs="Courier New" w:eastAsia="Courier New" w:hAnsi="Courier New"/>
          <w:sz w:val="14"/>
          <w:szCs w:val="14"/>
          <w:color w:val="auto"/>
        </w:rPr>
      </w:pPr>
    </w:p>
    <w:p>
      <w:pPr>
        <w:ind w:right="3219" w:firstLine="435"/>
        <w:spacing w:after="0" w:line="239" w:lineRule="auto"/>
        <w:tabs>
          <w:tab w:leader="none" w:pos="97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Rule 434 has been relied upon, the Prospectus was not "materially different," as such term is used in Rule 434, from the prospectus included in the Registration Statement at the time it became effective.</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left="-260" w:right="3299" w:firstLine="435"/>
        <w:spacing w:after="0" w:line="239" w:lineRule="auto"/>
        <w:tabs>
          <w:tab w:leader="none" w:pos="8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certificate used to evidence the Common Stock complies in all material respects with all applicable statutory requirements, with any applicable requirements of the charter and by-laws of the Company and the requirements of the Nasdaq National Market.</w:t>
      </w:r>
    </w:p>
    <w:p>
      <w:pPr>
        <w:spacing w:after="0" w:line="176" w:lineRule="exact"/>
        <w:rPr>
          <w:rFonts w:ascii="Courier New" w:cs="Courier New" w:eastAsia="Courier New" w:hAnsi="Courier New"/>
          <w:sz w:val="15"/>
          <w:szCs w:val="15"/>
          <w:color w:val="auto"/>
        </w:rPr>
      </w:pPr>
    </w:p>
    <w:p>
      <w:pPr>
        <w:ind w:left="-260" w:right="3219" w:firstLine="435"/>
        <w:spacing w:after="0"/>
        <w:tabs>
          <w:tab w:leader="none" w:pos="71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and except as described in the Prospectus, there is not pending or threatened any action, suit, proceeding, inquiry or investigation, to which the Company or any Subsidiary is a party, or to which the property of the Company or any Subsidiary is subject, before or brought by any court or governmental agency or body, domestic or foreign, which might reasonably be expected to result in a Material Adverse Effect, or which might reasonably be expected to materially and adversely affect the properties or assets thereof or the consummation of the transactions contemplated in the Purchase Agreement or the performance by the Company of its obligations thereunder.</w:t>
      </w:r>
    </w:p>
    <w:p>
      <w:pPr>
        <w:spacing w:after="0" w:line="178" w:lineRule="exact"/>
        <w:rPr>
          <w:rFonts w:ascii="Courier New" w:cs="Courier New" w:eastAsia="Courier New" w:hAnsi="Courier New"/>
          <w:sz w:val="15"/>
          <w:szCs w:val="15"/>
          <w:color w:val="auto"/>
        </w:rPr>
      </w:pPr>
    </w:p>
    <w:p>
      <w:pPr>
        <w:ind w:left="-260" w:right="3119" w:firstLine="435"/>
        <w:spacing w:after="0"/>
        <w:tabs>
          <w:tab w:leader="none" w:pos="62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in the Prospectus under "Business--Regulatory Matters," "Business--Litigation," and "Risk Factors--Antitakeover provisions in our organizational documents and Delaware law make any change in control of us more difficult" and in the Registration Statement under Item 15, to the extent that it constitutes matters of law, summaries of legal matters, the Company's charter and bylaws or legal proceedings, or legal conclusions, has been reviewed by us and is correct in all material respects.</w:t>
      </w:r>
    </w:p>
    <w:p>
      <w:pPr>
        <w:spacing w:after="0" w:line="175" w:lineRule="exact"/>
        <w:rPr>
          <w:rFonts w:ascii="Courier New" w:cs="Courier New" w:eastAsia="Courier New" w:hAnsi="Courier New"/>
          <w:sz w:val="15"/>
          <w:szCs w:val="15"/>
          <w:color w:val="auto"/>
        </w:rPr>
      </w:pPr>
    </w:p>
    <w:p>
      <w:pPr>
        <w:jc w:val="both"/>
        <w:ind w:left="-260" w:right="3399" w:firstLine="435"/>
        <w:spacing w:after="0" w:line="239" w:lineRule="auto"/>
        <w:tabs>
          <w:tab w:leader="none" w:pos="71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there are no statutes or regulations that are required to be described in the Prospectus that are not described as required.</w:t>
      </w:r>
    </w:p>
    <w:p>
      <w:pPr>
        <w:spacing w:after="0" w:line="175" w:lineRule="exact"/>
        <w:rPr>
          <w:rFonts w:ascii="Courier New" w:cs="Courier New" w:eastAsia="Courier New" w:hAnsi="Courier New"/>
          <w:sz w:val="15"/>
          <w:szCs w:val="15"/>
          <w:color w:val="auto"/>
        </w:rPr>
      </w:pPr>
    </w:p>
    <w:p>
      <w:pPr>
        <w:ind w:left="-260" w:right="3219" w:firstLine="435"/>
        <w:spacing w:after="0"/>
        <w:tabs>
          <w:tab w:leader="none" w:pos="8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descriptions in the Registration Statement of contracts and other documents to which the Company or its Subsidiaries are a party are accurate in all material respects; to the best of our knowledge, there are no franchises, contracts, indentures, mortgages, loan agreements, notes, leases or other instruments required to be described or referred to in the Registration Statement or to be filed as exhibits thereto other than those described or referred to therein or filed or incorporated by reference as exhibits thereto, and the descriptions thereof or references thereto are correct in all material respects.</w:t>
      </w:r>
    </w:p>
    <w:p>
      <w:pPr>
        <w:spacing w:after="0" w:line="177" w:lineRule="exact"/>
        <w:rPr>
          <w:rFonts w:ascii="Courier New" w:cs="Courier New" w:eastAsia="Courier New" w:hAnsi="Courier New"/>
          <w:sz w:val="15"/>
          <w:szCs w:val="15"/>
          <w:color w:val="auto"/>
        </w:rPr>
      </w:pPr>
    </w:p>
    <w:p>
      <w:pPr>
        <w:ind w:left="-260" w:right="3119" w:firstLine="435"/>
        <w:spacing w:after="0"/>
        <w:tabs>
          <w:tab w:leader="none" w:pos="89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neither the Company nor any Subsidiary is in violation of its charter or by-laws and no default by the Company or any Subsidiary exists in the due performance or observance of any material obligation, agreement, covenant or condition contained in any contract, indenture, mortgage, loan agreement, note, lease or other agreement or instrument that is described or referred to in the Registration Statement or the Prospectus or filed or incorporated by reference as an exhibit to the Registration Statement.</w:t>
      </w:r>
    </w:p>
    <w:p>
      <w:pPr>
        <w:spacing w:after="0" w:line="176" w:lineRule="exact"/>
        <w:rPr>
          <w:rFonts w:ascii="Courier New" w:cs="Courier New" w:eastAsia="Courier New" w:hAnsi="Courier New"/>
          <w:sz w:val="15"/>
          <w:szCs w:val="15"/>
          <w:color w:val="auto"/>
        </w:rPr>
      </w:pPr>
    </w:p>
    <w:p>
      <w:pPr>
        <w:ind w:left="-260" w:right="3119" w:firstLine="435"/>
        <w:spacing w:after="0"/>
        <w:tabs>
          <w:tab w:leader="none" w:pos="71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filing with, or authorization, approval, consent, license, order, registration, qualification or decree of, any court or governmental authority or agency, domestic or foreign (other than under the 1933 Act and the 1933 Act Regulations, which have been obtained, or as may be required under the securities or blue sky laws of the various states,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as to which we need express no opinion) is necessary or required in connection with the due authorization, execution and delivery of the Purchase Agreement or for the offering, issuance, sale or delivery of the Securities.</w:t>
      </w:r>
    </w:p>
    <w:p>
      <w:pPr>
        <w:spacing w:after="0" w:line="175" w:lineRule="exact"/>
        <w:rPr>
          <w:sz w:val="20"/>
          <w:szCs w:val="20"/>
          <w:color w:val="auto"/>
        </w:rPr>
      </w:pPr>
    </w:p>
    <w:p>
      <w:pPr>
        <w:ind w:right="3119" w:firstLine="435"/>
        <w:spacing w:after="0" w:line="258" w:lineRule="auto"/>
        <w:tabs>
          <w:tab w:leader="none" w:pos="8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Purchase Agreement and the consummation of the transactions contemplated in the Purchase Agreement and in the Registration Statement (including the issuance and sale of the Securities and the use of the proceeds from the sale of the Securities as described in the Prospectus under the caption "Use Of Proceeds") and compliance by the Company with its obligations under the Purchase Agreement do not and will not, whether with or without the giving of notice or lapse of time or both, conflict with or constitute a breach of, or default or Repayment Event (as defined in Section 1(a)(xi) of the Purchase Agreement) under or result in the creation or imposition of any lien, charge or encumbrance upon any property or assets of the Company or any Subsidiary pursuant to any contract, indenture, mortgage, deed of trust, loan or credit agreement, note, lease or any other agreement or instrument, known to me, to which the Company or any Subsidiary is a party or by which it or any of them may be bound, or to which any of the property or assets of the Company or any Subsidiary is subject (except for such conflicts, breaches or defaults or liens, charges or encumbrances that would not have a Material Adverse Effect), nor will such action result in any violation of the provisions of the charter or by-laws of the Company or any Subsidiary, or any applicable law, statute, rule, regulation, judgment, order, writ or decree, known to us, of any government, government instrumentality or court, domestic or foreign, having jurisdiction over the Company or any Subsidiary or any of their respective properties, assets or operations.</w:t>
      </w:r>
    </w:p>
    <w:p>
      <w:pPr>
        <w:spacing w:after="0" w:line="344" w:lineRule="exact"/>
        <w:rPr>
          <w:rFonts w:ascii="Courier New" w:cs="Courier New" w:eastAsia="Courier New" w:hAnsi="Courier New"/>
          <w:sz w:val="14"/>
          <w:szCs w:val="14"/>
          <w:color w:val="auto"/>
        </w:rPr>
      </w:pPr>
    </w:p>
    <w:p>
      <w:pPr>
        <w:ind w:right="3219" w:firstLine="435"/>
        <w:spacing w:after="0" w:line="271" w:lineRule="auto"/>
        <w:tabs>
          <w:tab w:leader="none" w:pos="97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an "investment company" or an entity "controlled" by an "investment company," as such terms are defined in the 1940 Act.</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119" w:firstLine="435"/>
        <w:spacing w:after="0" w:line="239" w:lineRule="auto"/>
        <w:tabs>
          <w:tab w:leader="none" w:pos="106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under the Company's Shareholder Rights Plan to which holders of the Securities will be entitled have been duly authorized and validly issued.</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115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has come to our attention that would lead us to believe that the Registration Statement or any amendment thereto, including the Rule 430A Information and Rule 434 Information (if applicable), (except for financial statements and schedules and other financial data included or incorporated by reference therein or omitted therefrom, as to which we need make no statement), at the time such Registration Statement or any such amendment became effective, contained an untrue statement of a material fact or omitted to state a material fact required to be stated therein or necessary to make the statements therein not misleading or that the Prospectus or any amendment or supplement thereto (except for financial statements and schedules and other financial data included or incorporated by reference therein or omitted therefrom, as to which we need make no statement), at the time the Prospectus was issued, at the time any such amended or supplemented prospectus was issued or at the Closing Time, included or includes an untrue statement of a material fact or</w:t>
      </w:r>
    </w:p>
    <w:p>
      <w:pPr>
        <w:spacing w:after="0" w:line="1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omitted or omits to state a material fact necessary in order to make the statements therein, in the light of the circumstances under which they were made, not misleading.</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rendering such opinion, such counsel may rely as to matters of fact (but not as to legal conclusions), to the extent they deem proper, on certificates of responsible officers of the Company and public officials.</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49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FORM OF OPINION OF COUNSEL FOR THE SELLING STOCKHOLDERS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TO BE DELIVERED PURSUANT TO SECTION 5(c)</w:t>
      </w:r>
    </w:p>
    <w:p>
      <w:pPr>
        <w:spacing w:after="0" w:line="174" w:lineRule="exact"/>
        <w:rPr>
          <w:sz w:val="20"/>
          <w:szCs w:val="20"/>
          <w:color w:val="auto"/>
        </w:rPr>
      </w:pPr>
    </w:p>
    <w:p>
      <w:pPr>
        <w:ind w:right="3119" w:firstLine="435"/>
        <w:spacing w:after="0"/>
        <w:tabs>
          <w:tab w:leader="none" w:pos="7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filing with, or consent, approval, authorization, license, order, registration, qualification or decree of, any court or governmental authority or agency, domestic or foreign, (other than the issuance of the order of the Commission declaring the Registration Statement effective and such authorizations, approvals or consents as may be necessary under state securities laws, as to which we need express no opinion) is necessary or required to be obtained by the Selling Stockholders for the performance by each Selling Stockholder of its obligations under the Purchase Agreement or in the Power of Attorney and Custody Agreement, or in connection with the offer, sale or delivery of the Securities.</w:t>
      </w:r>
    </w:p>
    <w:p>
      <w:pPr>
        <w:spacing w:after="0" w:line="178" w:lineRule="exact"/>
        <w:rPr>
          <w:rFonts w:ascii="Courier New" w:cs="Courier New" w:eastAsia="Courier New" w:hAnsi="Courier New"/>
          <w:sz w:val="15"/>
          <w:szCs w:val="15"/>
          <w:color w:val="auto"/>
        </w:rPr>
      </w:pPr>
    </w:p>
    <w:p>
      <w:pPr>
        <w:ind w:right="3219" w:firstLine="435"/>
        <w:spacing w:after="0" w:line="264" w:lineRule="auto"/>
        <w:tabs>
          <w:tab w:leader="none" w:pos="88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Power of Attorney and Custody Agreement has been duly executed and delivered by the respective Selling Stockholders named therein and constitutes the legal, valid and binding agreement of such Selling Stockholder.</w:t>
      </w:r>
    </w:p>
    <w:p>
      <w:pPr>
        <w:spacing w:after="0" w:line="159" w:lineRule="exact"/>
        <w:rPr>
          <w:rFonts w:ascii="Courier New" w:cs="Courier New" w:eastAsia="Courier New" w:hAnsi="Courier New"/>
          <w:sz w:val="14"/>
          <w:szCs w:val="14"/>
          <w:color w:val="auto"/>
        </w:rPr>
      </w:pPr>
    </w:p>
    <w:p>
      <w:pPr>
        <w:ind w:right="3839" w:firstLine="435"/>
        <w:spacing w:after="0" w:line="238" w:lineRule="auto"/>
        <w:tabs>
          <w:tab w:leader="none" w:pos="97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Agreement has been duly authorized, executed and delivered by or on behalf of each Selling Stockholder.</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8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Attorney-in-Fact has been duly authorized by the Selling Stockholders to deliver the Securities on behalf of the Selling Stockholders in accordance with the terms of the Purchase Agreement.</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Purchase Agreement and the Power of Attorney and Custody Agreement and the sale and delivery of the Securities and the consummation of the transactions contemplated in the Purchase Agreement and in the Registration Statement and compliance by the Selling Stockholders with its obligations under the Purchase Agreement have been duly authorized by all necessary action on the part of the Selling Stockholders and do not and will not, whether with or without the giving of notice or passage of time or both, conflict with or constitute a breach of, or default under or result in the creation or imposition of any tax, lien, charge or encumbrance upon the Securities or any property or assets of the Selling Stockholders pursuant to, any contract, indenture, mortgage, deed of trust, loan or credit agreement, note, license, lease or other instrument or agreement to which any Selling Stockholder is a party or by which his/her/it/they may be bound, or to which any of the property or assets of the Selling Stockholders may be subject nor will such action result in any violation of the provisions of the charter or by-laws of the Selling Stockholders, if applicable, or any law, administrative regulation, judgment or order of any governmental agency or body or any administrative or court decree having jurisdiction over such Selling Stockholder or any of its properties.</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right="3119" w:firstLine="435"/>
        <w:spacing w:after="0" w:line="239" w:lineRule="auto"/>
        <w:tabs>
          <w:tab w:leader="none" w:pos="8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our knowledge, each Selling Stockholder has valid title to the Securities to be sold by such Selling Stockholder pursuant to the Purchase Agreement, free and clear of any pledge, lien, security interest, charge, claim, equity or encumbrance of any</w:t>
      </w:r>
    </w:p>
    <w:p>
      <w:pPr>
        <w:sectPr>
          <w:pgSz w:w="11900" w:h="16838" w:orient="portrait"/>
          <w:cols w:equalWidth="0" w:num="1">
            <w:col w:w="10219"/>
          </w:cols>
          <w:pgMar w:left="240" w:top="287"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kind, and has full right, power and authority to sell, transfer and deliver such Securities pursuant to the Purchase Agreement. By delivery of a certificate or certificates therefor such Selling Stockholder will transfer to the Underwriters who have purchased such Securities pursuant to the Purchase Agreement (without notice of any defect in the title of such Selling Stockholder and who are otherwise bona fide purchasers for purposes of the Uniform Commercial Code) valid title to such Securities, free and clear of any pledge, lien, security interest, charge, claim, equity or encumbrance of any kind.</w:t>
      </w:r>
    </w:p>
    <w:p>
      <w:pPr>
        <w:spacing w:after="0" w:line="161" w:lineRule="exact"/>
        <w:rPr>
          <w:sz w:val="20"/>
          <w:szCs w:val="20"/>
          <w:color w:val="auto"/>
        </w:rPr>
      </w:pPr>
    </w:p>
    <w:p>
      <w:pPr>
        <w:ind w:right="3119" w:firstLine="435"/>
        <w:spacing w:after="0" w:line="259" w:lineRule="auto"/>
        <w:tabs>
          <w:tab w:leader="none" w:pos="97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has come to our attention that would lead us to believe that the Registration Statement or any amendment thereto, including the Rule 430A Information and Rule 434 Information (if applicable), (except for financial statements and schedules and other financial data included or incorporated by reference therein or omitted therefrom, as to which we need make no statement), at the time such Registration Statement or any such amendment became effective, contained an untrue statement of a material fact or omitted to state a material fact required to be stated therein or necessary to make the statements therein not misleading or that the Prospectus or any amendment or supplement thereto (except for financial statements and schedules and other financial data included or incorporated by reference therein or omitted therefrom, as to which we need make no statement), at the time the Prospectus was issued, at the time any such amended or supplemented prospectus was issued or at the Closing Time, included or includes an untrue statement of a material fact or omitted or omits to state a material fact necessary in order to make the statements therein, in the light of the circumstances under which they were made, not misleading.</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51</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FORM OF LOCK-UP FROM DIRECTORS, OFFICERS OR OTHER STOCKHOLDERS PURSUANT TO SECTION 5(K)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______________,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HAMBRECHT &amp; QUIST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BANCORP PIPER JAFFRAY INC.</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 Representatives of the several</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Underwriters to be named in the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within-mentioned Purchase Agreement</w:t>
      </w:r>
    </w:p>
    <w:p>
      <w:pPr>
        <w:spacing w:after="0" w:line="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c/o</w:t>
        <w:tab/>
        <w:t>Merrill Lynch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Financial Center</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10281-1209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 Proposed Public Offering by CheckFree Holdings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undersigned, a stockholder [and an officer and/or director] of CheckFree Holdings Corporation, a Delaware corporation (the "Company"), understands that Merrill Lynch &amp; Co., Merrill Lynch, Pierce, Fenner &amp; Smith Incorporated ("Merrill Lynch"), Deutsche Bank Securities Inc., Hambrecht &amp; Quist LLC and U.S. Bancorp Piper Jaffray Inc. propose to enter into a Purchase Agreement (the "Purchase Agreement") with the Company and certain selling stockholders providing for the public offering of shares (the "Securities") of the Company's common stock, par value $0.01 per share (the "Common Stock").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w:t>
      </w:r>
    </w:p>
    <w:p>
      <w:pPr>
        <w:sectPr>
          <w:pgSz w:w="11900" w:h="16838" w:orient="portrait"/>
          <w:cols w:equalWidth="0" w:num="1">
            <w:col w:w="10219"/>
          </w:cols>
          <w:pgMar w:left="24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52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Columbus, Ohio 43215-6194</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Telephone: (614) 227-2000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Fax: (614) 227-2100</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June 15,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Norcross, Georgia 30092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With respect to Amendment No. 1 to the Registration Statement on Form S-3 (the "Registration Statement") being filed by CheckFree Holdings Corporation (the "Company") under the Securities Act of 1933, as amended, relating to the registration of 4,370,000 common shares of the Company, $0.01 par value (the "Shares"), which includes 570,000 shares which may be issued for the purpose of covering over-allotments, we advise you as follows: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are counsel for the Company and have participated in the preparation of the Registration Statement. We have reviewed the Company's Amended and Restated Certificate of Incorporation, as amended to date, the corporate action taken to date in connection with the Registration Statement and the issuance and sale of the Shares, and such other documents and authorities as we deem relevant for the purpose of this opinion.</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Based upon the foregoing, we are of the opinion that, upon compliance with the Securities Act of 1933, as amended, and with the securities or "Blue Sky" laws of the states in which the Shares are to be offered for sale, and delivery of the Shares to the underwriters against payment therefor in accordance with the terms of the underwriting agreements to be entered into between the Company and the underwriters, the Shares will be validly issued, fully paid and nonassessable.</w:t>
      </w:r>
    </w:p>
    <w:p>
      <w:pPr>
        <w:spacing w:after="0" w:line="176" w:lineRule="exact"/>
        <w:rPr>
          <w:sz w:val="20"/>
          <w:szCs w:val="20"/>
          <w:color w:val="auto"/>
        </w:rPr>
      </w:pPr>
    </w:p>
    <w:p>
      <w:pPr>
        <w:ind w:right="3659" w:firstLine="799"/>
        <w:spacing w:after="0" w:line="264" w:lineRule="auto"/>
        <w:rPr>
          <w:sz w:val="20"/>
          <w:szCs w:val="20"/>
          <w:color w:val="auto"/>
        </w:rPr>
      </w:pPr>
      <w:r>
        <w:rPr>
          <w:rFonts w:ascii="Courier New" w:cs="Courier New" w:eastAsia="Courier New" w:hAnsi="Courier New"/>
          <w:sz w:val="14"/>
          <w:szCs w:val="14"/>
          <w:color w:val="auto"/>
        </w:rPr>
        <w:t>We consent to the filing of this opinion as an exhibit to the Registration Statement and to the use of our name under the caption "Legal Experts" in the prospectus included in the Registration Statement.</w:t>
      </w:r>
    </w:p>
    <w:p>
      <w:pPr>
        <w:spacing w:after="0" w:line="15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/s/Porter, Wright, Morris &amp; Arthur LLP</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Porter, Wright, Morris &amp; Arthur LLP</w:t>
      </w:r>
    </w:p>
    <w:p>
      <w:pPr>
        <w:sectPr>
          <w:pgSz w:w="11900" w:h="16838" w:orient="portrait"/>
          <w:cols w:equalWidth="0" w:num="1">
            <w:col w:w="10219"/>
          </w:cols>
          <w:pgMar w:left="240" w:top="139"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 (a)</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consent to the incorporation by reference in this Registration Statement of CheckFree Holdings Corporation on Form S-3 of our reports dated August 11, 1998, except for Note 20 to the consolidated financial statements as to which the date is September 11, 1998, included and incorporated by reference in the Annual Report on Form 10-K of CheckFree Holdings Corporation for the year ended June 30, 1998, and to the use of our report dated August 11, 1998, except for Note 20 as to which the date is September 11, 1998, appearing in the Prospectus, which is part of this Registration Statement. We also consent to the references to us under the headings "Summary Consolidated Financial Information", "Selected Consolidated Financial Data" and "Experts" in such Prospectus.</w:t>
      </w:r>
    </w:p>
    <w:p>
      <w:pPr>
        <w:spacing w:after="0" w:line="176"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/s/ DELOITTE &amp; TOUCHE LLP</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Deloitte &amp; Touche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1999</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4"/>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1)"/>
      <w:numFmt w:val="decimal"/>
      <w:start w:val="1"/>
    </w:lvl>
  </w:abstractNum>
  <w:abstractNum w:abstractNumId="22">
    <w:nsid w:val="5DC79EA8"/>
    <w:multiLevelType w:val="hybridMultilevel"/>
    <w:lvl w:ilvl="0">
      <w:lvlJc w:val="left"/>
      <w:lvlText w:val="(%1)"/>
      <w:numFmt w:val="decimal"/>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lvl w:ilvl="1">
      <w:lvlJc w:val="left"/>
      <w:lvlText w:val="*"/>
      <w:numFmt w:val="bullet"/>
      <w:start w:val="1"/>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2"/>
    </w:lvl>
  </w:abstractNum>
  <w:abstractNum w:abstractNumId="40">
    <w:nsid w:val="1A27709E"/>
    <w:multiLevelType w:val="hybridMultilevel"/>
    <w:lvl w:ilvl="0">
      <w:lvlJc w:val="left"/>
      <w:lvlText w:val="(%1)"/>
      <w:numFmt w:val="decimal"/>
      <w:start w:val="13"/>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1."/>
      <w:numFmt w:val="decimal"/>
      <w:start w:val="1"/>
    </w:lvl>
  </w:abstractNum>
  <w:abstractNum w:abstractNumId="50">
    <w:nsid w:val="1716703B"/>
    <w:multiLevelType w:val="hybridMultilevel"/>
    <w:lvl w:ilvl="0">
      <w:lvlJc w:val="left"/>
      <w:lvlText w:val="%1."/>
      <w:numFmt w:val="decimal"/>
      <w:start w:val="2"/>
    </w:lvl>
  </w:abstractNum>
  <w:abstractNum w:abstractNumId="51">
    <w:nsid w:val="14E17E33"/>
    <w:multiLevelType w:val="hybridMultilevel"/>
    <w:lvl w:ilvl="0">
      <w:lvlJc w:val="left"/>
      <w:lvlText w:val="%1."/>
      <w:numFmt w:val="decimal"/>
      <w:start w:val="3"/>
    </w:lvl>
  </w:abstractNum>
  <w:abstractNum w:abstractNumId="52">
    <w:nsid w:val="3222E7CD"/>
    <w:multiLevelType w:val="hybridMultilevel"/>
    <w:lvl w:ilvl="0">
      <w:lvlJc w:val="left"/>
      <w:lvlText w:val="%1."/>
      <w:numFmt w:val="decimal"/>
      <w:start w:val="4"/>
    </w:lvl>
  </w:abstractNum>
  <w:abstractNum w:abstractNumId="53">
    <w:nsid w:val="74DE0EE3"/>
    <w:multiLevelType w:val="hybridMultilevel"/>
    <w:lvl w:ilvl="0">
      <w:lvlJc w:val="left"/>
      <w:lvlText w:val="%1."/>
      <w:numFmt w:val="decimal"/>
      <w:start w:val="1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1."/>
      <w:numFmt w:val="decimal"/>
      <w:start w:val="12"/>
    </w:lvl>
  </w:abstractNum>
  <w:abstractNum w:abstractNumId="59">
    <w:nsid w:val="57FC4FBB"/>
    <w:multiLevelType w:val="hybridMultilevel"/>
    <w:lvl w:ilvl="0">
      <w:lvlJc w:val="left"/>
      <w:lvlText w:val="%1."/>
      <w:numFmt w:val="decimal"/>
      <w:start w:val="13"/>
    </w:lvl>
  </w:abstractNum>
  <w:abstractNum w:abstractNumId="60">
    <w:nsid w:val="CC1016F"/>
    <w:multiLevelType w:val="hybridMultilevel"/>
    <w:lvl w:ilvl="0">
      <w:lvlJc w:val="left"/>
      <w:lvlText w:val="%1."/>
      <w:numFmt w:val="decimal"/>
      <w:start w:val="16"/>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lowerLetter"/>
      <w:start w:val="2"/>
    </w:lvl>
  </w:abstractNum>
  <w:abstractNum w:abstractNumId="65">
    <w:nsid w:val="49DA307D"/>
    <w:multiLevelType w:val="hybridMultilevel"/>
    <w:lvl w:ilvl="0">
      <w:lvlJc w:val="left"/>
      <w:lvlText w:val="(%1)"/>
      <w:numFmt w:val="lowerLetter"/>
      <w:start w:val="61"/>
    </w:lvl>
    <w:lvl w:ilvl="1">
      <w:lvlJc w:val="left"/>
      <w:lvlText w:val="(%2)"/>
      <w:numFmt w:val="lowerLetter"/>
      <w:start w:val="5"/>
    </w:lvl>
  </w:abstractNum>
  <w:abstractNum w:abstractNumId="66">
    <w:nsid w:val="7055A5F5"/>
    <w:multiLevelType w:val="hybridMultilevel"/>
    <w:lvl w:ilvl="0">
      <w:lvlJc w:val="left"/>
      <w:lvlText w:val="5"/>
      <w:numFmt w:val="bullet"/>
      <w:start w:val="1"/>
    </w:lvl>
  </w:abstractNum>
  <w:abstractNum w:abstractNumId="67">
    <w:nsid w:val="5FB8370B"/>
    <w:multiLevelType w:val="hybridMultilevel"/>
    <w:lvl w:ilvl="0">
      <w:lvlJc w:val="left"/>
      <w:lvlText w:val="%1"/>
      <w:numFmt w:val="decimal"/>
      <w:start w:val="24"/>
    </w:lvl>
    <w:lvl w:ilvl="1">
      <w:lvlJc w:val="left"/>
      <w:lvlText w:val="*"/>
      <w:numFmt w:val="bullet"/>
      <w:start w:val="1"/>
    </w:lvl>
  </w:abstractNum>
  <w:abstractNum w:abstractNumId="68">
    <w:nsid w:val="50801EE1"/>
    <w:multiLevelType w:val="hybridMultilevel"/>
    <w:lvl w:ilvl="0">
      <w:lvlJc w:val="left"/>
      <w:lvlText w:val="%1"/>
      <w:numFmt w:val="decimal"/>
      <w:start w:val="1"/>
    </w:lvl>
    <w:lvl w:ilvl="1">
      <w:lvlJc w:val="left"/>
      <w:lvlText w:val="**"/>
      <w:numFmt w:val="bullet"/>
      <w:start w:val="1"/>
    </w:lvl>
  </w:abstractNum>
  <w:abstractNum w:abstractNumId="69">
    <w:nsid w:val="488AC1A"/>
    <w:multiLevelType w:val="hybridMultilevel"/>
    <w:lvl w:ilvl="0">
      <w:lvlJc w:val="left"/>
      <w:lvlText w:val="%1"/>
      <w:numFmt w:val="decimal"/>
      <w:start w:val="1"/>
    </w:lvl>
    <w:lvl w:ilvl="1">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1)"/>
      <w:numFmt w:val="lowerLetter"/>
      <w:start w:val="2"/>
    </w:lvl>
  </w:abstractNum>
  <w:abstractNum w:abstractNumId="76">
    <w:nsid w:val="5F3534A4"/>
    <w:multiLevelType w:val="hybridMultilevel"/>
    <w:lvl w:ilvl="0">
      <w:lvlJc w:val="left"/>
      <w:lvlText w:val="(%1)"/>
      <w:numFmt w:val="lowerRoman"/>
      <w:start w:val="1"/>
    </w:lvl>
  </w:abstractNum>
  <w:abstractNum w:abstractNumId="77">
    <w:nsid w:val="73A1821B"/>
    <w:multiLevelType w:val="hybridMultilevel"/>
    <w:lvl w:ilvl="0">
      <w:lvlJc w:val="left"/>
      <w:lvlText w:val="(%1)"/>
      <w:numFmt w:val="lowerLetter"/>
      <w:start w:val="1"/>
    </w:lvl>
    <w:lvl w:ilvl="1">
      <w:lvlJc w:val="left"/>
      <w:lvlText w:val="(%2)"/>
      <w:numFmt w:val="lowerLetter"/>
      <w:start w:val="9"/>
    </w:lvl>
  </w:abstractNum>
  <w:abstractNum w:abstractNumId="78">
    <w:nsid w:val="7DE67713"/>
    <w:multiLevelType w:val="hybridMultilevel"/>
    <w:lvl w:ilvl="0">
      <w:lvlJc w:val="left"/>
      <w:lvlText w:val="(%1)"/>
      <w:numFmt w:val="lowerRoman"/>
      <w:start w:val="2"/>
    </w:lvl>
  </w:abstractNum>
  <w:abstractNum w:abstractNumId="79">
    <w:nsid w:val="555C55B5"/>
    <w:multiLevelType w:val="hybridMultilevel"/>
    <w:lvl w:ilvl="0">
      <w:lvlJc w:val="left"/>
      <w:lvlText w:val="(%1)"/>
      <w:numFmt w:val="lowerRoman"/>
      <w:start w:val="5"/>
    </w:lvl>
  </w:abstractNum>
  <w:abstractNum w:abstractNumId="80">
    <w:nsid w:val="3FA62ACA"/>
    <w:multiLevelType w:val="hybridMultilevel"/>
    <w:lvl w:ilvl="0">
      <w:lvlJc w:val="left"/>
      <w:lvlText w:val="(%1)"/>
      <w:numFmt w:val="lowerRoman"/>
      <w:start w:val="8"/>
    </w:lvl>
  </w:abstractNum>
  <w:abstractNum w:abstractNumId="81">
    <w:nsid w:val="14FCE74E"/>
    <w:multiLevelType w:val="hybridMultilevel"/>
    <w:lvl w:ilvl="0">
      <w:lvlJc w:val="left"/>
      <w:lvlText w:val="(%1)"/>
      <w:numFmt w:val="lowerRoman"/>
      <w:start w:val="12"/>
    </w:lvl>
  </w:abstractNum>
  <w:abstractNum w:abstractNumId="82">
    <w:nsid w:val="6A3DD3E8"/>
    <w:multiLevelType w:val="hybridMultilevel"/>
    <w:lvl w:ilvl="0">
      <w:lvlJc w:val="left"/>
      <w:lvlText w:val="(%1)"/>
      <w:numFmt w:val="lowerRoman"/>
      <w:start w:val="16"/>
    </w:lvl>
  </w:abstractNum>
  <w:abstractNum w:abstractNumId="83">
    <w:nsid w:val="71C91298"/>
    <w:multiLevelType w:val="hybridMultilevel"/>
    <w:lvl w:ilvl="0">
      <w:lvlJc w:val="left"/>
      <w:lvlText w:val="%1"/>
      <w:numFmt w:val="lowerLetter"/>
      <w:start w:val="1"/>
    </w:lvl>
    <w:lvl w:ilvl="1">
      <w:lvlJc w:val="left"/>
      <w:lvlText w:val="(%2)"/>
      <w:numFmt w:val="lowerRoman"/>
      <w:start w:val="19"/>
    </w:lvl>
  </w:abstractNum>
  <w:abstractNum w:abstractNumId="84">
    <w:nsid w:val="9DAF632"/>
    <w:multiLevelType w:val="hybridMultilevel"/>
    <w:lvl w:ilvl="0">
      <w:lvlJc w:val="left"/>
      <w:lvlText w:val="(%1)"/>
      <w:numFmt w:val="lowerLetter"/>
      <w:start w:val="3"/>
    </w:lvl>
    <w:lvl w:ilvl="1">
      <w:lvlJc w:val="left"/>
      <w:lvlText w:val="(%2)"/>
      <w:numFmt w:val="lowerRoman"/>
      <w:start w:val="22"/>
    </w:lvl>
  </w:abstractNum>
  <w:abstractNum w:abstractNumId="85">
    <w:nsid w:val="53299938"/>
    <w:multiLevelType w:val="hybridMultilevel"/>
    <w:lvl w:ilvl="0">
      <w:lvlJc w:val="left"/>
      <w:lvlText w:val="(%1)"/>
      <w:numFmt w:val="lowerLetter"/>
      <w:start w:val="2"/>
    </w:lvl>
    <w:lvl w:ilvl="1">
      <w:lvlJc w:val="left"/>
      <w:lvlText w:val="(%2)"/>
      <w:numFmt w:val="lowerRoman"/>
      <w:start w:val="1"/>
    </w:lvl>
  </w:abstractNum>
  <w:abstractNum w:abstractNumId="86">
    <w:nsid w:val="1FBFE8E0"/>
    <w:multiLevelType w:val="hybridMultilevel"/>
    <w:lvl w:ilvl="0">
      <w:lvlJc w:val="left"/>
      <w:lvlText w:val="(%1)"/>
      <w:numFmt w:val="lowerRoman"/>
      <w:start w:val="4"/>
    </w:lvl>
  </w:abstractNum>
  <w:abstractNum w:abstractNumId="87">
    <w:nsid w:val="5092CA79"/>
    <w:multiLevelType w:val="hybridMultilevel"/>
    <w:lvl w:ilvl="0">
      <w:lvlJc w:val="left"/>
      <w:lvlText w:val="(%1)"/>
      <w:numFmt w:val="lowerRoman"/>
      <w:start w:val="8"/>
    </w:lvl>
  </w:abstractNum>
  <w:abstractNum w:abstractNumId="88">
    <w:nsid w:val="1D545C4D"/>
    <w:multiLevelType w:val="hybridMultilevel"/>
    <w:lvl w:ilvl="0">
      <w:lvlJc w:val="left"/>
      <w:lvlText w:val="(%1)"/>
      <w:numFmt w:val="lowerLetter"/>
      <w:start w:val="3"/>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3"/>
    </w:lvl>
  </w:abstractNum>
  <w:abstractNum w:abstractNumId="91">
    <w:nsid w:val="2A155DBC"/>
    <w:multiLevelType w:val="hybridMultilevel"/>
    <w:lvl w:ilvl="0">
      <w:lvlJc w:val="left"/>
      <w:lvlText w:val="(%1)"/>
      <w:numFmt w:val="lowerLetter"/>
      <w:start w:val="4"/>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lowerLetter"/>
      <w:start w:val="4"/>
    </w:lvl>
  </w:abstractNum>
  <w:abstractNum w:abstractNumId="94">
    <w:nsid w:val="51088277"/>
    <w:multiLevelType w:val="hybridMultilevel"/>
    <w:lvl w:ilvl="0">
      <w:lvlJc w:val="left"/>
      <w:lvlText w:val="%1"/>
      <w:numFmt w:val="lowerLetter"/>
      <w:start w:val="1"/>
    </w:lvl>
    <w:lvl w:ilvl="1">
      <w:lvlJc w:val="left"/>
      <w:lvlText w:val="(%2)"/>
      <w:numFmt w:val="lowerLetter"/>
      <w:start w:val="8"/>
    </w:lvl>
  </w:abstractNum>
  <w:abstractNum w:abstractNumId="95">
    <w:nsid w:val="1CA0C5FA"/>
    <w:multiLevelType w:val="hybridMultilevel"/>
    <w:lvl w:ilvl="0">
      <w:lvlJc w:val="left"/>
      <w:lvlText w:val="(%1)"/>
      <w:numFmt w:val="lowerLetter"/>
      <w:start w:val="35"/>
    </w:lvl>
    <w:lvl w:ilvl="1">
      <w:lvlJc w:val="left"/>
      <w:lvlText w:val="(%2)"/>
      <w:numFmt w:val="lowerLetter"/>
      <w:start w:val="11"/>
    </w:lvl>
  </w:abstractNum>
  <w:abstractNum w:abstractNumId="96">
    <w:nsid w:val="53584BCB"/>
    <w:multiLevelType w:val="hybridMultilevel"/>
    <w:lvl w:ilvl="0">
      <w:lvlJc w:val="left"/>
      <w:lvlText w:val="%1"/>
      <w:numFmt w:val="lowerLetter"/>
      <w:start w:val="1"/>
    </w:lvl>
    <w:lvl w:ilvl="1">
      <w:lvlJc w:val="left"/>
      <w:lvlText w:val="(%2)"/>
      <w:numFmt w:val="lowerLetter"/>
      <w:start w:val="1"/>
    </w:lvl>
  </w:abstractNum>
  <w:abstractNum w:abstractNumId="97">
    <w:nsid w:val="415E286C"/>
    <w:multiLevelType w:val="hybridMultilevel"/>
    <w:lvl w:ilvl="0">
      <w:lvlJc w:val="left"/>
      <w:lvlText w:val="(%1)"/>
      <w:numFmt w:val="lowerLetter"/>
      <w:start w:val="9"/>
    </w:lvl>
    <w:lvl w:ilvl="1">
      <w:lvlJc w:val="left"/>
      <w:lvlText w:val="%2"/>
      <w:numFmt w:val="lowerLetter"/>
      <w:start w:val="1"/>
    </w:lvl>
  </w:abstractNum>
  <w:abstractNum w:abstractNumId="98">
    <w:nsid w:val="7C58FD05"/>
    <w:multiLevelType w:val="hybridMultilevel"/>
    <w:lvl w:ilvl="0">
      <w:lvlJc w:val="left"/>
      <w:lvlText w:val="(%1)"/>
      <w:numFmt w:val="lowerRoman"/>
      <w:start w:val="9"/>
    </w:lvl>
    <w:lvl w:ilvl="1">
      <w:lvlJc w:val="left"/>
      <w:lvlText w:val="(%2)"/>
      <w:numFmt w:val="lowerLetter"/>
      <w:start w:val="2"/>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2"/>
    </w:lvl>
  </w:abstractNum>
  <w:abstractNum w:abstractNumId="101">
    <w:nsid w:val="5C10FE21"/>
    <w:multiLevelType w:val="hybridMultilevel"/>
    <w:lvl w:ilvl="0">
      <w:lvlJc w:val="left"/>
      <w:lvlText w:val="%1"/>
      <w:numFmt w:val="decimal"/>
      <w:start w:val="1"/>
    </w:lvl>
    <w:lvl w:ilvl="1">
      <w:lvlJc w:val="left"/>
      <w:lvlText w:val="(%2)"/>
      <w:numFmt w:val="lowerLetter"/>
      <w:start w:val="4"/>
    </w:lvl>
  </w:abstractNum>
  <w:abstractNum w:abstractNumId="102">
    <w:nsid w:val="E7FFA2B"/>
    <w:multiLevelType w:val="hybridMultilevel"/>
    <w:lvl w:ilvl="0">
      <w:lvlJc w:val="left"/>
      <w:lvlText w:val="(%1)"/>
      <w:numFmt w:val="decimal"/>
      <w:start w:val="1"/>
    </w:lvl>
    <w:lvl w:ilvl="1">
      <w:lvlJc w:val="left"/>
      <w:lvlText w:val="(%2)"/>
      <w:numFmt w:val="lowerLetter"/>
      <w:start w:val="7"/>
    </w:lvl>
  </w:abstractNum>
  <w:abstractNum w:abstractNumId="103">
    <w:nsid w:val="3C5991AA"/>
    <w:multiLevelType w:val="hybridMultilevel"/>
    <w:lvl w:ilvl="0">
      <w:lvlJc w:val="left"/>
      <w:lvlText w:val="(%1)"/>
      <w:numFmt w:val="lowerLetter"/>
      <w:start w:val="9"/>
    </w:lvl>
    <w:lvl w:ilvl="1">
      <w:lvlJc w:val="left"/>
      <w:lvlText w:val="(%2)"/>
      <w:numFmt w:val="lowerRoman"/>
      <w:start w:val="1"/>
    </w:lvl>
  </w:abstractNum>
  <w:abstractNum w:abstractNumId="104">
    <w:nsid w:val="4BD8591A"/>
    <w:multiLevelType w:val="hybridMultilevel"/>
    <w:lvl w:ilvl="0">
      <w:lvlJc w:val="left"/>
      <w:lvlText w:val="(%1)"/>
      <w:numFmt w:val="lowerLetter"/>
      <w:start w:val="13"/>
    </w:lvl>
  </w:abstractNum>
  <w:abstractNum w:abstractNumId="105">
    <w:nsid w:val="78DF6A55"/>
    <w:multiLevelType w:val="hybridMultilevel"/>
    <w:lvl w:ilvl="0">
      <w:lvlJc w:val="left"/>
      <w:lvlText w:val="(%1)"/>
      <w:numFmt w:val="lowerLetter"/>
      <w:start w:val="1"/>
    </w:lvl>
    <w:lvl w:ilvl="1">
      <w:lvlJc w:val="left"/>
      <w:lvlText w:val="(%2)"/>
      <w:numFmt w:val="lowerRoman"/>
      <w:start w:val="1"/>
    </w:lvl>
  </w:abstractNum>
  <w:abstractNum w:abstractNumId="106">
    <w:nsid w:val="39B7AAA2"/>
    <w:multiLevelType w:val="hybridMultilevel"/>
    <w:lvl w:ilvl="0">
      <w:lvlJc w:val="left"/>
      <w:lvlText w:val="(%1)"/>
      <w:numFmt w:val="lowerRoman"/>
      <w:start w:val="3"/>
    </w:lvl>
  </w:abstractNum>
  <w:abstractNum w:abstractNumId="107">
    <w:nsid w:val="2B0D8DBE"/>
    <w:multiLevelType w:val="hybridMultilevel"/>
    <w:lvl w:ilvl="0">
      <w:lvlJc w:val="left"/>
      <w:lvlText w:val="%1"/>
      <w:numFmt w:val="lowerLetter"/>
      <w:start w:val="1"/>
    </w:lvl>
    <w:lvl w:ilvl="1">
      <w:lvlJc w:val="left"/>
      <w:lvlText w:val="(%2)"/>
      <w:numFmt w:val="lowerLetter"/>
      <w:start w:val="2"/>
    </w:lvl>
  </w:abstractNum>
  <w:abstractNum w:abstractNumId="108">
    <w:nsid w:val="6C80EC70"/>
    <w:multiLevelType w:val="hybridMultilevel"/>
    <w:lvl w:ilvl="0">
      <w:lvlJc w:val="left"/>
      <w:lvlText w:val="(%1)"/>
      <w:numFmt w:val="lowerLetter"/>
      <w:start w:val="3"/>
    </w:lvl>
    <w:lvl w:ilvl="1">
      <w:lvlJc w:val="left"/>
      <w:lvlText w:val="%2"/>
      <w:numFmt w:val="lowerLetter"/>
      <w:start w:val="1"/>
    </w:lvl>
  </w:abstractNum>
  <w:abstractNum w:abstractNumId="109">
    <w:nsid w:val="379E21B5"/>
    <w:multiLevelType w:val="hybridMultilevel"/>
    <w:lvl w:ilvl="0">
      <w:lvlJc w:val="left"/>
      <w:lvlText w:val="(%1)"/>
      <w:numFmt w:val="lowerLetter"/>
      <w:start w:val="4"/>
    </w:lvl>
  </w:abstractNum>
  <w:abstractNum w:abstractNumId="110">
    <w:nsid w:val="69E373"/>
    <w:multiLevelType w:val="hybridMultilevel"/>
    <w:lvl w:ilvl="0">
      <w:lvlJc w:val="left"/>
      <w:lvlText w:val="(%1)"/>
      <w:numFmt w:val="lowerLetter"/>
      <w:start w:val="6"/>
    </w:lvl>
    <w:lvl w:ilvl="1">
      <w:lvlJc w:val="left"/>
      <w:lvlText w:val="(%2)"/>
      <w:numFmt w:val="lowerLetter"/>
      <w:start w:val="7"/>
    </w:lvl>
  </w:abstractNum>
  <w:abstractNum w:abstractNumId="111">
    <w:nsid w:val="2C27173B"/>
    <w:multiLevelType w:val="hybridMultilevel"/>
    <w:lvl w:ilvl="0">
      <w:lvlJc w:val="left"/>
      <w:lvlText w:val="(%1)"/>
      <w:numFmt w:val="lowerRoman"/>
      <w:start w:val="1"/>
    </w:lvl>
  </w:abstractNum>
  <w:abstractNum w:abstractNumId="112">
    <w:nsid w:val="4C9B0904"/>
    <w:multiLevelType w:val="hybridMultilevel"/>
    <w:lvl w:ilvl="0">
      <w:lvlJc w:val="left"/>
      <w:lvlText w:val="%1."/>
      <w:numFmt w:val="decimal"/>
      <w:start w:val="7"/>
    </w:lvl>
  </w:abstractNum>
  <w:abstractNum w:abstractNumId="113">
    <w:nsid w:val="6AA7B75C"/>
    <w:multiLevelType w:val="hybridMultilevel"/>
    <w:lvl w:ilvl="0">
      <w:lvlJc w:val="left"/>
      <w:lvlText w:val="%1"/>
      <w:numFmt w:val="lowerLetter"/>
      <w:start w:val="1"/>
    </w:lvl>
    <w:lvl w:ilvl="1">
      <w:lvlJc w:val="left"/>
      <w:lvlText w:val="(%2)"/>
      <w:numFmt w:val="lowerLetter"/>
      <w:start w:val="1"/>
    </w:lvl>
  </w:abstractNum>
  <w:abstractNum w:abstractNumId="114">
    <w:nsid w:val="1DF029D3"/>
    <w:multiLevelType w:val="hybridMultilevel"/>
    <w:lvl w:ilvl="0">
      <w:lvlJc w:val="left"/>
      <w:lvlText w:val="(%1)"/>
      <w:numFmt w:val="lowerLetter"/>
      <w:start w:val="35"/>
    </w:lvl>
    <w:lvl w:ilvl="1">
      <w:lvlJc w:val="left"/>
      <w:lvlText w:val="%2"/>
      <w:numFmt w:val="lowerLetter"/>
      <w:start w:val="1"/>
    </w:lvl>
  </w:abstractNum>
  <w:abstractNum w:abstractNumId="115">
    <w:nsid w:val="5675FF36"/>
    <w:multiLevelType w:val="hybridMultilevel"/>
    <w:lvl w:ilvl="0">
      <w:lvlJc w:val="left"/>
      <w:lvlText w:val="(%1)"/>
      <w:numFmt w:val="lowerLetter"/>
      <w:start w:val="2"/>
    </w:lvl>
  </w:abstractNum>
  <w:abstractNum w:abstractNumId="116">
    <w:nsid w:val="3DD15094"/>
    <w:multiLevelType w:val="hybridMultilevel"/>
    <w:lvl w:ilvl="0">
      <w:lvlJc w:val="left"/>
      <w:lvlText w:val="(%1)"/>
      <w:numFmt w:val="lowerRoman"/>
      <w:start w:val="1"/>
    </w:lvl>
  </w:abstractNum>
  <w:abstractNum w:abstractNumId="117">
    <w:nsid w:val="3DB012B3"/>
    <w:multiLevelType w:val="hybridMultilevel"/>
    <w:lvl w:ilvl="0">
      <w:lvlJc w:val="left"/>
      <w:lvlText w:val="(%1)"/>
      <w:numFmt w:val="lowerLetter"/>
      <w:start w:val="2"/>
    </w:lvl>
  </w:abstractNum>
  <w:abstractNum w:abstractNumId="118">
    <w:nsid w:val="2708C9AF"/>
    <w:multiLevelType w:val="hybridMultilevel"/>
    <w:lvl w:ilvl="0">
      <w:lvlJc w:val="left"/>
      <w:lvlText w:val="%1."/>
      <w:numFmt w:val="decimal"/>
      <w:start w:val="1"/>
    </w:lvl>
  </w:abstractNum>
  <w:abstractNum w:abstractNumId="119">
    <w:nsid w:val="5B25ACE2"/>
    <w:multiLevelType w:val="hybridMultilevel"/>
    <w:lvl w:ilvl="0">
      <w:lvlJc w:val="left"/>
      <w:lvlText w:val="(%1)"/>
      <w:numFmt w:val="lowerRoman"/>
      <w:start w:val="1"/>
    </w:lvl>
  </w:abstractNum>
  <w:abstractNum w:abstractNumId="120">
    <w:nsid w:val="175DFCF0"/>
    <w:multiLevelType w:val="hybridMultilevel"/>
    <w:lvl w:ilvl="0">
      <w:lvlJc w:val="left"/>
      <w:lvlText w:val="(%1)"/>
      <w:numFmt w:val="lowerRoman"/>
      <w:start w:val="8"/>
    </w:lvl>
  </w:abstractNum>
  <w:abstractNum w:abstractNumId="121">
    <w:nsid w:val="4F97E3E4"/>
    <w:multiLevelType w:val="hybridMultilevel"/>
    <w:lvl w:ilvl="0">
      <w:lvlJc w:val="left"/>
      <w:lvlText w:val="(%1)"/>
      <w:numFmt w:val="lowerRoman"/>
      <w:start w:val="13"/>
    </w:lvl>
  </w:abstractNum>
  <w:abstractNum w:abstractNumId="122">
    <w:nsid w:val="53B0A9E"/>
    <w:multiLevelType w:val="hybridMultilevel"/>
    <w:lvl w:ilvl="0">
      <w:lvlJc w:val="left"/>
      <w:lvlText w:val="(%1)"/>
      <w:numFmt w:val="lowerRoman"/>
      <w:start w:val="20"/>
    </w:lvl>
  </w:abstractNum>
  <w:abstractNum w:abstractNumId="123">
    <w:nsid w:val="34FD6B4F"/>
    <w:multiLevelType w:val="hybridMultilevel"/>
    <w:lvl w:ilvl="0">
      <w:lvlJc w:val="left"/>
      <w:lvlText w:val="(%1)"/>
      <w:numFmt w:val="lowerRoman"/>
      <w:start w:val="1"/>
    </w:lvl>
  </w:abstractNum>
  <w:abstractNum w:abstractNumId="124">
    <w:nsid w:val="5915FF3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2020-02-22T13:33:15Z</dcterms:created>
  <dcterms:modified xsi:type="dcterms:W3CDTF">2020-02-22T13:33:15Z</dcterms:modified>
</cp:coreProperties>
</file>