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right="20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2006</w:t>
      </w:r>
    </w:p>
    <w:p>
      <w:pPr>
        <w:spacing w:after="0" w:line="15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54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83"/>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780" w:type="dxa"/>
            <w:vAlign w:val="bottom"/>
          </w:tcPr>
          <w:p>
            <w:pPr>
              <w:ind w:left="300"/>
              <w:spacing w:after="0"/>
              <w:rPr>
                <w:sz w:val="20"/>
                <w:szCs w:val="20"/>
                <w:color w:val="auto"/>
              </w:rPr>
            </w:pPr>
            <w:r>
              <w:rPr>
                <w:rFonts w:ascii="Arial" w:cs="Arial" w:eastAsia="Arial" w:hAnsi="Arial"/>
                <w:sz w:val="18"/>
                <w:szCs w:val="18"/>
                <w:b w:val="1"/>
                <w:bCs w:val="1"/>
                <w:color w:val="auto"/>
                <w:w w:val="87"/>
              </w:rPr>
              <w:t>Commission file number 0-14948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164465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FISERV, INC.</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280" w:type="dxa"/>
        <w:tblCellMar>
          <w:top w:w="0" w:type="dxa"/>
          <w:left w:w="0" w:type="dxa"/>
          <w:bottom w:w="0" w:type="dxa"/>
          <w:right w:w="0" w:type="dxa"/>
        </w:tblCellMar>
      </w:tblPr>
      <w:tr>
        <w:trPr>
          <w:trHeight w:val="218"/>
        </w:trPr>
        <w:tc>
          <w:tcPr>
            <w:tcW w:w="6420" w:type="dxa"/>
            <w:vAlign w:val="bottom"/>
          </w:tcPr>
          <w:p>
            <w:pPr>
              <w:jc w:val="center"/>
              <w:ind w:right="3164"/>
              <w:spacing w:after="0"/>
              <w:rPr>
                <w:sz w:val="20"/>
                <w:szCs w:val="20"/>
                <w:color w:val="auto"/>
              </w:rPr>
            </w:pPr>
            <w:r>
              <w:rPr>
                <w:rFonts w:ascii="Arial" w:cs="Arial" w:eastAsia="Arial" w:hAnsi="Arial"/>
                <w:sz w:val="18"/>
                <w:szCs w:val="18"/>
                <w:b w:val="1"/>
                <w:bCs w:val="1"/>
                <w:color w:val="auto"/>
                <w:w w:val="98"/>
              </w:rPr>
              <w:t>WISCONSIN</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39-1506125</w:t>
            </w:r>
          </w:p>
        </w:tc>
      </w:tr>
      <w:tr>
        <w:trPr>
          <w:trHeight w:val="149"/>
        </w:trPr>
        <w:tc>
          <w:tcPr>
            <w:tcW w:w="6420" w:type="dxa"/>
            <w:vAlign w:val="bottom"/>
          </w:tcPr>
          <w:p>
            <w:pPr>
              <w:jc w:val="center"/>
              <w:ind w:right="318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0"/>
              </w:rPr>
              <w:t>(I. R. S. Employer</w:t>
            </w:r>
          </w:p>
        </w:tc>
      </w:tr>
      <w:tr>
        <w:trPr>
          <w:trHeight w:val="174"/>
        </w:trPr>
        <w:tc>
          <w:tcPr>
            <w:tcW w:w="6420" w:type="dxa"/>
            <w:vAlign w:val="bottom"/>
          </w:tcPr>
          <w:p>
            <w:pPr>
              <w:jc w:val="center"/>
              <w:ind w:right="318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352"/>
        </w:trPr>
        <w:tc>
          <w:tcPr>
            <w:tcW w:w="6420" w:type="dxa"/>
            <w:vAlign w:val="bottom"/>
          </w:tcPr>
          <w:p>
            <w:pPr>
              <w:jc w:val="center"/>
              <w:ind w:right="3184"/>
              <w:spacing w:after="0"/>
              <w:rPr>
                <w:sz w:val="20"/>
                <w:szCs w:val="20"/>
                <w:color w:val="auto"/>
              </w:rPr>
            </w:pPr>
            <w:r>
              <w:rPr>
                <w:rFonts w:ascii="Arial" w:cs="Arial" w:eastAsia="Arial" w:hAnsi="Arial"/>
                <w:sz w:val="18"/>
                <w:szCs w:val="18"/>
                <w:b w:val="1"/>
                <w:bCs w:val="1"/>
                <w:color w:val="auto"/>
                <w:w w:val="98"/>
              </w:rPr>
              <w:t>255 FISERV DRIVE, BROOKFIELD, WI</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53045</w:t>
            </w:r>
          </w:p>
        </w:tc>
      </w:tr>
      <w:tr>
        <w:trPr>
          <w:trHeight w:val="174"/>
        </w:trPr>
        <w:tc>
          <w:tcPr>
            <w:tcW w:w="6420" w:type="dxa"/>
            <w:vAlign w:val="bottom"/>
          </w:tcPr>
          <w:p>
            <w:pPr>
              <w:jc w:val="center"/>
              <w:ind w:right="3164"/>
              <w:spacing w:after="0"/>
              <w:rPr>
                <w:sz w:val="20"/>
                <w:szCs w:val="20"/>
                <w:color w:val="auto"/>
              </w:rPr>
            </w:pPr>
            <w:r>
              <w:rPr>
                <w:rFonts w:ascii="Arial" w:cs="Arial" w:eastAsia="Arial" w:hAnsi="Arial"/>
                <w:sz w:val="14"/>
                <w:szCs w:val="14"/>
                <w:b w:val="1"/>
                <w:bCs w:val="1"/>
                <w:color w:val="auto"/>
                <w:w w:val="85"/>
              </w:rPr>
              <w:t>(Address of principal executive office)</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420" w:type="dxa"/>
            <w:vAlign w:val="bottom"/>
          </w:tcPr>
          <w:p>
            <w:pPr>
              <w:jc w:val="right"/>
              <w:ind w:right="1364"/>
              <w:spacing w:after="0"/>
              <w:rPr>
                <w:sz w:val="20"/>
                <w:szCs w:val="20"/>
                <w:color w:val="auto"/>
              </w:rPr>
            </w:pPr>
            <w:r>
              <w:rPr>
                <w:rFonts w:ascii="Arial" w:cs="Arial" w:eastAsia="Arial" w:hAnsi="Arial"/>
                <w:sz w:val="18"/>
                <w:szCs w:val="18"/>
                <w:b w:val="1"/>
                <w:bCs w:val="1"/>
                <w:color w:val="auto"/>
              </w:rPr>
              <w:t>(262) 879-5000</w:t>
            </w:r>
          </w:p>
        </w:tc>
        <w:tc>
          <w:tcPr>
            <w:tcW w:w="1520" w:type="dxa"/>
            <w:vAlign w:val="bottom"/>
          </w:tcPr>
          <w:p>
            <w:pPr>
              <w:spacing w:after="0"/>
              <w:rPr>
                <w:sz w:val="24"/>
                <w:szCs w:val="24"/>
                <w:color w:val="auto"/>
              </w:rPr>
            </w:pPr>
          </w:p>
        </w:tc>
      </w:tr>
      <w:tr>
        <w:trPr>
          <w:trHeight w:val="174"/>
        </w:trPr>
        <w:tc>
          <w:tcPr>
            <w:tcW w:w="6420" w:type="dxa"/>
            <w:vAlign w:val="bottom"/>
          </w:tcPr>
          <w:p>
            <w:pPr>
              <w:jc w:val="center"/>
              <w:ind w:left="236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86" w:lineRule="exact"/>
        <w:rPr>
          <w:sz w:val="24"/>
          <w:szCs w:val="24"/>
          <w:color w:val="auto"/>
        </w:rPr>
      </w:pPr>
    </w:p>
    <w:p>
      <w:pPr>
        <w:spacing w:after="0" w:line="207" w:lineRule="exact"/>
        <w:tabs>
          <w:tab w:leader="none" w:pos="1980" w:val="left"/>
          <w:tab w:leader="none" w:pos="35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58" w:lineRule="exact"/>
        <w:rPr>
          <w:sz w:val="24"/>
          <w:szCs w:val="24"/>
          <w:color w:val="auto"/>
        </w:rPr>
      </w:pPr>
    </w:p>
    <w:p>
      <w:pPr>
        <w:spacing w:after="0" w:line="207" w:lineRule="exact"/>
        <w:tabs>
          <w:tab w:leader="none" w:pos="7400" w:val="left"/>
          <w:tab w:leader="none" w:pos="80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As of April 24, 2006, there were 175,694,339 shares of common stock, $.01 par value,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60" w:type="dxa"/>
            <w:vAlign w:val="bottom"/>
            <w:gridSpan w:val="6"/>
          </w:tcPr>
          <w:p>
            <w:pPr>
              <w:jc w:val="center"/>
              <w:ind w:right="3800"/>
              <w:spacing w:after="0"/>
              <w:rPr>
                <w:sz w:val="20"/>
                <w:szCs w:val="20"/>
                <w:color w:val="auto"/>
              </w:rPr>
            </w:pPr>
            <w:r>
              <w:rPr>
                <w:rFonts w:ascii="Arial" w:cs="Arial" w:eastAsia="Arial" w:hAnsi="Arial"/>
                <w:sz w:val="18"/>
                <w:szCs w:val="18"/>
                <w:b w:val="1"/>
                <w:bCs w:val="1"/>
                <w:color w:val="auto"/>
                <w:w w:val="96"/>
              </w:rPr>
              <w:t>FISERV, INC. AND SUBSIDIARIES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20" w:type="dxa"/>
            <w:vAlign w:val="bottom"/>
            <w:gridSpan w:val="2"/>
          </w:tcPr>
          <w:p>
            <w:pPr>
              <w:jc w:val="center"/>
              <w:ind w:right="4720"/>
              <w:spacing w:after="0"/>
              <w:rPr>
                <w:sz w:val="20"/>
                <w:szCs w:val="20"/>
                <w:color w:val="auto"/>
              </w:rPr>
            </w:pPr>
            <w:r>
              <w:rPr>
                <w:rFonts w:ascii="Arial" w:cs="Arial" w:eastAsia="Arial" w:hAnsi="Arial"/>
                <w:sz w:val="18"/>
                <w:szCs w:val="18"/>
                <w:b w:val="1"/>
                <w:bCs w:val="1"/>
                <w:color w:val="auto"/>
              </w:rPr>
              <w:t>INDEX</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3060" w:type="dxa"/>
            <w:vAlign w:val="bottom"/>
            <w:gridSpan w:val="9"/>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 FINANCIAL INFORMATION</w:t>
              </w:r>
            </w:hyperlink>
          </w:p>
        </w:tc>
        <w:tc>
          <w:tcPr>
            <w:tcW w:w="8080" w:type="dxa"/>
            <w:vAlign w:val="bottom"/>
            <w:gridSpan w:val="8"/>
            <w:vMerge w:val="restart"/>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90"/>
        </w:trPr>
        <w:tc>
          <w:tcPr>
            <w:tcW w:w="3060" w:type="dxa"/>
            <w:vAlign w:val="bottom"/>
            <w:tcBorders>
              <w:bottom w:val="single" w:sz="8" w:color="0000EE"/>
            </w:tcBorders>
            <w:gridSpan w:val="9"/>
            <w:vMerge w:val="continue"/>
          </w:tcPr>
          <w:p>
            <w:pPr>
              <w:spacing w:after="0"/>
              <w:rPr>
                <w:sz w:val="24"/>
                <w:szCs w:val="24"/>
                <w:color w:val="auto"/>
              </w:rPr>
            </w:pPr>
          </w:p>
        </w:tc>
        <w:tc>
          <w:tcPr>
            <w:tcW w:w="8080" w:type="dxa"/>
            <w:vAlign w:val="bottom"/>
            <w:gridSpan w:val="8"/>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Item 1.</w:t>
            </w:r>
          </w:p>
        </w:tc>
        <w:tc>
          <w:tcPr>
            <w:tcW w:w="1440" w:type="dxa"/>
            <w:vAlign w:val="bottom"/>
            <w:tcBorders>
              <w:bottom w:val="single" w:sz="8" w:color="0000EE"/>
            </w:tcBorders>
            <w:gridSpan w:val="4"/>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Financial Statements</w:t>
              </w:r>
            </w:hyperlink>
          </w:p>
        </w:tc>
        <w:tc>
          <w:tcPr>
            <w:tcW w:w="8920" w:type="dxa"/>
            <w:vAlign w:val="bottom"/>
            <w:gridSpan w:val="11"/>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00" w:type="dxa"/>
            <w:vAlign w:val="bottom"/>
            <w:tcBorders>
              <w:bottom w:val="single" w:sz="8" w:color="0000EE"/>
            </w:tcBorders>
            <w:gridSpan w:val="9"/>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Condensed Consolidated Statements of Income</w:t>
              </w:r>
            </w:hyperlink>
          </w:p>
        </w:tc>
        <w:tc>
          <w:tcPr>
            <w:tcW w:w="706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40" w:type="dxa"/>
            <w:vAlign w:val="bottom"/>
            <w:tcBorders>
              <w:bottom w:val="single" w:sz="8" w:color="0000EE"/>
            </w:tcBorders>
            <w:gridSpan w:val="8"/>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Condensed Consolidated Balance Sheets</w:t>
              </w:r>
            </w:hyperlink>
          </w:p>
        </w:tc>
        <w:tc>
          <w:tcPr>
            <w:tcW w:w="75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0" w:type="dxa"/>
            <w:vAlign w:val="bottom"/>
            <w:tcBorders>
              <w:bottom w:val="single" w:sz="8" w:color="0000EE"/>
            </w:tcBorders>
            <w:gridSpan w:val="10"/>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Condensed Consolidated Statements of Cash Flows</w:t>
              </w:r>
            </w:hyperlink>
          </w:p>
        </w:tc>
        <w:tc>
          <w:tcPr>
            <w:tcW w:w="67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3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 w:type="dxa"/>
            <w:vAlign w:val="bottom"/>
          </w:tcPr>
          <w:p>
            <w:pPr>
              <w:spacing w:after="0"/>
              <w:rPr>
                <w:sz w:val="24"/>
                <w:szCs w:val="24"/>
                <w:color w:val="auto"/>
              </w:rPr>
            </w:pPr>
          </w:p>
        </w:tc>
        <w:tc>
          <w:tcPr>
            <w:tcW w:w="1100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11">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 w:type="dxa"/>
            <w:vAlign w:val="bottom"/>
          </w:tcPr>
          <w:p>
            <w:pPr>
              <w:spacing w:after="0"/>
              <w:rPr>
                <w:sz w:val="24"/>
                <w:szCs w:val="24"/>
                <w:color w:val="auto"/>
              </w:rPr>
            </w:pPr>
          </w:p>
        </w:tc>
        <w:tc>
          <w:tcPr>
            <w:tcW w:w="1100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17">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Item 4.</w:t>
            </w:r>
          </w:p>
        </w:tc>
        <w:tc>
          <w:tcPr>
            <w:tcW w:w="4240" w:type="dxa"/>
            <w:vAlign w:val="bottom"/>
            <w:tcBorders>
              <w:top w:val="single" w:sz="8" w:color="0000EE"/>
            </w:tcBorders>
            <w:gridSpan w:val="1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Controls and Procedures</w:t>
              </w:r>
            </w:hyperlink>
          </w:p>
        </w:tc>
        <w:tc>
          <w:tcPr>
            <w:tcW w:w="61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6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7"/>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 - 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6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Item 2.</w:t>
            </w:r>
          </w:p>
        </w:tc>
        <w:tc>
          <w:tcPr>
            <w:tcW w:w="422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18">
              <w:r>
                <w:rPr>
                  <w:rFonts w:ascii="Arial" w:cs="Arial" w:eastAsia="Arial" w:hAnsi="Arial"/>
                  <w:sz w:val="18"/>
                  <w:szCs w:val="18"/>
                  <w:color w:val="0000EE"/>
                  <w:w w:val="86"/>
                </w:rPr>
                <w:t>Unregistered Sales of Equity Securities and Use of Proceeds</w:t>
              </w:r>
            </w:hyperlink>
          </w:p>
        </w:tc>
        <w:tc>
          <w:tcPr>
            <w:tcW w:w="61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Item 6.</w:t>
            </w:r>
          </w:p>
        </w:tc>
        <w:tc>
          <w:tcPr>
            <w:tcW w:w="5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8">
              <w:r>
                <w:rPr>
                  <w:rFonts w:ascii="Arial" w:cs="Arial" w:eastAsia="Arial" w:hAnsi="Arial"/>
                  <w:sz w:val="18"/>
                  <w:szCs w:val="18"/>
                  <w:color w:val="0000EE"/>
                  <w:w w:val="85"/>
                </w:rPr>
                <w:t>Exhibits</w:t>
              </w:r>
            </w:hyperlink>
          </w:p>
        </w:tc>
        <w:tc>
          <w:tcPr>
            <w:tcW w:w="980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40" w:type="dxa"/>
            <w:vAlign w:val="bottom"/>
          </w:tcPr>
          <w:p>
            <w:pPr>
              <w:spacing w:after="0"/>
              <w:rPr>
                <w:sz w:val="24"/>
                <w:szCs w:val="24"/>
                <w:color w:val="auto"/>
              </w:rPr>
            </w:pPr>
          </w:p>
        </w:tc>
        <w:tc>
          <w:tcPr>
            <w:tcW w:w="11000" w:type="dxa"/>
            <w:vAlign w:val="bottom"/>
            <w:gridSpan w:val="1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40" w:type="dxa"/>
            <w:vAlign w:val="bottom"/>
            <w:gridSpan w:val="1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 w:type="dxa"/>
            <w:vAlign w:val="bottom"/>
          </w:tcPr>
          <w:p>
            <w:pPr>
              <w:spacing w:after="0"/>
              <w:rPr>
                <w:sz w:val="24"/>
                <w:szCs w:val="24"/>
                <w:color w:val="auto"/>
              </w:rPr>
            </w:pPr>
          </w:p>
        </w:tc>
        <w:tc>
          <w:tcPr>
            <w:tcW w:w="1100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 Index</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83"/>
        </w:trPr>
        <w:tc>
          <w:tcPr>
            <w:tcW w:w="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gridSpan w:val="2"/>
          </w:tcPr>
          <w:p>
            <w:pPr>
              <w:spacing w:after="0"/>
              <w:rPr>
                <w:sz w:val="24"/>
                <w:szCs w:val="24"/>
                <w:color w:val="auto"/>
              </w:rPr>
            </w:pPr>
          </w:p>
        </w:tc>
        <w:tc>
          <w:tcPr>
            <w:tcW w:w="5960" w:type="dxa"/>
            <w:vAlign w:val="bottom"/>
            <w:gridSpan w:val="12"/>
          </w:tcPr>
          <w:p>
            <w:pPr>
              <w:jc w:val="center"/>
              <w:ind w:left="3192"/>
              <w:spacing w:after="0"/>
              <w:rPr>
                <w:sz w:val="20"/>
                <w:szCs w:val="20"/>
                <w:color w:val="auto"/>
              </w:rPr>
            </w:pPr>
            <w:r>
              <w:rPr>
                <w:rFonts w:ascii="Arial" w:cs="Arial" w:eastAsia="Arial" w:hAnsi="Arial"/>
                <w:sz w:val="18"/>
                <w:szCs w:val="18"/>
                <w:color w:val="auto"/>
                <w:w w:val="79"/>
              </w:rPr>
              <w:t>2</w:t>
            </w:r>
          </w:p>
        </w:tc>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Processing and services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761,044</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693,986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335,624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279,128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1,096,668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973,114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Cost of processing and services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485,968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440,459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272,094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221,440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145,653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903,715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785,098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192,953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Interest expense - net</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(6,106)</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Realized gain from sale of investment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186,847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227,806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70,636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88,161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116,211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116,211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share: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0.65</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share: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0.64</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used in computing net income per share: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179,351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193,383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5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181,783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See notes to condensed consolidated financial statements.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-2778760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-2778760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-2778760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-2778760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-2778760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-2778760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-1920875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-1920875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-1920875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-1920875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-1920875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-1920875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-1063625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-1063625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-1063625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-1063625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-1063625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-1063625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-626110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-626110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-626110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-626110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-626110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-626110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-325755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-325755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March 31,</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204,775</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184,471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less allowance for doubtful accounts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550,346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117,862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105,782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2,098,265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2,126,538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233,143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597,462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2,287,302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2,249,502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6,089,155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6,039,516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268,973</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241,751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275,647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Accrued income taxes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64,421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244,031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Customer funds held and retirement account deposits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1,925,837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1,960,626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169,175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757,935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595,385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3,706,019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3,573,776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no par value: 25,000,000 shares authorized; none issued</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Common stock, $0.01 par value: 450,000,000 shares authorized; 197,772,804 and 197,507,892 shares issued</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1,978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703,106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3,467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Accumulated earnings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2,553,188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2,436,977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Treasury stock, at cost, 20,689,795 and 15,753,675 shares</w:t>
            </w:r>
          </w:p>
        </w:tc>
        <w:tc>
          <w:tcPr>
            <w:tcW w:w="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(878,603)</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(668,248)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2,383,136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2,465,740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6,089,155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6,039,516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vMerge w:val="restart"/>
          </w:tcPr>
          <w:p>
            <w:pPr>
              <w:spacing w:after="0"/>
              <w:rPr>
                <w:sz w:val="20"/>
                <w:szCs w:val="20"/>
                <w:color w:val="auto"/>
              </w:rPr>
            </w:pPr>
            <w:r>
              <w:rPr>
                <w:rFonts w:ascii="Arial" w:cs="Arial" w:eastAsia="Arial" w:hAnsi="Arial"/>
                <w:sz w:val="18"/>
                <w:szCs w:val="18"/>
                <w:color w:val="auto"/>
              </w:rPr>
              <w:t>See notes to condensed consolidated financial statements.</w:t>
            </w: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9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480" w:type="dxa"/>
            <w:vAlign w:val="bottom"/>
            <w:gridSpan w:val="2"/>
          </w:tcPr>
          <w:p>
            <w:pPr>
              <w:jc w:val="right"/>
              <w:ind w:right="3632"/>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-3576320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-3576320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-3576320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-3576320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-3576320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-3576320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-506095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-506095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-506095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-506095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-506095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-506095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p>
      <w:pPr>
        <w:jc w:val="center"/>
        <w:ind w:left="95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5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60325</wp:posOffset>
            </wp:positionV>
            <wp:extent cx="11061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116,211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139,026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for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 from continuing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Realized gain from sale of investment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13,794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benefit from exercise of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9,527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Changes in assets and liabilities, net of effects from acquisitions and dispositions of businesses: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86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(9,075)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(51,476)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860"/>
              <w:spacing w:after="0"/>
              <w:rPr>
                <w:sz w:val="20"/>
                <w:szCs w:val="20"/>
                <w:color w:val="auto"/>
              </w:rPr>
            </w:pPr>
            <w:r>
              <w:rPr>
                <w:rFonts w:ascii="Arial" w:cs="Arial" w:eastAsia="Arial" w:hAnsi="Arial"/>
                <w:sz w:val="18"/>
                <w:szCs w:val="18"/>
                <w:color w:val="auto"/>
              </w:rPr>
              <w:t>Deferred revenues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Accrued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55,961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190,467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Capital expenditures, including capitalization of software costs for external customers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(47,172)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for acquisitions of businesses, net of cash acquired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(61,975)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Proceeds from sale of businesses, net of expenses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344,920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distribution received from discontinued operations prior to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28,487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(611,463)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 from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(81,906)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(326,318)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Proceeds from (repayments of) long-term debt -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162,364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common stock and treasury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Purchases of treasury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(228,882)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(106,681)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funds held and retirement account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(34,789)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499,076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 from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(88,257)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394,887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203,601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184,471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516,127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204,775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719,728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Discontinued Operations Cash Flow Information (Revised)</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140" w:type="dxa"/>
            <w:vAlign w:val="bottom"/>
            <w:tcBorders>
              <w:top w:val="single" w:sz="8" w:color="auto"/>
            </w:tcBorders>
            <w:shd w:val="clear" w:color="auto" w:fill="CCEEFF"/>
          </w:tcPr>
          <w:p>
            <w:pPr>
              <w:spacing w:after="0" w:line="20" w:lineRule="exact"/>
              <w:rPr>
                <w:sz w:val="1"/>
                <w:szCs w:val="1"/>
                <w:color w:val="auto"/>
              </w:rPr>
            </w:pPr>
          </w:p>
        </w:tc>
        <w:tc>
          <w:tcPr>
            <w:tcW w:w="5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Net cash (used in) provided by operating activities - discontinued operations</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 -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(36,749)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Net cash (used in) provided by financing activities - discontinued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cash (used in) provided by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 discontinued operations -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Cash and cash equivalents - sold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 discontinued operations -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gridSpan w:val="2"/>
            <w:vMerge w:val="restart"/>
          </w:tcPr>
          <w:p>
            <w:pPr>
              <w:spacing w:after="0"/>
              <w:rPr>
                <w:sz w:val="20"/>
                <w:szCs w:val="20"/>
                <w:color w:val="auto"/>
              </w:rPr>
            </w:pPr>
            <w:r>
              <w:rPr>
                <w:rFonts w:ascii="Arial" w:cs="Arial" w:eastAsia="Arial" w:hAnsi="Arial"/>
                <w:sz w:val="18"/>
                <w:szCs w:val="18"/>
                <w:color w:val="auto"/>
              </w:rPr>
              <w:t>See notes to condensed consolidated financial statements.</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-2023745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-2023745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-2023745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-2023745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-2023745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-2023745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-325755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-325755</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FISERV,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Principles of Consolidation</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condensed consolidated financial statements for the three month periods ended March 31, 2006 and 2005 are unaudited. In the opinion of management, all adjustments necessary for a fair presentation of such condensed consolidated financial statements have been included. Such adjustments consisted only of normal recurring items. Interim results are not necessarily indicative of results for a full year. The financial statements and notes are presented as permitted by Form 10-Q and do not contain certain information included in the annual consolidated financial statements and notes of Fiserv, Inc. and subsidiaries (the “Company”). It is recommended that these interim condensed consolidated financial statements be read in conjunction with the consolidated financial statements and the notes thereto included in the Company’s Annual Report on Form 10-K for the year ended December 31, 2005. Certain amounts reported in prior periods have been reclassified to conform to the current presentation.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On March 24, 2005, the Company completed the sale of its securities clearing businesses to Fidelity Global Brokerage Group, Inc. for $344.9 million paid in cash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 closing. Prior to completion of the sale, the securities clearing businesses paid a $68.0 million cash distribution to the Company. The sales proceeds, net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expenses, including taxes that became due upon the sale of the securities clearing businesses, approximated the Company’s carrying value of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 In the first quarter of 2005, the Company recorded a net loss on the sale of discontinued operations of $0.4 million, net of related income taxes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$48.7 million. The higher income tax expense on the sale of the securities clearing operations was primarily due to a significantly lower tax basis than book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discontinued operations resulting primarily from a tax free exchange in the Company’s initial purchase of one of the companies included in discontinued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The stock purchase agreement provided that the Company retain the liability associated with the SEC investigation of the Company’s former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subsidiary, Fiserv Securities, Inc. (“FSI”). In the second quarter of 2005, FSI settled with the SEC on this matter for $15.0 million which was fully accrued for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2004 financial statements.</w:t>
      </w:r>
    </w:p>
    <w:p>
      <w:pPr>
        <w:spacing w:after="0" w:line="151" w:lineRule="exact"/>
        <w:rPr>
          <w:sz w:val="20"/>
          <w:szCs w:val="20"/>
          <w:color w:val="auto"/>
        </w:rPr>
      </w:pPr>
    </w:p>
    <w:p>
      <w:pPr>
        <w:jc w:val="both"/>
        <w:ind w:right="440"/>
        <w:spacing w:after="0" w:line="335" w:lineRule="auto"/>
        <w:rPr>
          <w:sz w:val="20"/>
          <w:szCs w:val="20"/>
          <w:color w:val="auto"/>
        </w:rPr>
      </w:pPr>
      <w:r>
        <w:rPr>
          <w:rFonts w:ascii="Arial" w:cs="Arial" w:eastAsia="Arial" w:hAnsi="Arial"/>
          <w:sz w:val="15"/>
          <w:szCs w:val="15"/>
          <w:color w:val="auto"/>
        </w:rPr>
        <w:t>During the third quarter of 2005, the Company received an indemnification notice under the stock purchase agreement regarding FSI’s past maintenance of certain documentation related to FSI’s introducing broker dealers’ customers. The Company continues to investigate this matter and is unable to estimate or predict the ultimate outcome or determine whether this matter will have a material adverse impact on the Company’s discontinued operations’ results.</w:t>
      </w:r>
    </w:p>
    <w:p>
      <w:pPr>
        <w:spacing w:after="0" w:line="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securities clearing businesses are excluded from reported total revenues, total expenses and operating cash flows and have been reported as discontinued operations for all periods presented. The Company reports its cash flows from continuing operations separate from cash flows from discontinued operations on its condensed consolidated statements of cash flows. The discontinued operations cash flow disclosure includes a $68.0 million cash distribution that the securities clearing business made to the Company prior to completion of the sale. Summarized financial information for discontinued operations included in the financial statements is as follows:</w:t>
      </w:r>
    </w:p>
    <w:p>
      <w:pPr>
        <w:spacing w:after="0" w:line="113"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March 31, 2005</w:t>
            </w:r>
          </w:p>
        </w:tc>
        <w:tc>
          <w:tcPr>
            <w:tcW w:w="0" w:type="dxa"/>
            <w:vAlign w:val="bottom"/>
          </w:tcPr>
          <w:p>
            <w:pPr>
              <w:spacing w:after="0"/>
              <w:rPr>
                <w:sz w:val="1"/>
                <w:szCs w:val="1"/>
                <w:color w:val="auto"/>
              </w:rPr>
            </w:pPr>
          </w:p>
        </w:tc>
      </w:tr>
      <w:tr>
        <w:trPr>
          <w:trHeight w:val="95"/>
        </w:trPr>
        <w:tc>
          <w:tcPr>
            <w:tcW w:w="560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26,809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before income taxes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sale of businesses, net of income taxes of $48,670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Long-Term Debt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March 31, 2006, the Company entered into a credit agreement which modified the Company’s existing $700.0 million credit facility.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use the new revolving credit facility for general corporate purposes.</w:t>
      </w:r>
    </w:p>
    <w:p>
      <w:pPr>
        <w:spacing w:after="0" w:line="1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credit agreement provides for a revolving credit facility that matures on March 24, 2011. The initial maximum aggregate amount of availability under the revolving credit facility is $900.0 million (of which approximately $479.9 million was utilized as of March 31, 2006). The Company may increase the maximum aggregate amount of availability under the revolving credit facility to up to $1,250.0 million at the Company’s discretion, subject to certain conditions, which include, among other things, the absence of any default under the credit agreement. There are no significant commitment fees or compensating balance requirements under this facility.</w:t>
      </w:r>
    </w:p>
    <w:p>
      <w:pPr>
        <w:spacing w:after="0" w:line="129" w:lineRule="exact"/>
        <w:rPr>
          <w:sz w:val="20"/>
          <w:szCs w:val="20"/>
          <w:color w:val="auto"/>
        </w:rPr>
      </w:pPr>
    </w:p>
    <w:p>
      <w:pPr>
        <w:jc w:val="both"/>
        <w:ind w:right="480"/>
        <w:spacing w:after="0" w:line="306" w:lineRule="auto"/>
        <w:rPr>
          <w:sz w:val="20"/>
          <w:szCs w:val="20"/>
          <w:color w:val="auto"/>
        </w:rPr>
      </w:pPr>
      <w:r>
        <w:rPr>
          <w:rFonts w:ascii="Arial" w:cs="Arial" w:eastAsia="Arial" w:hAnsi="Arial"/>
          <w:sz w:val="16"/>
          <w:szCs w:val="16"/>
          <w:color w:val="auto"/>
        </w:rPr>
        <w:t>The credit agreement contains various restrictions and covenants applicable to the Company and certain of its subsidiaries. Among other requirements, the Company must limit its consolidated indebtedness to no more than three and one-half times the Company’s consolidated net earnings before interest, taxes, depreciation and amortization. The Company was in compliance with all debt covenants at March 31, 2006.</w:t>
      </w:r>
    </w:p>
    <w:p>
      <w:pPr>
        <w:sectPr>
          <w:pgSz w:w="11900" w:h="16838" w:orient="portrait"/>
          <w:cols w:equalWidth="0" w:num="1">
            <w:col w:w="11400"/>
          </w:cols>
          <w:pgMar w:left="240" w:top="459" w:right="259" w:bottom="1440" w:gutter="0" w:footer="0" w:header="0"/>
        </w:sectPr>
      </w:pP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459" w:right="2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Share-Based Compensation</w:t>
      </w:r>
    </w:p>
    <w:p>
      <w:pPr>
        <w:spacing w:after="0" w:line="8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December 2004, the Financial Accounting Standards Board (“FASB”) issued Statement of Financial Accounting Standards (“SFAS”) No. 123 (revised 2004), “Share-Based Payment” (“SFAS 123R”), that requires companies to expense the value of employee stock purchase plans, stock option grants and similar awards at the beginning of their next fiscal year that begins after June 15, 2005 and requires the use of either the modified prospective or the modified retrospective application method. The Company adopted SFAS 123R on January 1, 2006 under the modified prospective method; as such, prior periods do not include share-based compensation expense related to SFAS 123R. The modified prospective method requires the application of SFAS 123R to new awards and to awards modified, repurchased, or cancelled after the effective date. Additionally, compensation cost for the portion of outstanding awards for which service has not been rendered (such as unvested options) that are outstanding as of the date of adoption are recognized as the remaining services are rendered. The Company recognizes the fair value of stock-based compensation awards in cost of processing and services expense and selling, general and administrative expense in the condensed consolidated statement of income on a straight line basis over the vesting period.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stock-based compensation primarily consists of the following:</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Stock Options: The Company generally grants stock options to employees and directors at exercise prices equal to the fair market value of the Company’s stock at the dates of grant. Stock options are typically granted in the first quarter of the year, generally vest 20% on the date of grant and 20% each year thereafter and expire 10 years from the date of the award. The Company recognizes compensation expense for the fair value of the stock options over the requisite service period for each separate vesting portion of the stock option award.</w:t>
      </w:r>
    </w:p>
    <w:p>
      <w:pPr>
        <w:spacing w:after="0" w:line="13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Restricted Stock: The Company awards shares of stock to employees and directors that are restricted. During the period of restriction, the holder of restricted stock has voting rights and is entitled to receive all distributions including dividends paid with respect to the stock. The Company recognizes stock compensation expense relating to the issuance of restricted stock based on the market price on the date of award over the period during which the restrictions expire, which is generally four years from the date of grant, on a straight-line basis.</w:t>
      </w:r>
    </w:p>
    <w:p>
      <w:pPr>
        <w:spacing w:after="0" w:line="130"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Employee Stock Purchase Plan: The Company offers an employee stock purchase plan that grants eligible employees the right to purchase a limited number of shares of common stock each quarter through payroll deductions at 85% of the closing price of the Company’s common stock on the last business day of each calendar quarter. Compensation expense related to the 15% discount under the employee stock purchase plan is recognized on the purchase date.</w:t>
      </w:r>
    </w:p>
    <w:p>
      <w:pPr>
        <w:spacing w:after="0" w:line="93"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During the three months ended March 31, 2006 and 2005, the Company recognized approximately $13.8 million ($11.0 million in selling, general and administrative expenses and $2.8 million in cost of processing and services) and $0.8 million (in selling, general and administrative expenses) of stock-based compensation expense and $4.8 million and $0.3 million in related tax benefits, respectively. As of March 31, 2006, the total remaining unrecognized compensation cost related to non-vested stock options and restricted stock awards, net of forfeitures, was approximately $38 million.</w:t>
      </w:r>
    </w:p>
    <w:p>
      <w:pPr>
        <w:spacing w:after="0" w:line="9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Prior to January 1, 2006, the Company accounted for its stock options, restricted stock and employee stock purchase plan in accordance with the intrinsic value provisions of Accounting Principles Board Opinion No. 25, “Accounting for Stock Issued to Employees” (“APB 25”). Under APB 25, the difference between the quoted market price as of the date of grant and the contractual purchase price of shares was recognized as compensation expense over the vesting period on a straight-line basis. The Company did not recognize compensation expense in its consolidated financial statements for stock options as the exercise price was not less than 100% of the fair value of the underlying common stock on the date of grant or related to the employee stock purchase plan as the plan’s discount did not exceed fifteen percent.</w:t>
      </w:r>
    </w:p>
    <w:p>
      <w:pPr>
        <w:spacing w:after="0" w:line="131"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The following table illustrates the effect on net income and net income per share had the Company recognized compensation expense consistent with the fair value provisions of SFAS No. 123 “Accounting for Stock-Based Compensation” prior to the adoption of SFAS 123R:</w:t>
      </w:r>
    </w:p>
    <w:p>
      <w:pPr>
        <w:spacing w:after="0" w:line="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74"/>
        </w:trPr>
        <w:tc>
          <w:tcPr>
            <w:tcW w:w="8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March 31, 2005</w:t>
            </w:r>
          </w:p>
        </w:tc>
        <w:tc>
          <w:tcPr>
            <w:tcW w:w="0" w:type="dxa"/>
            <w:vAlign w:val="bottom"/>
          </w:tcPr>
          <w:p>
            <w:pPr>
              <w:spacing w:after="0"/>
              <w:rPr>
                <w:sz w:val="1"/>
                <w:szCs w:val="1"/>
                <w:color w:val="auto"/>
              </w:rPr>
            </w:pPr>
          </w:p>
        </w:tc>
      </w:tr>
      <w:tr>
        <w:trPr>
          <w:trHeight w:val="95"/>
        </w:trPr>
        <w:tc>
          <w:tcPr>
            <w:tcW w:w="83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3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ind w:left="440"/>
              <w:spacing w:after="0"/>
              <w:rPr>
                <w:sz w:val="20"/>
                <w:szCs w:val="20"/>
                <w:color w:val="auto"/>
              </w:rPr>
            </w:pPr>
            <w:r>
              <w:rPr>
                <w:rFonts w:ascii="Arial" w:cs="Arial" w:eastAsia="Arial" w:hAnsi="Arial"/>
                <w:sz w:val="18"/>
                <w:szCs w:val="18"/>
                <w:color w:val="auto"/>
              </w:rPr>
              <w:t>As reported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 reported stock compensation expense - net of tax</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00" w:type="dxa"/>
            <w:vAlign w:val="bottom"/>
            <w:gridSpan w:val="2"/>
          </w:tcPr>
          <w:p>
            <w:pPr>
              <w:ind w:left="440"/>
              <w:spacing w:after="0"/>
              <w:rPr>
                <w:sz w:val="20"/>
                <w:szCs w:val="20"/>
                <w:color w:val="auto"/>
              </w:rPr>
            </w:pPr>
            <w:r>
              <w:rPr>
                <w:rFonts w:ascii="Arial" w:cs="Arial" w:eastAsia="Arial" w:hAnsi="Arial"/>
                <w:sz w:val="18"/>
                <w:szCs w:val="18"/>
                <w:color w:val="auto"/>
              </w:rPr>
              <w:t>Less: fair value stock compensation expense - net of tax</w:t>
            </w:r>
          </w:p>
        </w:tc>
        <w:tc>
          <w:tcPr>
            <w:tcW w:w="1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(11,919)</w:t>
            </w:r>
          </w:p>
        </w:tc>
        <w:tc>
          <w:tcPr>
            <w:tcW w:w="0" w:type="dxa"/>
            <w:vAlign w:val="bottom"/>
          </w:tcPr>
          <w:p>
            <w:pPr>
              <w:spacing w:after="0"/>
              <w:rPr>
                <w:sz w:val="1"/>
                <w:szCs w:val="1"/>
                <w:color w:val="auto"/>
              </w:rPr>
            </w:pPr>
          </w:p>
        </w:tc>
      </w:tr>
      <w:tr>
        <w:trPr>
          <w:trHeight w:val="102"/>
        </w:trPr>
        <w:tc>
          <w:tcPr>
            <w:tcW w:w="8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 forma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8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Reported net income per share:</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ind w:left="44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300" w:type="dxa"/>
            <w:vAlign w:val="bottom"/>
            <w:gridSpan w:val="2"/>
          </w:tcPr>
          <w:p>
            <w:pPr>
              <w:spacing w:after="0"/>
              <w:rPr>
                <w:sz w:val="20"/>
                <w:szCs w:val="20"/>
                <w:color w:val="auto"/>
              </w:rPr>
            </w:pPr>
            <w:r>
              <w:rPr>
                <w:rFonts w:ascii="Arial" w:cs="Arial" w:eastAsia="Arial" w:hAnsi="Arial"/>
                <w:sz w:val="18"/>
                <w:szCs w:val="18"/>
                <w:color w:val="auto"/>
              </w:rPr>
              <w:t>Pro forma net income per share:</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00" w:type="dxa"/>
            <w:vAlign w:val="bottom"/>
            <w:gridSpan w:val="2"/>
          </w:tcPr>
          <w:p>
            <w:pPr>
              <w:ind w:left="4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-991870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-991870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-991870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fair values of stock options granted during the first quarter of 2006 and 2005 were estimated on the date of grant using a binomial option-pricing model with the following assumptions:</w:t>
      </w:r>
    </w:p>
    <w:p>
      <w:pPr>
        <w:spacing w:after="0" w:line="11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2006</w:t>
            </w:r>
          </w:p>
        </w:tc>
        <w:tc>
          <w:tcPr>
            <w:tcW w:w="4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30.8%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32.3%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determined the expected life of the stock options using historical data adjusted for known factors that would alter historical exercise behavior including announced retirement dates. The risk-free interest rate is based on the U.S. treasury yield curve in effect as of the grant date. Expected volatility was determined using a weighted average of implied market volatility combined with historical volatility. The Company determined that a blend of historical volatility and implied volatility better reflects future market conditions and better indicates expected volatility than purely historical volatility.</w:t>
      </w:r>
    </w:p>
    <w:p>
      <w:pPr>
        <w:spacing w:after="0" w:line="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weighted-average estimated fair value of stock options granted during the three months ended March 31, 2006 and 2005 was $13.65 and $13.57 per share, respectively.</w:t>
      </w:r>
    </w:p>
    <w:p>
      <w:pPr>
        <w:sectPr>
          <w:pgSz w:w="11900" w:h="16838" w:orient="portrait"/>
          <w:cols w:equalWidth="0" w:num="1">
            <w:col w:w="11420"/>
          </w:cols>
          <w:pgMar w:left="240" w:top="459" w:right="239" w:bottom="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The table below presents information related to stock option activity for the quarters ended March 31, 2006 and 2005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60" w:type="dxa"/>
            <w:vAlign w:val="bottom"/>
            <w:gridSpan w:val="4"/>
          </w:tcPr>
          <w:p>
            <w:pPr>
              <w:ind w:left="120"/>
              <w:spacing w:after="0"/>
              <w:rPr>
                <w:sz w:val="20"/>
                <w:szCs w:val="20"/>
                <w:color w:val="auto"/>
              </w:rPr>
            </w:pPr>
            <w:r>
              <w:rPr>
                <w:rFonts w:ascii="Arial" w:cs="Arial" w:eastAsia="Arial" w:hAnsi="Arial"/>
                <w:sz w:val="14"/>
                <w:szCs w:val="14"/>
                <w:b w:val="1"/>
                <w:bCs w:val="1"/>
                <w:color w:val="auto"/>
                <w:w w:val="95"/>
              </w:rPr>
              <w:t>Three Months Ended</w:t>
            </w:r>
          </w:p>
        </w:tc>
      </w:tr>
      <w:tr>
        <w:trPr>
          <w:trHeight w:val="174"/>
        </w:trPr>
        <w:tc>
          <w:tcPr>
            <w:tcW w:w="44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March 31,</w:t>
            </w:r>
          </w:p>
        </w:tc>
      </w:tr>
      <w:tr>
        <w:trPr>
          <w:trHeight w:val="95"/>
        </w:trPr>
        <w:tc>
          <w:tcPr>
            <w:tcW w:w="44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63"/>
        </w:trPr>
        <w:tc>
          <w:tcPr>
            <w:tcW w:w="4480" w:type="dxa"/>
            <w:vAlign w:val="bottom"/>
          </w:tcPr>
          <w:p>
            <w:pPr>
              <w:spacing w:after="0"/>
              <w:rPr>
                <w:sz w:val="22"/>
                <w:szCs w:val="22"/>
                <w:color w:val="auto"/>
              </w:rPr>
            </w:pPr>
          </w:p>
        </w:tc>
        <w:tc>
          <w:tcPr>
            <w:tcW w:w="4140" w:type="dxa"/>
            <w:vAlign w:val="bottom"/>
            <w:gridSpan w:val="2"/>
          </w:tcPr>
          <w:p>
            <w:pPr>
              <w:ind w:left="3760"/>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2005</w:t>
            </w:r>
          </w:p>
        </w:tc>
      </w:tr>
      <w:tr>
        <w:trPr>
          <w:trHeight w:val="95"/>
        </w:trPr>
        <w:tc>
          <w:tcPr>
            <w:tcW w:w="44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02"/>
        </w:trPr>
        <w:tc>
          <w:tcPr>
            <w:tcW w:w="44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intrinsic value of stock options exercised</w:t>
            </w:r>
          </w:p>
        </w:tc>
        <w:tc>
          <w:tcPr>
            <w:tcW w:w="4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$7,941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$11,420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Cash received from stock option exercises</w:t>
            </w:r>
          </w:p>
        </w:tc>
        <w:tc>
          <w:tcPr>
            <w:tcW w:w="4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3,853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5,293</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4"/>
              </w:rPr>
              <w:t>Gross income tax benefit from the exercise of stock options</w:t>
            </w:r>
          </w:p>
        </w:tc>
        <w:tc>
          <w:tcPr>
            <w:tcW w:w="4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363"/>
        </w:trPr>
        <w:tc>
          <w:tcPr>
            <w:tcW w:w="4480" w:type="dxa"/>
            <w:vAlign w:val="bottom"/>
          </w:tcPr>
          <w:p>
            <w:pPr>
              <w:spacing w:after="0"/>
              <w:rPr>
                <w:sz w:val="24"/>
                <w:szCs w:val="24"/>
                <w:color w:val="auto"/>
              </w:rPr>
            </w:pPr>
          </w:p>
        </w:tc>
        <w:tc>
          <w:tcPr>
            <w:tcW w:w="3640" w:type="dxa"/>
            <w:vAlign w:val="bottom"/>
          </w:tcPr>
          <w:p>
            <w:pPr>
              <w:jc w:val="right"/>
              <w:ind w:right="3196"/>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500"/>
          </w:cols>
          <w:pgMar w:left="240" w:top="280" w:right="1159" w:bottom="1440" w:gutter="0" w:footer="0" w:header="0"/>
        </w:sectPr>
      </w:pPr>
    </w:p>
    <w:bookmarkStart w:id="8" w:name="page9"/>
    <w:bookmarkEnd w:id="8"/>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three months ended March 31, 2006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Wtd. Avg</w:t>
            </w: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11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Weighted</w:t>
            </w: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2"/>
                <w:szCs w:val="12"/>
                <w:color w:val="auto"/>
              </w:rPr>
            </w:pPr>
          </w:p>
        </w:tc>
        <w:tc>
          <w:tcPr>
            <w:tcW w:w="11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Average</w:t>
            </w: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(In thousands)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Term (years)</w:t>
            </w: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1,421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40.63</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20.75</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2006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Exercisable, March 31, 2006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-329565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-329565</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-329565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-329565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-329565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activity for the three months ended March 31, 2006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Wtd. Avg</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5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Weighted</w:t>
            </w:r>
          </w:p>
        </w:tc>
        <w:tc>
          <w:tcPr>
            <w:tcW w:w="5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5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5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Vesting</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56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5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Term (years)</w:t>
            </w:r>
          </w:p>
        </w:tc>
        <w:tc>
          <w:tcPr>
            <w:tcW w:w="580" w:type="dxa"/>
            <w:vAlign w:val="bottom"/>
          </w:tcPr>
          <w:p>
            <w:pPr>
              <w:spacing w:after="0"/>
              <w:rPr>
                <w:sz w:val="15"/>
                <w:szCs w:val="15"/>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December 31, 2005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43.35</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265</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39.66</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March 31, 2006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40.55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At March 31, 2006, options to purchase 2.7 million shares were available for grant under the Company’s Stock Option and Restricted Stock Plan. At March 31, 2006, there were 0.8 million shares available for grant under the employee stock purchase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Shares Used in Computing Net Income Per Share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the number of shares used in calculating basic and diluted net income per share is as follows:</w:t>
      </w:r>
    </w:p>
    <w:p>
      <w:pPr>
        <w:spacing w:after="0" w:line="153"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60325</wp:posOffset>
            </wp:positionV>
            <wp:extent cx="9779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8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80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80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shares outstanding used for calculation of net income per share-basic</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179,351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193,383</w:t>
            </w:r>
          </w:p>
        </w:tc>
        <w:tc>
          <w:tcPr>
            <w:tcW w:w="0" w:type="dxa"/>
            <w:vAlign w:val="bottom"/>
          </w:tcPr>
          <w:p>
            <w:pPr>
              <w:spacing w:after="0"/>
              <w:rPr>
                <w:sz w:val="1"/>
                <w:szCs w:val="1"/>
                <w:color w:val="auto"/>
              </w:rPr>
            </w:pPr>
          </w:p>
        </w:tc>
      </w:tr>
      <w:tr>
        <w:trPr>
          <w:trHeight w:val="228"/>
        </w:trPr>
        <w:tc>
          <w:tcPr>
            <w:tcW w:w="8060" w:type="dxa"/>
            <w:vAlign w:val="bottom"/>
            <w:gridSpan w:val="2"/>
          </w:tcPr>
          <w:p>
            <w:pPr>
              <w:spacing w:after="0"/>
              <w:rPr>
                <w:sz w:val="20"/>
                <w:szCs w:val="20"/>
                <w:color w:val="auto"/>
              </w:rPr>
            </w:pPr>
            <w:r>
              <w:rPr>
                <w:rFonts w:ascii="Arial" w:cs="Arial" w:eastAsia="Arial" w:hAnsi="Arial"/>
                <w:sz w:val="18"/>
                <w:szCs w:val="18"/>
                <w:color w:val="auto"/>
              </w:rPr>
              <w:t>Common stock equivalents</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2,432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96"/>
        </w:trPr>
        <w:tc>
          <w:tcPr>
            <w:tcW w:w="80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0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shares used for calculation of net income per share-diluted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181,783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195,495</w:t>
            </w:r>
          </w:p>
        </w:tc>
        <w:tc>
          <w:tcPr>
            <w:tcW w:w="0" w:type="dxa"/>
            <w:vAlign w:val="bottom"/>
          </w:tcPr>
          <w:p>
            <w:pPr>
              <w:spacing w:after="0"/>
              <w:rPr>
                <w:sz w:val="1"/>
                <w:szCs w:val="1"/>
                <w:color w:val="auto"/>
              </w:rPr>
            </w:pPr>
          </w:p>
        </w:tc>
      </w:tr>
      <w:tr>
        <w:trPr>
          <w:trHeight w:val="132"/>
        </w:trPr>
        <w:tc>
          <w:tcPr>
            <w:tcW w:w="8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80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Weighted-average shares under stock options excluded from the calculation of common stock equivalents as</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1,837</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the impact was anti-dilutive</w:t>
            </w:r>
          </w:p>
        </w:tc>
        <w:tc>
          <w:tcPr>
            <w:tcW w:w="660" w:type="dxa"/>
            <w:vAlign w:val="bottom"/>
            <w:vMerge w:val="continue"/>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108"/>
        </w:trPr>
        <w:tc>
          <w:tcPr>
            <w:tcW w:w="80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6109335</wp:posOffset>
            </wp:positionH>
            <wp:positionV relativeFrom="paragraph">
              <wp:posOffset>-447675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-447675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-447675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-447675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Comprehensive Income</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Comprehensive income is comprised of net income, unrealized gains and losses on available-for-sale investment securities, foreign currency translation and fair market value adjustments on cash flow hedges and is as follows:</w:t>
      </w:r>
    </w:p>
    <w:p>
      <w:pPr>
        <w:spacing w:after="0" w:line="114"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60325</wp:posOffset>
            </wp:positionV>
            <wp:extent cx="10890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7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jc w:val="right"/>
              <w:ind w:right="117"/>
              <w:spacing w:after="0"/>
              <w:rPr>
                <w:sz w:val="20"/>
                <w:szCs w:val="20"/>
                <w:color w:val="auto"/>
              </w:rPr>
            </w:pPr>
            <w:r>
              <w:rPr>
                <w:rFonts w:ascii="Arial" w:cs="Arial" w:eastAsia="Arial" w:hAnsi="Arial"/>
                <w:sz w:val="14"/>
                <w:szCs w:val="14"/>
                <w:b w:val="1"/>
                <w:bCs w:val="1"/>
                <w:color w:val="auto"/>
              </w:rPr>
              <w:t>2006</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8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82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7"/>
              </w:rPr>
              <w:t>$ 116,211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20" w:type="dxa"/>
            <w:vAlign w:val="bottom"/>
            <w:gridSpan w:val="2"/>
          </w:tcPr>
          <w:p>
            <w:pPr>
              <w:spacing w:after="0"/>
              <w:rPr>
                <w:sz w:val="20"/>
                <w:szCs w:val="20"/>
                <w:color w:val="auto"/>
              </w:rPr>
            </w:pPr>
            <w:r>
              <w:rPr>
                <w:rFonts w:ascii="Arial" w:cs="Arial" w:eastAsia="Arial" w:hAnsi="Arial"/>
                <w:sz w:val="18"/>
                <w:szCs w:val="18"/>
                <w:color w:val="auto"/>
              </w:rPr>
              <w:t>Components of other comprehensive income - net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2,146</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(29,472)</w:t>
            </w:r>
          </w:p>
        </w:tc>
        <w:tc>
          <w:tcPr>
            <w:tcW w:w="0" w:type="dxa"/>
            <w:vAlign w:val="bottom"/>
          </w:tcPr>
          <w:p>
            <w:pPr>
              <w:spacing w:after="0"/>
              <w:rPr>
                <w:sz w:val="1"/>
                <w:szCs w:val="1"/>
                <w:color w:val="auto"/>
              </w:rPr>
            </w:pPr>
          </w:p>
        </w:tc>
      </w:tr>
      <w:tr>
        <w:trPr>
          <w:trHeight w:val="96"/>
        </w:trPr>
        <w:tc>
          <w:tcPr>
            <w:tcW w:w="7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$118,357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8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 components of comprehensive income for the three month period ended March 31, 2005 were negatively impacted by the realized gain on the sale of the Company’s remaining ownership of 3.2 million shares of Bisys Group, Inc. common stock in the first quarter of 2005.</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Revenues and operating income for the Company’s reportable segments are as follows for the three month periods ended March 31, 2006 and 2005: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Financial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Health</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3"/>
              </w:rPr>
              <w:t>Investment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Processing and services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2"/>
              </w:rPr>
              <w:t>$ 628,113</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98,582</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$ 34,349</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761,044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152,978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182,646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$781,091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281,228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34,349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1,096,668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459" w:right="239" w:bottom="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5215255</wp:posOffset>
            </wp:positionH>
            <wp:positionV relativeFrom="page">
              <wp:posOffset>88900</wp:posOffset>
            </wp:positionV>
            <wp:extent cx="2190750"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90750"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$166,169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20,753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680" w:type="dxa"/>
            <w:vAlign w:val="bottom"/>
            <w:gridSpan w:val="2"/>
          </w:tcPr>
          <w:p>
            <w:pPr>
              <w:spacing w:after="0"/>
              <w:rPr>
                <w:sz w:val="20"/>
                <w:szCs w:val="20"/>
                <w:color w:val="auto"/>
              </w:rPr>
            </w:pPr>
            <w:r>
              <w:rPr>
                <w:rFonts w:ascii="Arial" w:cs="Arial" w:eastAsia="Arial" w:hAnsi="Arial"/>
                <w:sz w:val="18"/>
                <w:szCs w:val="18"/>
                <w:color w:val="auto"/>
              </w:rPr>
              <w:t>2005</w:t>
            </w:r>
          </w:p>
        </w:tc>
        <w:tc>
          <w:tcPr>
            <w:tcW w:w="4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services</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$566,629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94,610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32,747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Product</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131,407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147,721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279,128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43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4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$698,036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242,331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32,747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973,114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4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$160,148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22,266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300" w:type="dxa"/>
            <w:vAlign w:val="bottom"/>
          </w:tcPr>
          <w:p>
            <w:pPr>
              <w:jc w:val="right"/>
              <w:ind w:right="2132"/>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-463550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-463550</wp:posOffset>
            </wp:positionV>
            <wp:extent cx="213931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39315" cy="2984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40"/>
        <w:spacing w:after="0" w:line="33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Results of Operations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presents, for the periods indicated, certain amounts included in the Company’s condensed consolidated statements of income, the relative percentage that those amounts represent to revenues and the change in those amounts from year to year. This information should be read along with the condensed consolidated financial statements and notes thereto.</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84"/>
              </w:rPr>
              <w:t>2006 vs. 2005</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60" w:type="dxa"/>
            <w:vAlign w:val="bottom"/>
          </w:tcPr>
          <w:p>
            <w:pPr>
              <w:spacing w:after="0"/>
              <w:rPr>
                <w:sz w:val="7"/>
                <w:szCs w:val="7"/>
                <w:color w:val="auto"/>
              </w:rPr>
            </w:pPr>
          </w:p>
        </w:tc>
        <w:tc>
          <w:tcPr>
            <w:tcW w:w="2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4"/>
          </w:tcPr>
          <w:p>
            <w:pPr>
              <w:ind w:left="22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gridSpan w:val="4"/>
          </w:tcPr>
          <w:p>
            <w:pPr>
              <w:jc w:val="right"/>
              <w:ind w:right="440"/>
              <w:spacing w:after="0"/>
              <w:rPr>
                <w:sz w:val="20"/>
                <w:szCs w:val="20"/>
                <w:color w:val="auto"/>
              </w:rPr>
            </w:pPr>
            <w:r>
              <w:rPr>
                <w:rFonts w:ascii="Arial" w:cs="Arial" w:eastAsia="Arial" w:hAnsi="Arial"/>
                <w:sz w:val="14"/>
                <w:szCs w:val="14"/>
                <w:b w:val="1"/>
                <w:bCs w:val="1"/>
                <w:i w:val="1"/>
                <w:iCs w:val="1"/>
                <w:color w:val="auto"/>
                <w:w w:val="90"/>
              </w:rPr>
              <w:t>Percentage (1) (2)</w:t>
            </w:r>
          </w:p>
        </w:tc>
        <w:tc>
          <w:tcPr>
            <w:tcW w:w="80" w:type="dxa"/>
            <w:vAlign w:val="bottom"/>
          </w:tcPr>
          <w:p>
            <w:pPr>
              <w:spacing w:after="0"/>
              <w:rPr>
                <w:sz w:val="15"/>
                <w:szCs w:val="15"/>
                <w:color w:val="auto"/>
              </w:rPr>
            </w:pPr>
          </w:p>
        </w:tc>
        <w:tc>
          <w:tcPr>
            <w:tcW w:w="600" w:type="dxa"/>
            <w:vAlign w:val="bottom"/>
            <w:gridSpan w:val="2"/>
          </w:tcPr>
          <w:p>
            <w:pPr>
              <w:jc w:val="center"/>
              <w:ind w:left="36"/>
              <w:spacing w:after="0"/>
              <w:rPr>
                <w:sz w:val="20"/>
                <w:szCs w:val="20"/>
                <w:color w:val="auto"/>
              </w:rPr>
            </w:pPr>
            <w:r>
              <w:rPr>
                <w:rFonts w:ascii="Arial" w:cs="Arial" w:eastAsia="Arial" w:hAnsi="Arial"/>
                <w:sz w:val="14"/>
                <w:szCs w:val="14"/>
                <w:b w:val="1"/>
                <w:bCs w:val="1"/>
                <w:color w:val="auto"/>
                <w:w w:val="84"/>
              </w:rPr>
              <w:t>Increase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jc w:val="right"/>
              <w:ind w:right="97"/>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2006</w:t>
            </w:r>
          </w:p>
        </w:tc>
        <w:tc>
          <w:tcPr>
            <w:tcW w:w="4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136"/>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Processing and services</w:t>
            </w:r>
          </w:p>
        </w:tc>
        <w:tc>
          <w:tcPr>
            <w:tcW w:w="2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761.0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$694.0</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69%</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67.1</w:t>
            </w:r>
          </w:p>
        </w:tc>
        <w:tc>
          <w:tcPr>
            <w:tcW w:w="18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335.6</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279.1</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1,096.7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973.1</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123.6</w:t>
            </w: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Cost of processing and services (1)</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486.0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440.5</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64%</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45.5</w:t>
            </w:r>
          </w:p>
        </w:tc>
        <w:tc>
          <w:tcPr>
            <w:tcW w:w="18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product (1)</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272.1</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221.4</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81%</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 (2)</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758.1</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661.9</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69%</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Selling, general and administrative (2)</w:t>
            </w: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145.7</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123.2</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88"/>
              </w:rPr>
              <w:t>18%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 (2)</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903.7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785.1</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82%</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118.6</w:t>
            </w: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(2)</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193.0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$188.0</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percentage equals the relevant expense amount divided by the related component of total revenues.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percentage equals the relevant expense or operating income amount divided by total revenues.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8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Total revenues increased $123.6 million, or 13%, in the first quarter of 2006 compared to the first quarter of 2005. The internal revenue growth rate was 10% in the first quarter of 2006 with the remaining growth resulting from acquisitions. Overall internal revenue growth was primarily derived from sales to new clients, cross-sales to existing clients and increases in transaction volumes from existing clients.</w:t>
      </w:r>
    </w:p>
    <w:p>
      <w:pPr>
        <w:spacing w:after="0" w:line="12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Processing and services revenues increased 10% and product revenues increased 20% in the first quarter of 2006 compared to the first quarter of 2005. Product revenues were impacted significantly on a year over year basis by the inclusion of prescription product costs of $154.1 million and $124.1 million in the Health segment’s revenues and expenses in the first quarters of 2006 and 2005, respectively.</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Flood claims processing activity in the first quarter of 2006 positively impacted processing and services revenue by $30.3 million compared to $8.7 million in the first quarter of 2005. Substantially all of the flood claims remaining at December 31, 2005 had been processed by the end of the first quarter of 2006. In addition, contract termination fees in the first quarter of 2006 in the Financial segment were down $11.0 million to $3.9 million from $14.9 million in the first quarter of 2005. The financial segment businesses generally enter into three to five year contracts with clients that contain early contract termination fees. These fees are generated when an existing client is acquired by another financial institution and can vary significantly from period to period based on the number and size of clients that are acquired and how early in the contract term a client is acquired.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Expenses</w:t>
      </w:r>
    </w:p>
    <w:p>
      <w:pPr>
        <w:spacing w:after="0" w:line="8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Total expenses increased $118.6 million, or 15%, in the first quarter of 2006 compared to the first quarter of 2005. Total expenses as a percentage of total revenues were 82% in the first quarter of 2006 and 81% in the first quarter of 2005. Cost of processing and services as a percentage of processing and services revenue remained relatively consistent in the first quarter of 2006 as compared to the first quarter of 2005. Cost of product increased as a percentage of product revenue from 79% in the first quarter of 2005 to 81% in the first quarter of 2006, primarily due to the increase in prescription product costs previously discussed. Selling, general and administrative expenses were 13% as a percentage of total revenues in 2006 and 2005 and increased $22.5 million in the first quarter of 2006 compared to the first quarter of 2005 primarily due to the inclusion of $10.1 million of incremental share based compensation expense recorded as a result of the adoption of SFAS 123R in the first quarter of 2006.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Operating Margin</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Operating income increased $4.9 million, or 3%, in the first quarter of 2006 compared to the first quarter of 2005. Incremental share-based compensation expense related to the adoption of SFAS 123R on January 1, 2006 negatively impacted the first quarter of 2006 operating income by $12.9 million and operating margin by approximately 1 percentage point. The inclusion of prescription product costs in revenue and expense reduced operating margins by approximately 3 percentage points in the first quarters of 2006 and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83"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The Company provides information management systems and services to the financial and health benefits industries, including transaction processing outsourcing, business process outsourcing and software and systems solutions. The Company’s operations are classified into three business segments: Financial institution outsourcing, systems and services (“Financial”); Health plan management services (“Health”); and Investment support services (“Investment”).</w:t>
      </w:r>
    </w:p>
    <w:p>
      <w:pPr>
        <w:spacing w:after="0" w:line="7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Adjusted revenues presented in the table below exclude the revenues associated with customer reimbursements and the pass-through portion of prescription product costs as both of these items offset in revenues and expenses. Adjusted revenue is a non-GAAP financial measure that the Company believes is useful to investors because it provides a measurement of growth excluding pass-through revenue and expense as management does not believe these items are necessarily an indicator of the Company’s current or future performance.</w:t>
      </w:r>
    </w:p>
    <w:p>
      <w:pPr>
        <w:sectPr>
          <w:pgSz w:w="11900" w:h="16838" w:orient="portrait"/>
          <w:cols w:equalWidth="0" w:num="1">
            <w:col w:w="11420"/>
          </w:cols>
          <w:pgMar w:left="240" w:top="459" w:right="239" w:bottom="0" w:gutter="0" w:footer="0" w:header="0"/>
        </w:sectPr>
      </w:pPr>
    </w:p>
    <w:bookmarkStart w:id="11" w:name="page12"/>
    <w:bookmarkEnd w:id="11"/>
    <w:p>
      <w:pPr>
        <w:spacing w:after="0"/>
        <w:rPr>
          <w:sz w:val="20"/>
          <w:szCs w:val="20"/>
          <w:color w:val="auto"/>
        </w:rPr>
      </w:pPr>
      <w:r>
        <w:rPr>
          <w:rFonts w:ascii="Arial" w:cs="Arial" w:eastAsia="Arial" w:hAnsi="Arial"/>
          <w:sz w:val="15"/>
          <w:szCs w:val="15"/>
          <w:color w:val="auto"/>
        </w:rPr>
        <w:t>Adjusted revenues as calculated by the Company are not necessarily comparable to similarly titled measures presented by other companies.</w:t>
      </w:r>
    </w:p>
    <w:p>
      <w:pPr>
        <w:sectPr>
          <w:pgSz w:w="11900" w:h="16838" w:orient="portrait"/>
          <w:cols w:equalWidth="0" w:num="1">
            <w:col w:w="10219"/>
          </w:cols>
          <w:pgMar w:left="240" w:top="280" w:right="1440" w:bottom="1440" w:gutter="0" w:footer="0" w:header="0"/>
        </w:sectPr>
      </w:pPr>
    </w:p>
    <w:p>
      <w:pPr>
        <w:spacing w:after="0" w:line="192"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219"/>
          </w:cols>
          <w:pgMar w:left="240" w:top="280" w:right="1440" w:bottom="1440" w:gutter="0" w:footer="0" w:header="0"/>
          <w:type w:val="continuous"/>
        </w:sectPr>
      </w:pPr>
    </w:p>
    <w:bookmarkStart w:id="12" w:name="page13"/>
    <w:bookmarkEnd w:id="1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9"/>
          </w:tcPr>
          <w:p>
            <w:pPr>
              <w:jc w:val="right"/>
              <w:ind w:right="740"/>
              <w:spacing w:after="0"/>
              <w:rPr>
                <w:sz w:val="20"/>
                <w:szCs w:val="20"/>
                <w:color w:val="auto"/>
              </w:rPr>
            </w:pPr>
            <w:r>
              <w:rPr>
                <w:rFonts w:ascii="Arial" w:cs="Arial" w:eastAsia="Arial" w:hAnsi="Arial"/>
                <w:sz w:val="14"/>
                <w:szCs w:val="14"/>
                <w:b w:val="1"/>
                <w:bCs w:val="1"/>
                <w:color w:val="auto"/>
                <w:w w:val="92"/>
              </w:rPr>
              <w:t xml:space="preserve">Revenue </w:t>
            </w:r>
            <w:r>
              <w:rPr>
                <w:rFonts w:ascii="Arial" w:cs="Arial" w:eastAsia="Arial" w:hAnsi="Arial"/>
                <w:sz w:val="14"/>
                <w:szCs w:val="14"/>
                <w:b w:val="1"/>
                <w:bCs w:val="1"/>
                <w:i w:val="1"/>
                <w:iCs w:val="1"/>
                <w:color w:val="auto"/>
                <w:w w:val="92"/>
              </w:rPr>
              <w:t>(In millions)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20" w:type="dxa"/>
            <w:vAlign w:val="bottom"/>
            <w:gridSpan w:val="2"/>
          </w:tcPr>
          <w:p>
            <w:pPr>
              <w:spacing w:after="0"/>
              <w:rPr>
                <w:sz w:val="8"/>
                <w:szCs w:val="8"/>
                <w:color w:val="auto"/>
              </w:rPr>
            </w:pPr>
          </w:p>
        </w:tc>
        <w:tc>
          <w:tcPr>
            <w:tcW w:w="5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w w:val="96"/>
              </w:rPr>
              <w:t>Three months ended March 31,</w:t>
            </w:r>
          </w:p>
        </w:tc>
        <w:tc>
          <w:tcPr>
            <w:tcW w:w="5280" w:type="dxa"/>
            <w:vAlign w:val="bottom"/>
          </w:tcPr>
          <w:p>
            <w:pPr>
              <w:spacing w:after="0"/>
              <w:rPr>
                <w:sz w:val="22"/>
                <w:szCs w:val="22"/>
                <w:color w:val="auto"/>
              </w:rPr>
            </w:pPr>
          </w:p>
        </w:tc>
        <w:tc>
          <w:tcPr>
            <w:tcW w:w="11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85"/>
              </w:rPr>
              <w:t>Financial</w:t>
            </w:r>
          </w:p>
        </w:tc>
        <w:tc>
          <w:tcPr>
            <w:tcW w:w="9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8"/>
              </w:rPr>
              <w:t>Health</w:t>
            </w:r>
          </w:p>
        </w:tc>
        <w:tc>
          <w:tcPr>
            <w:tcW w:w="120" w:type="dxa"/>
            <w:vAlign w:val="bottom"/>
          </w:tcPr>
          <w:p>
            <w:pPr>
              <w:spacing w:after="0"/>
              <w:rPr>
                <w:sz w:val="22"/>
                <w:szCs w:val="22"/>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5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Total revenues</w:t>
            </w:r>
          </w:p>
        </w:tc>
        <w:tc>
          <w:tcPr>
            <w:tcW w:w="60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$ 781.1</w:t>
            </w:r>
          </w:p>
        </w:tc>
        <w:tc>
          <w:tcPr>
            <w:tcW w:w="3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$281.2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34.3</w:t>
            </w:r>
          </w:p>
        </w:tc>
        <w:tc>
          <w:tcPr>
            <w:tcW w:w="420" w:type="dxa"/>
            <w:vAlign w:val="bottom"/>
          </w:tcPr>
          <w:p>
            <w:pPr>
              <w:spacing w:after="0"/>
              <w:rPr>
                <w:sz w:val="18"/>
                <w:szCs w:val="18"/>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85"/>
              </w:rPr>
              <w:t>$1,096.7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5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w w:val="93"/>
              </w:rPr>
              <w:t>Customer reimbursements</w:t>
            </w:r>
          </w:p>
        </w:tc>
        <w:tc>
          <w:tcPr>
            <w:tcW w:w="60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102.4</w:t>
            </w:r>
          </w:p>
        </w:tc>
        <w:tc>
          <w:tcPr>
            <w:tcW w:w="3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5"/>
              </w:rPr>
              <w:t>Prescription product costs</w:t>
            </w:r>
          </w:p>
        </w:tc>
        <w:tc>
          <w:tcPr>
            <w:tcW w:w="5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154.1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5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Adjusted revenues</w:t>
            </w:r>
          </w:p>
        </w:tc>
        <w:tc>
          <w:tcPr>
            <w:tcW w:w="6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$ 678.7</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$125.5</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5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5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Total revenues</w:t>
            </w:r>
          </w:p>
        </w:tc>
        <w:tc>
          <w:tcPr>
            <w:tcW w:w="6020" w:type="dxa"/>
            <w:vAlign w:val="bottom"/>
            <w:gridSpan w:val="4"/>
          </w:tcPr>
          <w:p>
            <w:pPr>
              <w:jc w:val="right"/>
              <w:ind w:right="180"/>
              <w:spacing w:after="0"/>
              <w:rPr>
                <w:sz w:val="20"/>
                <w:szCs w:val="20"/>
                <w:color w:val="auto"/>
              </w:rPr>
            </w:pPr>
            <w:r>
              <w:rPr>
                <w:rFonts w:ascii="Arial" w:cs="Arial" w:eastAsia="Arial" w:hAnsi="Arial"/>
                <w:sz w:val="18"/>
                <w:szCs w:val="18"/>
                <w:color w:val="auto"/>
              </w:rPr>
              <w:t>$ 698.0</w:t>
            </w:r>
          </w:p>
        </w:tc>
        <w:tc>
          <w:tcPr>
            <w:tcW w:w="3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$242.3</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973.1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5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w w:val="93"/>
              </w:rPr>
              <w:t>Customer reimbursements</w:t>
            </w:r>
          </w:p>
        </w:tc>
        <w:tc>
          <w:tcPr>
            <w:tcW w:w="6020" w:type="dxa"/>
            <w:vAlign w:val="bottom"/>
            <w:gridSpan w:val="4"/>
          </w:tcPr>
          <w:p>
            <w:pPr>
              <w:jc w:val="right"/>
              <w:ind w:right="180"/>
              <w:spacing w:after="0"/>
              <w:rPr>
                <w:sz w:val="20"/>
                <w:szCs w:val="20"/>
                <w:color w:val="auto"/>
              </w:rPr>
            </w:pPr>
            <w:r>
              <w:rPr>
                <w:rFonts w:ascii="Arial" w:cs="Arial" w:eastAsia="Arial" w:hAnsi="Arial"/>
                <w:sz w:val="18"/>
                <w:szCs w:val="18"/>
                <w:color w:val="auto"/>
              </w:rPr>
              <w:t>89.5</w:t>
            </w:r>
          </w:p>
        </w:tc>
        <w:tc>
          <w:tcPr>
            <w:tcW w:w="3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5"/>
              </w:rPr>
              <w:t>Prescription product costs</w:t>
            </w:r>
          </w:p>
        </w:tc>
        <w:tc>
          <w:tcPr>
            <w:tcW w:w="5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5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Adjusted revenues</w:t>
            </w:r>
          </w:p>
        </w:tc>
        <w:tc>
          <w:tcPr>
            <w:tcW w:w="6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$ 608.5</w:t>
            </w:r>
          </w:p>
        </w:tc>
        <w:tc>
          <w:tcPr>
            <w:tcW w:w="3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79"/>
              </w:rPr>
              <w:t>$ 117.0</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5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 growth:</w:t>
            </w:r>
          </w:p>
        </w:tc>
        <w:tc>
          <w:tcPr>
            <w:tcW w:w="638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w:t>
            </w: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20" w:type="dxa"/>
            <w:vAlign w:val="bottom"/>
            <w:gridSpan w:val="2"/>
          </w:tcPr>
          <w:p>
            <w:pPr>
              <w:spacing w:after="0"/>
              <w:rPr>
                <w:sz w:val="20"/>
                <w:szCs w:val="20"/>
                <w:color w:val="auto"/>
              </w:rPr>
            </w:pPr>
            <w:r>
              <w:rPr>
                <w:rFonts w:ascii="Arial" w:cs="Arial" w:eastAsia="Arial" w:hAnsi="Arial"/>
                <w:sz w:val="18"/>
                <w:szCs w:val="18"/>
                <w:color w:val="auto"/>
                <w:w w:val="97"/>
              </w:rPr>
              <w:t>Adjusted revenue growth:</w:t>
            </w:r>
          </w:p>
        </w:tc>
        <w:tc>
          <w:tcPr>
            <w:tcW w:w="63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12%</w:t>
            </w:r>
          </w:p>
        </w:tc>
        <w:tc>
          <w:tcPr>
            <w:tcW w:w="92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4"/>
                <w:szCs w:val="24"/>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gridSpan w:val="10"/>
          </w:tcPr>
          <w:p>
            <w:pPr>
              <w:jc w:val="right"/>
              <w:ind w:right="360"/>
              <w:spacing w:after="0"/>
              <w:rPr>
                <w:sz w:val="20"/>
                <w:szCs w:val="20"/>
                <w:color w:val="auto"/>
              </w:rPr>
            </w:pPr>
            <w:r>
              <w:rPr>
                <w:rFonts w:ascii="Arial" w:cs="Arial" w:eastAsia="Arial" w:hAnsi="Arial"/>
                <w:sz w:val="14"/>
                <w:szCs w:val="14"/>
                <w:b w:val="1"/>
                <w:bCs w:val="1"/>
                <w:color w:val="auto"/>
                <w:w w:val="91"/>
              </w:rPr>
              <w:t xml:space="preserve">Operating Income </w:t>
            </w:r>
            <w:r>
              <w:rPr>
                <w:rFonts w:ascii="Arial" w:cs="Arial" w:eastAsia="Arial" w:hAnsi="Arial"/>
                <w:sz w:val="14"/>
                <w:szCs w:val="14"/>
                <w:b w:val="1"/>
                <w:bCs w:val="1"/>
                <w:i w:val="1"/>
                <w:iCs w:val="1"/>
                <w:color w:val="auto"/>
                <w:w w:val="91"/>
              </w:rPr>
              <w:t>(In millions)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20" w:type="dxa"/>
            <w:vAlign w:val="bottom"/>
            <w:gridSpan w:val="2"/>
          </w:tcPr>
          <w:p>
            <w:pPr>
              <w:spacing w:after="0"/>
              <w:rPr>
                <w:sz w:val="8"/>
                <w:szCs w:val="8"/>
                <w:color w:val="auto"/>
              </w:rPr>
            </w:pPr>
          </w:p>
        </w:tc>
        <w:tc>
          <w:tcPr>
            <w:tcW w:w="5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3"/>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w w:val="96"/>
              </w:rPr>
              <w:t>Three months ended March 31,</w:t>
            </w:r>
          </w:p>
        </w:tc>
        <w:tc>
          <w:tcPr>
            <w:tcW w:w="5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5"/>
              </w:rPr>
              <w:t>Financial</w:t>
            </w:r>
          </w:p>
        </w:tc>
        <w:tc>
          <w:tcPr>
            <w:tcW w:w="160" w:type="dxa"/>
            <w:vAlign w:val="bottom"/>
          </w:tcPr>
          <w:p>
            <w:pPr>
              <w:spacing w:after="0"/>
              <w:rPr>
                <w:sz w:val="22"/>
                <w:szCs w:val="22"/>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8"/>
              </w:rPr>
              <w:t>Health</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5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Operating income</w:t>
            </w:r>
          </w:p>
        </w:tc>
        <w:tc>
          <w:tcPr>
            <w:tcW w:w="63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$ 166.2</w:t>
            </w: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$20.8</w:t>
            </w:r>
          </w:p>
        </w:tc>
        <w:tc>
          <w:tcPr>
            <w:tcW w:w="360" w:type="dxa"/>
            <w:vAlign w:val="bottom"/>
          </w:tcPr>
          <w:p>
            <w:pPr>
              <w:spacing w:after="0"/>
              <w:rPr>
                <w:sz w:val="19"/>
                <w:szCs w:val="19"/>
                <w:color w:val="auto"/>
              </w:rPr>
            </w:pPr>
          </w:p>
        </w:tc>
        <w:tc>
          <w:tcPr>
            <w:tcW w:w="380" w:type="dxa"/>
            <w:vAlign w:val="bottom"/>
            <w:gridSpan w:val="3"/>
          </w:tcPr>
          <w:p>
            <w:pPr>
              <w:ind w:left="24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6.0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$193.0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5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Operating income</w:t>
            </w:r>
          </w:p>
        </w:tc>
        <w:tc>
          <w:tcPr>
            <w:tcW w:w="6380" w:type="dxa"/>
            <w:vAlign w:val="bottom"/>
            <w:gridSpan w:val="5"/>
          </w:tcPr>
          <w:p>
            <w:pPr>
              <w:jc w:val="right"/>
              <w:ind w:right="360"/>
              <w:spacing w:after="0"/>
              <w:rPr>
                <w:sz w:val="20"/>
                <w:szCs w:val="20"/>
                <w:color w:val="auto"/>
              </w:rPr>
            </w:pPr>
            <w:r>
              <w:rPr>
                <w:rFonts w:ascii="Arial" w:cs="Arial" w:eastAsia="Arial" w:hAnsi="Arial"/>
                <w:sz w:val="18"/>
                <w:szCs w:val="18"/>
                <w:color w:val="auto"/>
              </w:rPr>
              <w:t>$ 160.1</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$22.3</w:t>
            </w:r>
          </w:p>
        </w:tc>
        <w:tc>
          <w:tcPr>
            <w:tcW w:w="360" w:type="dxa"/>
            <w:vAlign w:val="bottom"/>
          </w:tcPr>
          <w:p>
            <w:pPr>
              <w:spacing w:after="0"/>
              <w:rPr>
                <w:sz w:val="19"/>
                <w:szCs w:val="19"/>
                <w:color w:val="auto"/>
              </w:rPr>
            </w:pPr>
          </w:p>
        </w:tc>
        <w:tc>
          <w:tcPr>
            <w:tcW w:w="3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w w:val="90"/>
              </w:rPr>
              <w:t>$188.0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5460" w:type="dxa"/>
            <w:vAlign w:val="bottom"/>
            <w:gridSpan w:val="2"/>
          </w:tcPr>
          <w:p>
            <w:pPr>
              <w:spacing w:after="0"/>
              <w:rPr>
                <w:sz w:val="8"/>
                <w:szCs w:val="8"/>
                <w:color w:val="auto"/>
              </w:rPr>
            </w:pPr>
          </w:p>
        </w:tc>
        <w:tc>
          <w:tcPr>
            <w:tcW w:w="560" w:type="dxa"/>
            <w:vAlign w:val="bottom"/>
            <w:gridSpan w:val="2"/>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6"/>
              </w:rPr>
              <w:t>Operating income growth:</w:t>
            </w:r>
          </w:p>
        </w:tc>
        <w:tc>
          <w:tcPr>
            <w:tcW w:w="63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2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00" w:type="dxa"/>
            <w:vAlign w:val="bottom"/>
          </w:tcPr>
          <w:p>
            <w:pPr>
              <w:spacing w:after="0"/>
              <w:rPr>
                <w:sz w:val="9"/>
                <w:szCs w:val="9"/>
                <w:color w:val="auto"/>
              </w:rPr>
            </w:pPr>
          </w:p>
        </w:tc>
        <w:tc>
          <w:tcPr>
            <w:tcW w:w="5460" w:type="dxa"/>
            <w:vAlign w:val="bottom"/>
            <w:gridSpan w:val="2"/>
          </w:tcPr>
          <w:p>
            <w:pPr>
              <w:spacing w:after="0"/>
              <w:rPr>
                <w:sz w:val="9"/>
                <w:szCs w:val="9"/>
                <w:color w:val="auto"/>
              </w:rPr>
            </w:pPr>
          </w:p>
        </w:tc>
        <w:tc>
          <w:tcPr>
            <w:tcW w:w="5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63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w:t>
            </w: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2005</w:t>
            </w:r>
          </w:p>
        </w:tc>
        <w:tc>
          <w:tcPr>
            <w:tcW w:w="6380" w:type="dxa"/>
            <w:vAlign w:val="bottom"/>
            <w:gridSpan w:val="5"/>
          </w:tcPr>
          <w:p>
            <w:pPr>
              <w:jc w:val="right"/>
              <w:ind w:right="220"/>
              <w:spacing w:after="0"/>
              <w:rPr>
                <w:sz w:val="20"/>
                <w:szCs w:val="20"/>
                <w:color w:val="auto"/>
              </w:rPr>
            </w:pPr>
            <w:r>
              <w:rPr>
                <w:rFonts w:ascii="Arial" w:cs="Arial" w:eastAsia="Arial" w:hAnsi="Arial"/>
                <w:sz w:val="18"/>
                <w:szCs w:val="18"/>
                <w:color w:val="auto"/>
              </w:rPr>
              <w:t>23%</w:t>
            </w:r>
          </w:p>
        </w:tc>
        <w:tc>
          <w:tcPr>
            <w:tcW w:w="920" w:type="dxa"/>
            <w:vAlign w:val="bottom"/>
            <w:gridSpan w:val="4"/>
          </w:tcPr>
          <w:p>
            <w:pPr>
              <w:jc w:val="right"/>
              <w:ind w:right="2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REVENUE GROWTH</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Internal revenue growth percentages are measured as the increase or decrease in total revenues for the current period less “acquired revenue from acquisitions” divided by total revenues from the prior year period plus “acquired revenue from acquisitions.” “Acquired revenue from acquisitions” represents pre-acquisition revenue of acquired companies, less dispositions, for the comparable prior year period. Internal revenue growth percentage is a non-GAAP financial measure that the Company believes is useful to investors because it provides a breakdown of internal and acquisition-related revenue growth. The following table sets forth the calculation of internal revenue growth percentages: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2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gridSpan w:val="3"/>
          </w:tcPr>
          <w:p>
            <w:pPr>
              <w:ind w:left="28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2006</w:t>
            </w:r>
          </w:p>
        </w:tc>
        <w:tc>
          <w:tcPr>
            <w:tcW w:w="560" w:type="dxa"/>
            <w:vAlign w:val="bottom"/>
            <w:vMerge w:val="restart"/>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1"/>
              </w:rPr>
              <w:t>Increase</w:t>
            </w: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Internal</w:t>
            </w: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Internal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75"/>
              <w:spacing w:after="0"/>
              <w:rPr>
                <w:sz w:val="20"/>
                <w:szCs w:val="20"/>
                <w:color w:val="auto"/>
              </w:rPr>
            </w:pPr>
            <w:r>
              <w:rPr>
                <w:rFonts w:ascii="Arial" w:cs="Arial" w:eastAsia="Arial" w:hAnsi="Arial"/>
                <w:sz w:val="14"/>
                <w:szCs w:val="14"/>
                <w:b w:val="1"/>
                <w:bCs w:val="1"/>
                <w:color w:val="auto"/>
              </w:rPr>
              <w:t>2006</w:t>
            </w:r>
          </w:p>
        </w:tc>
        <w:tc>
          <w:tcPr>
            <w:tcW w:w="8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Growth %</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Growth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1,096.7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$973.1</w:t>
            </w:r>
          </w:p>
        </w:tc>
        <w:tc>
          <w:tcPr>
            <w:tcW w:w="3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123.6</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Acquired revenue from acquisitions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(25.6)</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1,096.7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98.0</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Adjusted revenues (1)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2"/>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By Segment:</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781.1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$698.0</w:t>
            </w:r>
          </w:p>
        </w:tc>
        <w:tc>
          <w:tcPr>
            <w:tcW w:w="3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83.1</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Acquired revenue from acquisitions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(21.2)</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61.9</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Adjusted revenues (1)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2"/>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Health</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38.9</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Acquired revenue from acquisitions</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34.5</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revenues (1)</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2"/>
        </w:trPr>
        <w:tc>
          <w:tcPr>
            <w:tcW w:w="654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5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5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   34.3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$ 32.7</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1.6</w:t>
            </w:r>
          </w:p>
        </w:tc>
        <w:tc>
          <w:tcPr>
            <w:tcW w:w="12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5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8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revenue growth is calculated based on adjusted revenues which excludes customer reimbursements and prescription product pass-through costs. Adjusted internal revenue growth percentage for the three month period ended March 31, 2005 excludes acquired prescription product costs of $3.5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w:t>
      </w:r>
    </w:p>
    <w:p>
      <w:pPr>
        <w:spacing w:after="0" w:line="8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Financial segment increased total revenues by $83.1 million, or 12%, in the first quarter of 2006 compared to the first quarter of 2005. The internal revenue growth rate in the Financial segment was 9% in the first quarter of 2006 with the remaining growth resulting from acquisitions. Adjusted internal revenue growth, excluding the impact of customer reimbursements, was 8% in the first quarter of 2006 as compared to 5% in the first quarter of 2005. Flood claims processing activity in the first quarter of 2006 positively impacted revenue by $30.3 million compared to $8.7 million in the first quarter of 2005. Substantially all of the flood claims remaining at December 31, 2005 had been processed by the end of the first quarter of 2006. The incremental 2006 flood claims processing positively impacted the Financial segment adjusted internal revenue growth rate by approximately 3 percentage points and a decrease of $11.0 million in contract termination fees in the first quarter of 2006 compared to the first quarter of 2005 negatively impacted the 2006 first quarter rate by approximately 2 percentage points. Additional positive contributors to the adjusted internal revenue growth rate were increased volumes in the lending division’s loan settlement services businesses, increased revenue associated with new client growth and cross sales in the credit union operations as well as incremental revenue associated with the Australian check processing business that began operations in mid-April 2005.</w:t>
      </w:r>
    </w:p>
    <w:p>
      <w:pPr>
        <w:spacing w:after="0" w:line="10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Operating margins in the Financial segment were 21% in the first quarter of 2006 and 23% in the first quarter of 2005 and decreased due primarily to the adoption of SFAS 123R on January 1, 2006. Incremental share-based compensation expense related to the adoption of SFAS 123R on January 1, 2006 negatively impacted the first quarter of 2006 operating income by $11.7 million and operating margin by approximately 2 percentage points. Operating margins in the first quarter of 2006 compared to the first quarter of 2005 were positively impacted by $21.6 million of higher incremental flood claims processing revenue which was partially offset by an $11.0 million decrease in revenue associated with client contract termination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w:t>
      </w:r>
    </w:p>
    <w:p>
      <w:pPr>
        <w:spacing w:after="0" w:line="8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Health segment increased total revenue by $38.9 million, or 16%, in the first quarter of 2006 compared to the first quarter of 2005. The internal revenue growth rate in this segment for the first quarter of 2006 was 14% with the remaining growth resulting from acquisitions. Adjusted internal revenue growth, excluding the impact of prescription product and other customer reimbursement costs, was 3% in the first quarter of 2006 compared to 4% in the first quarter of 2005.</w:t>
      </w:r>
    </w:p>
    <w:p>
      <w:pPr>
        <w:spacing w:after="0" w:line="13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Operating margins in the Health segment were 7% in the first quarter of 2006 and 9% in the first quarter of 2005. Prescription product costs negatively impacted operating margins in the Health segment by approximately 9 percentage points in the first quarter of 2006 and approximately 10 percentage points in the first quarter of 2005. The decrease in the first quarter of 2006 operating income and margin compared to the first quarter of 2005 was primarily due to incremental expenses related to investments in the Company’s consumer-directed health care initiatives and health plan business process outsourcing start-up business and lower revenue in the first quarter of 2006 compared to the first quarter of 2005 related to processing one-time claims for clients lost to competition.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83"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Investment segment had revenue growth of $1.6 million in the first quarter of 2006, representing revenue growth of 5% primarily derived from continued new client growth. Operating margins in the Investment segment were 18% in the first quarter of 2006 and 17% in the first quarter of 2005.</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On March 24, 2005, the Company completed the sale of its securities clearing businesses to Fidelity Global Brokerage Group, Inc. for $344.9 million paid in cash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 closing. Prior to completion of the sale, the securities clearing businesses paid a $68.0 million cash distribution to the Company. The sales proceeds, net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expenses, including taxes that became due upon the sale of the securities clearing businesses, approximated the Company’s carrying value of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 In the first quarter of 2005, the Company recorded a net loss on the sale of discontinued operations of $0.4 million, net of related income taxes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$48.7 million. The higher income tax expense on the sale of the securities clearing operations was primarily due to a significantly lower tax basis than book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discontinued operations resulting primarily from a tax free exchange in the Company’s initial purchase of one of the companies included in discontinued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The stock purchase agreement provided that the Company retain the liability associated with the SEC investigation of the Company’s former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subsidiary, Fiserv Securities, Inc. (“FSI”). In the second quarter of 2005, FSI settled with the SEC on this matter for $15.0 million which was fully accrued for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2004 financial statements.</w:t>
      </w:r>
    </w:p>
    <w:p>
      <w:pPr>
        <w:spacing w:after="0" w:line="151" w:lineRule="exact"/>
        <w:rPr>
          <w:sz w:val="20"/>
          <w:szCs w:val="20"/>
          <w:color w:val="auto"/>
        </w:rPr>
      </w:pPr>
    </w:p>
    <w:p>
      <w:pPr>
        <w:jc w:val="both"/>
        <w:ind w:right="480"/>
        <w:spacing w:after="0" w:line="335" w:lineRule="auto"/>
        <w:rPr>
          <w:sz w:val="20"/>
          <w:szCs w:val="20"/>
          <w:color w:val="auto"/>
        </w:rPr>
      </w:pPr>
      <w:r>
        <w:rPr>
          <w:rFonts w:ascii="Arial" w:cs="Arial" w:eastAsia="Arial" w:hAnsi="Arial"/>
          <w:sz w:val="15"/>
          <w:szCs w:val="15"/>
          <w:color w:val="auto"/>
        </w:rPr>
        <w:t>During the third quarter of 2005, the Company received an indemnification notice under the stock purchase agreement regarding FSI’s past maintenance of certain documentation related to FSI’s introducing broker dealers’ customers. The Company continues to investigate this matter and is unable to estimate or predict the ultimate outcome or determine whether this matter will have a material adverse impact on the Company’s discontinued operations’ results.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 NET</w:t>
      </w:r>
    </w:p>
    <w:p>
      <w:pPr>
        <w:spacing w:after="0" w:line="8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Interest expense increased in the first quarter of 2006 as compared to the first quarter of 2005 due to rising interest rates and increased average borrowings outstanding.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REALIZED GAIN FROM SALE OF INVESTMENT</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the first quarter of 2005, the Company recorded a pre-tax realized gain of $43.5 million, or $0.14 per share after tax, from the sale of its remaining ownership of 3.2 million shares of Bisys Group, Inc.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8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effective income tax rate on continuing operations was 37.8% in the first quarter of 2006 and 38.7% in the first quarter of 2005. The income tax rate on continuing operations for the remainder of 2006 is expected to be 38.5%.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 - DILUTED</w:t>
      </w:r>
    </w:p>
    <w:p>
      <w:pPr>
        <w:spacing w:after="0" w:line="8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Net income per share-diluted for the first quarter of 2006 was $0.64 compared to $0.71 in the first quarter of 2005. The $0.64 for the first quarter of 2006 included $0.05 in share-based compensation recognized as a result of the prospective adoption of SFAS 123R. Total share based compensation included in the first quarter of 2005 was only $0.8 million as the prospective method of adoption does not restate prior periods for share-based compensation expense. In addition, the $0.71 in net income per share-diluted for the first quarter of 2005 included $0.14 per share due to the one-time realized gain on the sale of the Company’s investment in Bisys Group, Inc.</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Historically, the Company’s growth has been accomplished, to a significant degree, through the acquisition of businesses that are complementary to its operations. Management believes that a number of acquisition candidates are available that would further enhance the Company’s competitive position and plans to pursue them vigorously. Management is engaged in an ongoing program to reduce expenses related to acquisitions and existing operations by eliminating operating redundancies. The Company’s approach has been to move slowly in achieving this goal in order to minimize the amount of disruption experienced by its clients and the potential loss of clients due to this program.</w:t>
      </w:r>
    </w:p>
    <w:p>
      <w:pPr>
        <w:sectPr>
          <w:pgSz w:w="11900" w:h="16838" w:orient="portrait"/>
          <w:cols w:equalWidth="0" w:num="1">
            <w:col w:w="11420"/>
          </w:cols>
          <w:pgMar w:left="240" w:top="459" w:right="239" w:bottom="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019"/>
          </w:cols>
          <w:pgMar w:left="1440" w:top="280"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Free cash flow is measured as net cash provided by operating activities from continuing operations less capital expenditures including capitalization of software costs for external customers, as reported in the Company’s condensed consolidated statements of cash flows. Free cash flow is a non-GAAP financial measure that the Company believes is useful to investors because it provides another measure of available cash flow after the Company has satisfied the capital requirements of its operations. The following table summarizes free cash flow for the Company during the three month periods ended March 31:</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jc w:val="right"/>
              <w:ind w:right="37"/>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08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080" w:type="dxa"/>
            <w:vAlign w:val="bottom"/>
            <w:gridSpan w:val="3"/>
            <w:vMerge w:val="continue"/>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$190.5</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Capital expenditures, including capitalization of software costs for external customers</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(47.2)</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$143.3</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34734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Free cash flow increased by $40.0 million in the first quarter of 2006 compared to the first quarter of 2005 primarily due to improved cash collections on accounts receivable during the quarter ended March 31, 2006. Free cash flow was negatively impacted in the first quarters of 2006 and 2005 by the Company’s annual 401(k) contributions of approximately $50 million and $41 million, respectively. In the first quarter of 2006, the Company used its free cash flow of $143.3 million and borrowings under its credit facility to repurchase $228.9 million of stock (approximately 3% of shares outstanding) under its share repurchase program.</w:t>
      </w:r>
    </w:p>
    <w:p>
      <w:pPr>
        <w:spacing w:after="0" w:line="1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Long-term debt as of March 31, 2006 included $479.9 million borrowed under the Company’s $900.0 million revolving credit facility that matures on March 24, 2011. The Company may increase the maximum aggregate amount of availability under the revolving credit facility to up to $1,250.0 million at the Company’s discretion, subject to certain conditions, which include, among other things, the absence of any default under the credit agreement. The Company must, among other requirements under the facility, limit its total debt to no more than three and one-half times the Company’s earnings before interest, taxes, depreciation and amortization. At March 31, 2006, the Company had $757.9 million of long-term debt. The Company was in compliance with all debt covenants as of March 31, 2006.</w:t>
      </w:r>
    </w:p>
    <w:p>
      <w:pPr>
        <w:spacing w:after="0" w:line="1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current policy is to retain earnings to support future business opportunities, rather than to pay dividends. During the third quarter of 2005, the Company’s Board of Directors authorized the repurchase of 10.0 million shares of the Company’s common stock. The Company completed repurchases under this authorization during the first quarter of 2006. In the first quarter of 2006, the Board of Directors authorized the repurchase of up to an additional 10.0 million shares of the Company’s common stock. During the first quarter of 2006, the Company repurchased 5.4 million shares for $228.9 million and as of March 31, 2006, 7.7 million shares remained authorized for repurchase under the current authorization. Shares repurchased under the existing stock repurchase plan are made through open market transactions as market conditions warrant. Shares acquired have historically been held for issuance in connection with acquisitions and employee stock option and purchase plans.</w:t>
      </w:r>
    </w:p>
    <w:p>
      <w:pPr>
        <w:spacing w:after="0" w:line="10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believes that its cash flow from operations together with other available sources of funds will be adequate to meet its operating requirements, debt repayments, contingent payments in connection with business acquisitions and ordinary capital spending needs in 2006. At March 31, 2006, the Company had $424.2 million available for borrowing and $204.8 million in cash and cash equivalents. In the event that the Company makes significant future acquisitions, however, it may raise funds through additional borrowings or the issuance of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Company’s quantitative and qualitative disclosures about market risk are incorporated by reference to Item 7A of the Company’s Annual Report on Form 10-K for the year ended December 31, 2005 and have not materially changed since that report was filed.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7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As required by Rule 13a-15(b) under the Securities Exchange Act of 1934 (the “Exchange Act”), management, with the participation of the Company’s chief executive officer and chief financial officer, evaluated the design and operation of the Company’s disclosure controls and procedures (as defined in Rules 13a-15(e) and 15d-15(e) under the Exchange Act). Based on this evaluation, the Company’s chief executive officer and chief financial officer concluded that the Company’s disclosure controls and procedures were effective as of March 31, 2006.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7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that occurred during the quarter ended March 31, 2006 that has materially affected, or is reasonably likely to materially affect, the Company’s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with respect to purchases made by or on behalf of the Company or any “affiliated purchaser” (as defined in Rule 10b-18(a)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 under the Securities Exchange Act of 1934) of shares of Company common stock during the three months ended March 31, 2006: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 Number of</w:t>
            </w: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Shares</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Announced</w:t>
            </w: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Plans or</w:t>
            </w: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74"/>
        </w:trPr>
        <w:tc>
          <w:tcPr>
            <w:tcW w:w="708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Programs (1)</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Programs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1 - 31, 2006</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1,481,900</w:t>
            </w:r>
          </w:p>
        </w:tc>
        <w:tc>
          <w:tcPr>
            <w:tcW w:w="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44.18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1,481,900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1,569,385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February 1 - 28, 2006</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1,769,385</w:t>
            </w:r>
          </w:p>
        </w:tc>
        <w:tc>
          <w:tcPr>
            <w:tcW w:w="4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41.91</w:t>
            </w:r>
          </w:p>
        </w:tc>
        <w:tc>
          <w:tcPr>
            <w:tcW w:w="960" w:type="dxa"/>
            <w:vAlign w:val="bottom"/>
          </w:tcPr>
          <w:p>
            <w:pPr>
              <w:jc w:val="right"/>
              <w:spacing w:after="0"/>
              <w:rPr>
                <w:sz w:val="20"/>
                <w:szCs w:val="20"/>
                <w:color w:val="auto"/>
              </w:rPr>
            </w:pPr>
            <w:r>
              <w:rPr>
                <w:rFonts w:ascii="Arial" w:cs="Arial" w:eastAsia="Arial" w:hAnsi="Arial"/>
                <w:sz w:val="18"/>
                <w:szCs w:val="18"/>
                <w:color w:val="auto"/>
              </w:rPr>
              <w:t>1,769,385</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1 - 31, 2006</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2,116,413</w:t>
            </w:r>
          </w:p>
        </w:tc>
        <w:tc>
          <w:tcPr>
            <w:tcW w:w="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42.18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2,116,413</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5,367,698</w:t>
            </w:r>
          </w:p>
        </w:tc>
        <w:tc>
          <w:tcPr>
            <w:tcW w:w="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42.64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5,367,698</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-172720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-172720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-172720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-172720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right="20" w:hanging="452"/>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July 2005, the Company’s Board of Directors authorized the repurchase of 10.0 million shares of the Company’s common stock. The Company completed repurchases under this authorization in the first quarter of 2006. On February 21, 2006, the Board of Directors authorized the repurchase of up to 10.0 million additional shares of the Company’s common stock. As of March 31, 2006, the Company had the authority to repurchase 7,683,587 shares under that program. The repurchase authorization does not expire.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exhibit index are filed as part of this Quarterly Report on Form 10-Q.</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Fiserv,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83820</wp:posOffset>
            </wp:positionV>
            <wp:extent cx="37045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April 28, 2006</w:t>
      </w:r>
      <w:r>
        <w:rPr>
          <w:sz w:val="20"/>
          <w:szCs w:val="20"/>
          <w:color w:val="auto"/>
        </w:rPr>
        <w:tab/>
      </w:r>
      <w:r>
        <w:rPr>
          <w:rFonts w:ascii="Arial" w:cs="Arial" w:eastAsia="Arial" w:hAnsi="Arial"/>
          <w:sz w:val="16"/>
          <w:szCs w:val="16"/>
          <w:color w:val="auto"/>
        </w:rPr>
        <w:t>By:  /s/ Kenneth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34734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KENNETH R. JENSEN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Executive Vice President, Chief</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Financial Officer, Treasurer and Assistant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060"/>
          </w:cols>
          <w:pgMar w:left="240" w:top="459" w:right="59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4114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66294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29400"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480" w:space="500"/>
            <w:col w:w="10080"/>
          </w:cols>
          <w:pgMar w:left="240" w:top="459" w:right="599" w:bottom="1440" w:gutter="0" w:footer="0" w:header="0"/>
          <w:type w:val="continuous"/>
        </w:sectPr>
      </w:pPr>
    </w:p>
    <w:p>
      <w:pPr>
        <w:spacing w:after="0" w:line="98" w:lineRule="exact"/>
        <w:rPr>
          <w:sz w:val="20"/>
          <w:szCs w:val="20"/>
          <w:color w:val="auto"/>
        </w:rPr>
      </w:pPr>
    </w:p>
    <w:p>
      <w:pPr>
        <w:jc w:val="both"/>
        <w:ind w:left="980" w:hanging="757"/>
        <w:spacing w:after="0" w:line="259" w:lineRule="auto"/>
        <w:tabs>
          <w:tab w:leader="none" w:pos="9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Credit Agreement, dated as of March 24, 2006, among Fiserv, Inc., certain foreign subsidiaries thereof from time to time parties thereto and the financial institutions parties thereto (filed as Exhibit 4 to the Company’s Current Report on Form 8-K, dated March 24, 2006 and incorporated herein by reference (File No. 000-14948))</w:t>
      </w:r>
    </w:p>
    <w:p>
      <w:pPr>
        <w:spacing w:after="0" w:line="86" w:lineRule="exact"/>
        <w:rPr>
          <w:sz w:val="20"/>
          <w:szCs w:val="20"/>
          <w:color w:val="auto"/>
        </w:rPr>
      </w:pPr>
    </w:p>
    <w:p>
      <w:pPr>
        <w:ind w:left="180"/>
        <w:spacing w:after="0"/>
        <w:tabs>
          <w:tab w:leader="none" w:pos="9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Amendment to Employee Restricted Stock Agreement, dated March 30, 2006, between Fiserv, Inc. and Jeffery W. Yabuki</w:t>
      </w:r>
    </w:p>
    <w:p>
      <w:pPr>
        <w:spacing w:after="0" w:line="117" w:lineRule="exact"/>
        <w:rPr>
          <w:sz w:val="20"/>
          <w:szCs w:val="20"/>
          <w:color w:val="auto"/>
        </w:rPr>
      </w:pPr>
    </w:p>
    <w:p>
      <w:pPr>
        <w:ind w:left="180"/>
        <w:spacing w:after="0"/>
        <w:tabs>
          <w:tab w:leader="none" w:pos="9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dated April 28, 2006</w:t>
      </w:r>
    </w:p>
    <w:p>
      <w:pPr>
        <w:spacing w:after="0" w:line="117" w:lineRule="exact"/>
        <w:rPr>
          <w:sz w:val="20"/>
          <w:szCs w:val="20"/>
          <w:color w:val="auto"/>
        </w:rPr>
      </w:pPr>
    </w:p>
    <w:p>
      <w:pPr>
        <w:ind w:left="180"/>
        <w:spacing w:after="0"/>
        <w:tabs>
          <w:tab w:leader="none" w:pos="9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dated April 28, 2006</w:t>
      </w:r>
    </w:p>
    <w:p>
      <w:pPr>
        <w:spacing w:after="0" w:line="117" w:lineRule="exact"/>
        <w:rPr>
          <w:sz w:val="20"/>
          <w:szCs w:val="20"/>
          <w:color w:val="auto"/>
        </w:rPr>
      </w:pPr>
    </w:p>
    <w:p>
      <w:pPr>
        <w:ind w:left="5620" w:right="3500" w:hanging="5376"/>
        <w:spacing w:after="0" w:line="440" w:lineRule="auto"/>
        <w:tabs>
          <w:tab w:leader="none" w:pos="974"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Certification of the Chief Executive Officer and Chief Financial Officer, dated April 28, 2006 14</w:t>
      </w:r>
    </w:p>
    <w:p>
      <w:pPr>
        <w:sectPr>
          <w:pgSz w:w="11900" w:h="16838" w:orient="portrait"/>
          <w:cols w:equalWidth="0" w:num="1">
            <w:col w:w="11060"/>
          </w:cols>
          <w:pgMar w:left="240" w:top="459" w:right="59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10.1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FISERV,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EMPLOYEE RESTRICTED STOCK AGREEMENT</w:t>
      </w:r>
    </w:p>
    <w:p>
      <w:pPr>
        <w:spacing w:after="0" w:line="164" w:lineRule="exact"/>
        <w:rPr>
          <w:sz w:val="20"/>
          <w:szCs w:val="20"/>
          <w:color w:val="auto"/>
        </w:rPr>
      </w:pPr>
    </w:p>
    <w:p>
      <w:pPr>
        <w:spacing w:after="0"/>
        <w:tabs>
          <w:tab w:leader="none" w:pos="8980" w:val="left"/>
        </w:tabs>
        <w:rPr>
          <w:sz w:val="20"/>
          <w:szCs w:val="20"/>
          <w:color w:val="auto"/>
        </w:rPr>
      </w:pPr>
      <w:r>
        <w:rPr>
          <w:rFonts w:ascii="Arial" w:cs="Arial" w:eastAsia="Arial" w:hAnsi="Arial"/>
          <w:sz w:val="18"/>
          <w:szCs w:val="18"/>
          <w:color w:val="auto"/>
        </w:rPr>
        <w:t>Employee: Jeffery W. Yabuki</w:t>
      </w:r>
      <w:r>
        <w:rPr>
          <w:sz w:val="20"/>
          <w:szCs w:val="20"/>
          <w:color w:val="auto"/>
        </w:rPr>
        <w:tab/>
      </w:r>
      <w:r>
        <w:rPr>
          <w:rFonts w:ascii="Arial" w:cs="Arial" w:eastAsia="Arial" w:hAnsi="Arial"/>
          <w:sz w:val="16"/>
          <w:szCs w:val="16"/>
          <w:color w:val="auto"/>
        </w:rPr>
        <w:t>Date: March 30, 2006</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Number of Shares of Common Stock Subject To This Agreement: 52,849</w:t>
      </w:r>
    </w:p>
    <w:p>
      <w:pPr>
        <w:spacing w:after="0" w:line="15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On December 1, 2005, pursuant to the Fiserv, Inc. Stock Option and Restricted Stock Plan (the “Plan”), the Compensation Committee of the Board of Directors (the “Committee”) of Fiserv, Inc. (the “Company”) awarded you the number of shares of the Company’s Common Stock, $.01 par value (the “Common Stock”), set forth above (the “Restricted Stock”). On February 20, 2006 and March 30, 2006, the Committee determined to establish performance goals pursuant to the Plan in respect of your award. The Company and you have agreed to this amendment and restatement of Section 2 of your Employee Restricted Stock Award Agreement dated December 1, 2005 (“Amendment”) as follows:</w:t>
      </w:r>
    </w:p>
    <w:p>
      <w:pPr>
        <w:spacing w:after="0" w:line="15" w:lineRule="exact"/>
        <w:rPr>
          <w:sz w:val="20"/>
          <w:szCs w:val="20"/>
          <w:color w:val="auto"/>
        </w:rPr>
      </w:pPr>
    </w:p>
    <w:p>
      <w:pPr>
        <w:ind w:left="900" w:right="20" w:hanging="439"/>
        <w:spacing w:after="0" w:line="287" w:lineRule="auto"/>
        <w:tabs>
          <w:tab w:leader="none" w:pos="88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b w:val="1"/>
          <w:bCs w:val="1"/>
          <w:u w:val="single" w:color="auto"/>
          <w:color w:val="auto"/>
        </w:rPr>
        <w:t>Restrictions</w:t>
      </w:r>
      <w:r>
        <w:rPr>
          <w:rFonts w:ascii="Arial" w:cs="Arial" w:eastAsia="Arial" w:hAnsi="Arial"/>
          <w:sz w:val="16"/>
          <w:szCs w:val="16"/>
          <w:color w:val="auto"/>
        </w:rPr>
        <w:t>. Except as otherwise provided herein, Restricted Stock may not be sold, transferred, pledged, assigned, encumbered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alienated or hypothecated until the date of release (the “Release Date”) determined as follows: the Release Date with respect to 100% of the shares of Restricted Stock shall be the third anniversary of the Award Date; provided, that the “2006 Earnings Per Share — Diluted” (as defined in the Fiserv, Inc. Performance Goals for Calendar Year 2006 under the Fiserv, Inc. Executive Incentive Compensation Plan (as amended and restated as of February 16, 2005) and under the Fiserv, Inc. Stock Option and Restricted Stock Plan (as amended and restated as of February 16, 2005)) or “2007 Earnings Per Share – Diluted” (which shall be calculated in the same manner as the “2006 Earnings Per Share –Diluted,” substituting 2007 for 2006) shall be greater than or equal to such amount established by the Committee and communicated to you prior to March 31, 2006 (“Performance Target”). For the avoidance of any doubt, if each of the “2006 Earnings Per Share — Diluted” and the “2007 Earnings Per Share – Diluted” as certified by the Committee following the close of each of 2006 and 2007 is less than Performance Target amount, then all Restricted Stock hereunder for which a Release Date has not occurred shall be forfeited on the date of such certification with respect to the “2007 Earnings Per Share –Diluted.” Notwithstanding anything to the contrary herein, the Committee, in its sole discretion, may at any time accelerate the Release Date with respect to the Restricted Stock or a portion of the Restricted Stock.</w:t>
      </w:r>
    </w:p>
    <w:p>
      <w:pPr>
        <w:spacing w:after="0" w:line="26"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On the applicable Release Date as determined in this Section, that portion of Restricted Stock shall become free of the restrictions above and, subject to Section 4, be freely transferable by you.”</w:t>
      </w:r>
    </w:p>
    <w:p>
      <w:pPr>
        <w:sectPr>
          <w:pgSz w:w="11900" w:h="16838" w:orient="portrait"/>
          <w:cols w:equalWidth="0" w:num="1">
            <w:col w:w="11420"/>
          </w:cols>
          <w:pgMar w:left="240" w:top="125" w:right="239" w:bottom="1440" w:gutter="0" w:footer="0" w:header="0"/>
        </w:sectPr>
      </w:pPr>
    </w:p>
    <w:bookmarkStart w:id="20" w:name="page21"/>
    <w:bookmarkEnd w:id="2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otherwise amended hereby, your Employee Restricted Stock Award Agreement dated December 1, 2005 shall remain in full force and effect in accordance with its terms.</w:t>
      </w:r>
    </w:p>
    <w:p>
      <w:pPr>
        <w:spacing w:after="0" w:line="118"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0"/>
          </w:cols>
          <w:pgMar w:left="240" w:top="280" w:right="899" w:bottom="1440" w:gutter="0" w:footer="0" w:header="0"/>
        </w:sectPr>
      </w:pPr>
    </w:p>
    <w:bookmarkStart w:id="21" w:name="page22"/>
    <w:bookmarkEnd w:id="2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acknowledge acceptance of this Amendment by signing the enclosed copy of this Amendment in the space provided below and returning it promptly to Corporate Finance.</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FISERV,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Kenneth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Kenneth R. Jensen, Sr. Executive Vice President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and Agreed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Jeffery W. Yabuki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Jeffery W. Yabuki</w:t>
      </w:r>
    </w:p>
    <w:p>
      <w:pPr>
        <w:sectPr>
          <w:pgSz w:w="11900" w:h="16838" w:orient="portrait"/>
          <w:cols w:equalWidth="0" w:num="1">
            <w:col w:w="11140"/>
          </w:cols>
          <w:pgMar w:left="240" w:top="280" w:right="5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Jeffery W. Yabuki, certify that:</w:t>
      </w:r>
    </w:p>
    <w:p>
      <w:pPr>
        <w:spacing w:after="0" w:line="77"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157" w:lineRule="exact"/>
        <w:rPr>
          <w:rFonts w:ascii="Arial" w:cs="Arial" w:eastAsia="Arial" w:hAnsi="Arial"/>
          <w:sz w:val="18"/>
          <w:szCs w:val="18"/>
          <w:color w:val="auto"/>
        </w:rPr>
      </w:pPr>
    </w:p>
    <w:p>
      <w:pPr>
        <w:ind w:right="240" w:firstLine="8"/>
        <w:spacing w:after="0" w:line="370" w:lineRule="auto"/>
        <w:tabs>
          <w:tab w:leader="none" w:pos="176"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8" w:lineRule="exact"/>
        <w:rPr>
          <w:rFonts w:ascii="Arial" w:cs="Arial" w:eastAsia="Arial" w:hAnsi="Arial"/>
          <w:sz w:val="15"/>
          <w:szCs w:val="15"/>
          <w:color w:val="auto"/>
        </w:rPr>
      </w:pPr>
    </w:p>
    <w:p>
      <w:pPr>
        <w:ind w:right="320" w:firstLine="8"/>
        <w:spacing w:after="0" w:line="332" w:lineRule="auto"/>
        <w:tabs>
          <w:tab w:leader="none" w:pos="17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right="180" w:firstLine="8"/>
        <w:spacing w:after="0" w:line="259" w:lineRule="auto"/>
        <w:tabs>
          <w:tab w:leader="none" w:pos="17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240" w:right="160" w:hanging="4"/>
        <w:spacing w:after="0" w:line="259" w:lineRule="auto"/>
        <w:tabs>
          <w:tab w:leader="none" w:pos="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5" w:lineRule="exact"/>
        <w:rPr>
          <w:rFonts w:ascii="Arial" w:cs="Arial" w:eastAsia="Arial" w:hAnsi="Arial"/>
          <w:sz w:val="18"/>
          <w:szCs w:val="18"/>
          <w:color w:val="auto"/>
        </w:rPr>
      </w:pPr>
    </w:p>
    <w:p>
      <w:pPr>
        <w:jc w:val="both"/>
        <w:ind w:left="240" w:right="320" w:hanging="4"/>
        <w:spacing w:after="0" w:line="259" w:lineRule="auto"/>
        <w:tabs>
          <w:tab w:leader="none" w:pos="43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240" w:right="140" w:hanging="4"/>
        <w:spacing w:after="0" w:line="268" w:lineRule="auto"/>
        <w:tabs>
          <w:tab w:leader="none" w:pos="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8"/>
          <w:szCs w:val="18"/>
          <w:color w:val="auto"/>
        </w:rPr>
      </w:pPr>
    </w:p>
    <w:p>
      <w:pPr>
        <w:ind w:left="240" w:right="60" w:hanging="4"/>
        <w:spacing w:after="0" w:line="325" w:lineRule="auto"/>
        <w:tabs>
          <w:tab w:leader="none" w:pos="430"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right="80" w:firstLine="8"/>
        <w:spacing w:after="0" w:line="268" w:lineRule="auto"/>
        <w:tabs>
          <w:tab w:leader="none" w:pos="17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7" w:lineRule="exact"/>
        <w:rPr>
          <w:rFonts w:ascii="Arial" w:cs="Arial" w:eastAsia="Arial" w:hAnsi="Arial"/>
          <w:sz w:val="18"/>
          <w:szCs w:val="18"/>
          <w:color w:val="auto"/>
        </w:rPr>
      </w:pPr>
    </w:p>
    <w:p>
      <w:pPr>
        <w:ind w:left="240" w:right="320" w:hanging="4"/>
        <w:spacing w:after="0" w:line="268" w:lineRule="auto"/>
        <w:tabs>
          <w:tab w:leader="none" w:pos="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240" w:right="540" w:hanging="4"/>
        <w:spacing w:after="0" w:line="268" w:lineRule="auto"/>
        <w:tabs>
          <w:tab w:leader="none" w:pos="43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April 28, 2006</w:t>
      </w:r>
      <w:r>
        <w:rPr>
          <w:sz w:val="20"/>
          <w:szCs w:val="20"/>
          <w:color w:val="auto"/>
        </w:rPr>
        <w:tab/>
      </w:r>
      <w:r>
        <w:rPr>
          <w:rFonts w:ascii="Arial" w:cs="Arial" w:eastAsia="Arial" w:hAnsi="Arial"/>
          <w:sz w:val="16"/>
          <w:szCs w:val="16"/>
          <w:color w:val="auto"/>
        </w:rPr>
        <w:t>By:  /s/ Jeffery W. Yabuki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34734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JEFFERY W. YABUKI</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Kenneth R. Jensen, certify that:</w:t>
      </w:r>
    </w:p>
    <w:p>
      <w:pPr>
        <w:spacing w:after="0" w:line="7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157" w:lineRule="exact"/>
        <w:rPr>
          <w:rFonts w:ascii="Arial" w:cs="Arial" w:eastAsia="Arial" w:hAnsi="Arial"/>
          <w:sz w:val="18"/>
          <w:szCs w:val="18"/>
          <w:color w:val="auto"/>
        </w:rPr>
      </w:pPr>
    </w:p>
    <w:p>
      <w:pPr>
        <w:ind w:right="240" w:firstLine="8"/>
        <w:spacing w:after="0" w:line="370" w:lineRule="auto"/>
        <w:tabs>
          <w:tab w:leader="none" w:pos="176"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8" w:lineRule="exact"/>
        <w:rPr>
          <w:rFonts w:ascii="Arial" w:cs="Arial" w:eastAsia="Arial" w:hAnsi="Arial"/>
          <w:sz w:val="15"/>
          <w:szCs w:val="15"/>
          <w:color w:val="auto"/>
        </w:rPr>
      </w:pPr>
    </w:p>
    <w:p>
      <w:pPr>
        <w:ind w:right="320" w:firstLine="8"/>
        <w:spacing w:after="0" w:line="332" w:lineRule="auto"/>
        <w:tabs>
          <w:tab w:leader="none" w:pos="17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right="180" w:firstLine="8"/>
        <w:spacing w:after="0" w:line="259" w:lineRule="auto"/>
        <w:tabs>
          <w:tab w:leader="none" w:pos="17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240" w:right="160" w:hanging="4"/>
        <w:spacing w:after="0" w:line="259" w:lineRule="auto"/>
        <w:tabs>
          <w:tab w:leader="none" w:pos="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5" w:lineRule="exact"/>
        <w:rPr>
          <w:rFonts w:ascii="Arial" w:cs="Arial" w:eastAsia="Arial" w:hAnsi="Arial"/>
          <w:sz w:val="18"/>
          <w:szCs w:val="18"/>
          <w:color w:val="auto"/>
        </w:rPr>
      </w:pPr>
    </w:p>
    <w:p>
      <w:pPr>
        <w:jc w:val="both"/>
        <w:ind w:left="240" w:right="320" w:hanging="4"/>
        <w:spacing w:after="0" w:line="259" w:lineRule="auto"/>
        <w:tabs>
          <w:tab w:leader="none" w:pos="43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240" w:right="140" w:hanging="4"/>
        <w:spacing w:after="0" w:line="268" w:lineRule="auto"/>
        <w:tabs>
          <w:tab w:leader="none" w:pos="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8"/>
          <w:szCs w:val="18"/>
          <w:color w:val="auto"/>
        </w:rPr>
      </w:pPr>
    </w:p>
    <w:p>
      <w:pPr>
        <w:ind w:left="240" w:right="60" w:hanging="4"/>
        <w:spacing w:after="0" w:line="325" w:lineRule="auto"/>
        <w:tabs>
          <w:tab w:leader="none" w:pos="430"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right="80" w:firstLine="8"/>
        <w:spacing w:after="0" w:line="268" w:lineRule="auto"/>
        <w:tabs>
          <w:tab w:leader="none" w:pos="17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7" w:lineRule="exact"/>
        <w:rPr>
          <w:rFonts w:ascii="Arial" w:cs="Arial" w:eastAsia="Arial" w:hAnsi="Arial"/>
          <w:sz w:val="18"/>
          <w:szCs w:val="18"/>
          <w:color w:val="auto"/>
        </w:rPr>
      </w:pPr>
    </w:p>
    <w:p>
      <w:pPr>
        <w:ind w:left="240" w:right="320" w:hanging="4"/>
        <w:spacing w:after="0" w:line="268" w:lineRule="auto"/>
        <w:tabs>
          <w:tab w:leader="none" w:pos="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240" w:right="540" w:hanging="4"/>
        <w:spacing w:after="0" w:line="268" w:lineRule="auto"/>
        <w:tabs>
          <w:tab w:leader="none" w:pos="43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April 28, 2006</w:t>
      </w:r>
      <w:r>
        <w:rPr>
          <w:sz w:val="20"/>
          <w:szCs w:val="20"/>
          <w:color w:val="auto"/>
        </w:rPr>
        <w:tab/>
      </w:r>
      <w:r>
        <w:rPr>
          <w:rFonts w:ascii="Arial" w:cs="Arial" w:eastAsia="Arial" w:hAnsi="Arial"/>
          <w:sz w:val="16"/>
          <w:szCs w:val="16"/>
          <w:color w:val="auto"/>
        </w:rPr>
        <w:t>By:  /s/ Kenneth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34734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KENNETH R. JENSEN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Executive Vice President, Chief</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Financial Officer, Treasurer and Assistant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connection with the Quarterly Report on Form 10-Q of Fiserv, Inc. (the “Company”) for the quarter ended March 31, 2006 as filed with the Securities and Exchange Commission on the date hereof (the “Report”), Jeffery W. Yabuki, as President and Chief Executive Officer of the Company, and Kenneth R. Jensen, as Senior Executive Vice President, Chief Financial Officer, Treasurer and Assistant Secretary of the Company, each hereby certify, pursuant to 18 U.S.C. § 1350, as adopted pursuant to § 906 of the Sarbanes-Oxley Act of 2002, that to the best of his knowledge:</w:t>
      </w:r>
    </w:p>
    <w:p>
      <w:pPr>
        <w:spacing w:after="0" w:line="18"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Jeffery W. Yabuki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JEFFERY W. YABUKI</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April 28, 2006</w:t>
      </w:r>
    </w:p>
    <w:p>
      <w:pPr>
        <w:spacing w:after="0" w:line="2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Kenneth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KENNETH R. JENSEN</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April 28,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32"/>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2019-12-13T16:53:39Z</dcterms:created>
  <dcterms:modified xsi:type="dcterms:W3CDTF">2019-12-13T16:53:39Z</dcterms:modified>
</cp:coreProperties>
</file>