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20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8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27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304165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329565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3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7"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18, 2025, there were 543,593,180 shares of common stock, $0.01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334645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360045</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20" w:type="dxa"/>
            <w:vAlign w:val="bottom"/>
            <w:tcBorders>
              <w:top w:val="single" w:sz="8" w:color="0000FF"/>
            </w:tcBorders>
          </w:tcPr>
          <w:p>
            <w:pPr>
              <w:spacing w:after="0"/>
              <w:rPr>
                <w:sz w:val="24"/>
                <w:szCs w:val="24"/>
                <w:color w:val="auto"/>
              </w:rPr>
            </w:pPr>
          </w:p>
        </w:tc>
        <w:tc>
          <w:tcPr>
            <w:tcW w:w="76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10"/>
          </w:tcPr>
          <w:p>
            <w:pPr>
              <w:spacing w:after="0"/>
              <w:rPr>
                <w:sz w:val="18"/>
                <w:szCs w:val="18"/>
                <w:color w:val="auto"/>
              </w:rPr>
            </w:pPr>
          </w:p>
        </w:tc>
        <w:tc>
          <w:tcPr>
            <w:tcW w:w="502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2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5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13"/>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(gain) on sale of other assets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loss from investments in unconsolidated affiliates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investments in unconsolidated affiliates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0" w:type="dxa"/>
            <w:vAlign w:val="bottom"/>
          </w:tcPr>
          <w:p>
            <w:pPr>
              <w:spacing w:after="0"/>
              <w:rPr>
                <w:sz w:val="1"/>
                <w:szCs w:val="1"/>
                <w:color w:val="auto"/>
              </w:rPr>
            </w:pPr>
          </w:p>
        </w:tc>
      </w:tr>
      <w:tr>
        <w:trPr>
          <w:trHeight w:val="162"/>
        </w:trPr>
        <w:tc>
          <w:tcPr>
            <w:tcW w:w="5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attributable to noncontrolling interests and redeemable</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25"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$20 million and $36 million for the three months ended June 30, 2025 and 2024, respectively, and $56 million and $76 million for the six months ended June 30, 2025 and 2024, respectively (see Note 19).</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26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6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4"/>
        </w:trPr>
        <w:tc>
          <w:tcPr>
            <w:tcW w:w="56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(gains) on cash flow</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cost of processing and services</w:t>
            </w:r>
          </w:p>
        </w:tc>
        <w:tc>
          <w:tcPr>
            <w:tcW w:w="8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4"/>
        </w:trPr>
        <w:tc>
          <w:tcPr>
            <w:tcW w:w="56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net interest expense</w:t>
            </w: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82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on defined benefit pension plans (see Note 1)</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defined benefit pension plans</w:t>
            </w:r>
          </w:p>
        </w:tc>
        <w:tc>
          <w:tcPr>
            <w:tcW w:w="8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 impacts of foreign currency translation</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1,392</w:t>
            </w:r>
          </w:p>
        </w:tc>
        <w:tc>
          <w:tcPr>
            <w:tcW w:w="80" w:type="dxa"/>
            <w:vAlign w:val="bottom"/>
          </w:tcPr>
          <w:p>
            <w:pPr>
              <w:spacing w:after="0"/>
              <w:rPr>
                <w:sz w:val="19"/>
                <w:szCs w:val="19"/>
                <w:color w:val="auto"/>
              </w:rPr>
            </w:pPr>
          </w:p>
        </w:tc>
        <w:tc>
          <w:tcPr>
            <w:tcW w:w="8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184"/>
        </w:trPr>
        <w:tc>
          <w:tcPr>
            <w:tcW w:w="56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84"/>
        </w:trPr>
        <w:tc>
          <w:tcPr>
            <w:tcW w:w="56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5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interests</w:t>
            </w: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1,312</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64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assets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36,584</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costs,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81,531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77,176</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23,730</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212"/>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49,490</w:t>
            </w:r>
          </w:p>
        </w:tc>
      </w:tr>
      <w:tr>
        <w:trPr>
          <w:trHeight w:val="19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18)</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23,080</w:t>
            </w:r>
          </w:p>
        </w:tc>
      </w:tr>
      <w:tr>
        <w:trPr>
          <w:trHeight w:val="21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23,575</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at cost, 240 million and 220 million shares,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(18,182)</w:t>
            </w:r>
          </w:p>
        </w:tc>
      </w:tr>
      <w:tr>
        <w:trPr>
          <w:trHeight w:val="207"/>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27,068</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07"/>
        </w:trPr>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27,686</w:t>
            </w:r>
          </w:p>
        </w:tc>
      </w:tr>
      <w:tr>
        <w:trPr>
          <w:trHeight w:val="235"/>
        </w:trPr>
        <w:tc>
          <w:tcPr>
            <w:tcW w:w="7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sale of other assets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investments in unconsolidated affiliates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foreign currency exchange losses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acquisition of businesses, net of cash acquired</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Merchant cash advances, net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194"/>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 from commercial paper and short-term borrowings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debt financing costs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and redeemable noncontrolling interest</w:t>
            </w:r>
          </w:p>
        </w:tc>
        <w:tc>
          <w:tcPr>
            <w:tcW w:w="10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to acquire noncontrolling interest of consolidated subsidiary</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and six months ended June 30, 2025 and 2024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Noncontrolling interests in entities of which the Company maintains a majority controlling financial interest represent the minority shareholders’ share of the net income or loss and equity in consolidated subsidiaries. The Company’s noncontrolling interests presented in the consolidated statements of income include net income (loss) attributable to noncontrolling interests and, in 2024, redeemable noncontrolling interest. Noncontrolling interests are presented as a component of equity in the consolidated balance sheets. Additional information regarding the Company’s redeemable noncontrolling interest is included in Note 11 to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that are restricted from use due to contractual or legal restrictions are included in other long-term assets in the consolidated balance sheets.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17"/>
                <w:szCs w:val="17"/>
                <w:color w:val="auto"/>
              </w:rPr>
            </w:pP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91"/>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311"/>
        </w:trPr>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0" w:type="dxa"/>
            <w:vAlign w:val="bottom"/>
          </w:tcPr>
          <w:p>
            <w:pPr>
              <w:spacing w:after="0"/>
              <w:rPr>
                <w:sz w:val="17"/>
                <w:szCs w:val="17"/>
                <w:color w:val="auto"/>
              </w:rPr>
            </w:pPr>
          </w:p>
        </w:tc>
        <w:tc>
          <w:tcPr>
            <w:tcW w:w="51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cash flows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$72 million and $71 million at June 30, 2025 and December 31, 2024,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postage and insurance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prepaid expenses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tax receivables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Capital and other merchant cash advances, net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advance cash payments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Prepaid expenses represent advance payments for goods and services to be consumed in the future.</w:t>
      </w:r>
    </w:p>
    <w:p>
      <w:pPr>
        <w:spacing w:after="0" w:line="64"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receivables associated with transferable federal tax credits (see Note 15).</w:t>
      </w:r>
    </w:p>
    <w:p>
      <w:pPr>
        <w:spacing w:after="0" w:line="1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offers merchants advance access to capital, primarily through its Clover Capital program. Under this program, merchants sell fixed amounts of their future credit card receivables to the Company in exchange for an up-front purchase price payment. Future credit card receivables purchased by the Company under its merchant cash advance programs, including Clover Capital, were $505 million and $397 million at June 30, 2025 and December 31, 2024, respectively. The Company maintained a reserve of $28 million and $16 million at June 30, 2025 and December 31, 2024, respectively, based on an estimate of uncollectible amounts.</w:t>
      </w:r>
    </w:p>
    <w:p>
      <w:pPr>
        <w:spacing w:after="0" w:line="1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by providing them the opportunity to receive settlement cash payments in advance in exchange for their receivables from card issuers, including when cardholders have elected to pay over time in installments. These local currency denominated arrangements are primarily associated with the Company’s operations in Latin America, the most significant of which are denominated in Argentine Peso and Brazilian Real.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Certain merchant settlement assets (included within settlement receivables) that relate to settlement obligations are held by partner banks. Although the Company does not have legal ownership of these assets it has the right to use them to satisfy the related settlement obligations. The Company records settlement obligations for amounts payable to merchants and for outstanding payment instruments issued to payees that have not yet been presented for settlement.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amount of merchant collateral available to the Company was $594 million and $598 million at June 30, 2025 and December 31, 2024, respectively.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$33 million and $28 million for the three months ended June 30, 2025 and 2024, respectively, and $61 million and $53 million for the six months ended June 30, 2025 and 2024, respectively.</w:t>
      </w:r>
    </w:p>
    <w:p>
      <w:pPr>
        <w:spacing w:after="0" w:line="1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allowance includes estimated losses from anticipated chargebacks and fraud events that have been incurred on merchant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$44 million and $40 million at June 30, 2025 and December 31, 2024,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 The Company’s most recent annual impairment assessment of its reporting units in the fourth quarter of 2024 determined that its goodwill was not impaired as the estimated fair values exceeded the carrying values for each of the Company’s reporting units.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could have a future material impact on one or more of the estimates and assumptions used to evaluate goodwill impairment. There is no accumulated goodwill impairment for the Company through June 30,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of subsidiaries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including Argentina, resulted in foreign currency exchange losses of $46 million and $18 million for the three months ended June 30, 2025 and 2024, respectively, and $64 million and $53 million for the six months ended June 30, 2025 and 2024, respectively, which is included within other expense, net in the consolidated statements of income.</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as economic hedges with creditworthy institutions to limit exposure to changing interest rates and foreign currency rate fluctuations, and not to enter into such derivatives for speculative purposes. Additional information regarding the Company’s derivatives and hedging instruments is included in Note 7 to the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maintained frozen noncontributory defined benefit pension plans covering certain of its employees in the U.S. and United Kingdom (“U.K.”), which were terminated in September 2023. In March 2024, the Company entered into a group annuity insurance contract to provide for the administration of future payments to eligible plan participants of the terminated U.K. plan. In connection with the buy-in of this insurance policy, the plan’s projected benefit obligation was remeasured in the first quarter of 2024 to the value of the group annuity insurance contract, resulting in an unrecognized loss, net of tax, of approximately $63 million recorded in accumulated other comprehensive loss within the consolidated balance sheet.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settlement of the terminated plans, which was completed in the fourth quarter of 2024, the Company funded a plan termination liability shortfall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U.S. defined benefit pension plan of $20 million and recognized a non-cash pre-tax pension settlement charge for the U.S. and U.K. plans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 million. The Company received a refund, net of excise tax, of $43 million of residual surplus related to the U.K. plan in the second quarter of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310"/>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 (Topic 280)</w:t>
      </w:r>
    </w:p>
    <w:p>
      <w:pPr>
        <w:spacing w:after="0" w:line="29"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enhances and</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306" w:lineRule="exact"/>
        <w:rPr>
          <w:rFonts w:ascii="Times New Roman" w:cs="Times New Roman" w:eastAsia="Times New Roman" w:hAnsi="Times New Roman"/>
          <w:sz w:val="18"/>
          <w:szCs w:val="18"/>
          <w:i w:val="1"/>
          <w:iCs w:val="1"/>
          <w:color w:val="auto"/>
        </w:rPr>
      </w:pPr>
    </w:p>
    <w:p>
      <w:pPr>
        <w:ind w:left="5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expands the current annual and interim requirements on segment information disclosures. Under the new disclosure requirements, entities are required to disclose, on an annual and interim basis: significant segment expense categories and amounts for each reportable segment that are included in the reported measure of segment profit or loss and regularly provided to the chief operating decision maker (“CODM”); an aggregate amount and qualitative description of other segment items included in each reported measure of segment profit or loss for each reportable segment; measures of a segment’s profit or loss that are used by the CODM to assess segment performance and decide how to allocate resources; and disclosure of the title and position of the individual or the name of the group identified as the CODM. For public entities, the provisions within ASU 2023-07 are to be applied retrospectively for all comparative periods and were effective for fiscal years beginning after December 15, 2023, and for interim periods of fiscal years beginning after December 15, 2024. The Company adopted ASU 2023-07 effective for the year ended December 31, 2024, with retrospective application of the additional segment information for the years ended December 31, 2023 and 2022. Additional information regarding the Company’s reportable segments, including the application of the provisions of ASU 2023-07 for the three and six months ended June 30, 2025 and 2024, is included in Note 20 to the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In 2023, the FASB issued ASU No. 2023-09</w:t>
      </w:r>
      <w:r>
        <w:rPr>
          <w:rFonts w:ascii="Times New Roman" w:cs="Times New Roman" w:eastAsia="Times New Roman" w:hAnsi="Times New Roman"/>
          <w:sz w:val="17"/>
          <w:szCs w:val="17"/>
          <w:i w:val="1"/>
          <w:iCs w:val="1"/>
          <w:color w:val="auto"/>
        </w:rPr>
        <w:t>, Income Taxes (Topic 740) - Improvement to Income Tax Disclosures</w:t>
      </w:r>
      <w:r>
        <w:rPr>
          <w:rFonts w:ascii="Times New Roman" w:cs="Times New Roman" w:eastAsia="Times New Roman" w:hAnsi="Times New Roman"/>
          <w:sz w:val="17"/>
          <w:szCs w:val="17"/>
          <w:color w:val="auto"/>
        </w:rPr>
        <w:t xml:space="preserve"> (“ASU 2023-09”</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 2023-09 are effective for fiscal years beginning after December 15, 2024, and for interim periods of fiscal years beginning after December 15, 2025. The Company is currently assessing the impact the adoption of ASU 2023-09 will have on its consolidated financial statement disclosures.</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2024, the FASB issued ASU No. 2024-03, </w:t>
      </w:r>
      <w:r>
        <w:rPr>
          <w:rFonts w:ascii="Times New Roman" w:cs="Times New Roman" w:eastAsia="Times New Roman" w:hAnsi="Times New Roman"/>
          <w:sz w:val="18"/>
          <w:szCs w:val="18"/>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which requires disaggregation of certain expense captions into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disclosures within the footnotes to the financial statements. Under ASU 2024-03, entities will be required to disaggregate information, in tabular format, about specific natural expense categories underlying certain income statement expense line items that are considered ‘relevant’, such as purchases of inventory, employee compensation, depreciation, and intangible asset amortization. Additionally, ASU 2024-03 requires the disclosure of selling expenses, along with how an entity defines such expenses. For public entities, the provisions within ASU 2024-03 (as further clarified through ASU No.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are effective for the first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beginning after December 15, 2026, and for interim reporting periods within annual reporting periods beginning after December 15, 2027. The provisions within ASU 2024-03 are required to be applied prospectively; however, they may be applied retrospectively for all comparative periods following the effective date. The Company is currently assessing the impact the adoption of ASU 2024-03 will have on its consolidated financial statement disclosures.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operations are comprised of the Merchant and the Financial reportable segments (see Note 20). The table below presents the Company’s revenue disaggregated by business line and includes a reconciliation with its reportable segments. The Company serves its global client base by working among its geographic teams across various regions, including the U.S. and Canada; Europe, Middle East and Africa (“EMEA”); Latin America (“LATAM”); and Asia Pacific (“APAC”). The majority of the Company’s revenue is earned in the U.S., with revenue generated within its EMEA, LATAM and APAC regions comprising approximately 16% and 15% of total revenue for the three and six months ended June 30, 2025, respectively, and approximately 15% of total revenue for both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00" w:type="dxa"/>
            <w:vAlign w:val="bottom"/>
            <w:tcBorders>
              <w:top w:val="single" w:sz="8" w:color="0000FF"/>
            </w:tcBorders>
          </w:tcPr>
          <w:p>
            <w:pPr>
              <w:spacing w:after="0"/>
              <w:rPr>
                <w:sz w:val="24"/>
                <w:szCs w:val="24"/>
                <w:color w:val="auto"/>
              </w:rPr>
            </w:pPr>
          </w:p>
        </w:tc>
        <w:tc>
          <w:tcPr>
            <w:tcW w:w="3080" w:type="dxa"/>
            <w:vAlign w:val="bottom"/>
            <w:gridSpan w:val="2"/>
          </w:tcPr>
          <w:p>
            <w:pPr>
              <w:spacing w:after="0"/>
              <w:rPr>
                <w:sz w:val="24"/>
                <w:szCs w:val="24"/>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Business Line</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4"/>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Business</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Enterprise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Total Merchant Solutions segment revenue</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Payments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Issuing</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Total Financial Solutions segment revenue</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2,379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4"/>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080" w:type="dxa"/>
            <w:vAlign w:val="bottom"/>
            <w:tcBorders>
              <w:bottom w:val="single" w:sz="8" w:color="auto"/>
            </w:tcBorders>
          </w:tcPr>
          <w:p>
            <w:pPr>
              <w:jc w:val="right"/>
              <w:ind w:right="8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5,516</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5,107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10,646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bl>
    <w:p>
      <w:pPr>
        <w:spacing w:after="0" w:line="2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$544 million of revenue during the six months ended June 30, 2025 that was included in the contract liabilities balance at the beginning of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and services revenue expected to be recognized in the future related to performance obligations that were unsatisfied (or partially unsatisfied) at June 30,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bl>
    <w:p>
      <w:pPr>
        <w:spacing w:after="0" w:line="2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the optional exemption under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businesses are included in the consolidated results of the Company from the respective dates of acquisition. Pro forma information for these acquired businesses is not provided because they did not have a material effect, individually or in the aggregate, on the Company’s consolidated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Payfare</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2, 2025, the Company acquired Payfare, Inc. (“Payfare”), a Canada-based provider of program management solutions powering instant access to earnings and banking solutions for workforces, for a purchase price of $95 million, net of $46 million of acquired cash. Payfare is included within the Financial Solutions (“Financial”) segment and expands the Company’s embedded finance capabilities.</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preliminary allocation of purchase price resulted in the recognition of identifiable intangible assets, including acquired software and technology, of approximately $37 million with an estimated useful life of 7 years, $55 million of goodwill and $49 million of other net assets, including acquired cash. The allocation of the purchase price is preliminary and is subject to further adjustment, pending additional refinement and final completion of valuations. Goodwill, which is not deductible for tax purposes, is primarily attributed to the anticipated value created by further enhancing the Company’s finance solutions in embedded banking, payments and lending for large enterprises and financial institutions.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CCV</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2025, the Company acquired CCV Group B.V. (“CCV”), a Netherlands-based supplier of point-of sale (“POS”) payment solutions, for $229 million, net of $26 million of acquired cash. CCV is included within the Merchant Solutions (“Merchant”) segment and expands the Company’s network of payment solutions.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preliminary allocation of purchase price resulted in the recognition of identifiable intangible assets, including customer relationships, of approximately $96 million with an estimated useful life of 5 years, $121 million of goodwill and $38 million of other net assets, including acquired cash. The allocation of the purchase price is preliminary and is subject to further adjustment, pending additional refinement and final completion of valuations. Goodwill, which is not deductible for tax purposes, is primarily attributed to the anticipated value created by enabling the Company’s ability to accelerate the deployment of its Clover POS and business management platform, providing enhanced capabilities and innovation to an expansive combined merchant and partner base across Europe.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6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On April 4, 2025, the Company acquired Pinch Payments NZ Limited (together with Zootive Pty Ltd, “Pinch Payments”), an Australia-based payment facilitator. Pinch Payments is included within the Merchant segment and expands the Company’s flexible payment services for its partners and clients, and presence within the Asia-Pacific region. On June 4, 2025, the Company acquired Money Money Serviços Financeiros S.A. (“Money Money”), a Brazil-based provider of risk analysis and credit decisioning solutions. Money Money is included within the Merchant segment and expands the Company’s payment and financial service capabilities, enabling access to working capital and other payment solutions for small and medium-sized businesses. The Company acquired these businesses for an aggregate purchase price, including deferred payments, of $41 million, including earn-out provisions estimated at a fair value of $27 million (see Note 8). The preliminary allocation of purchase price for these acquisitions resulted in the recognition of identifiable intangible assets, including software and technology, of approximately $19 million with an estimated weighted average useful life of 6 years, goodwill of approximately $25 million and other net assumed liabilities of approximately $3 million. The purchase price allocations are preliminary and are subject to further adjustment, pending additional refinement and final completion of valuations. Goodwill for these acquisitions, which is not deductible for tax purposes, is primarily attributed to the anticipated value created by expanding the reach of the Company’s payment solutions and financial service capabilities.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On April 17, 2025, the Company acquired the remaining 19% ownership interest in ICICI Merchant Services Private Limited, an India-based merchant acceptance business, for $22 million. The Company previously held a majority controlling financial interest in this subsidiary, which continues to be consolidated and reported within the Merchant segment. On June 5, 2025, the Company entered into an agreement to acquire the remaining 49.9% ownership interest in AIB Merchant Services (“AIBMS”), an Ireland-based payments solution provider. The Company currently maintains a majority controlling financial interest in AIBMS and will continue to consolidate this entity, as a fully owned subsidiary, within the Merchant segment. The transaction is expected to close in the third quarter of 2025, subject to regulatory approval and other customary closing conditions.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7"/>
                <w:szCs w:val="17"/>
                <w:color w:val="auto"/>
              </w:rPr>
            </w:pPr>
          </w:p>
        </w:tc>
        <w:tc>
          <w:tcPr>
            <w:tcW w:w="15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$581 million and $586 million for the three months ended June 30, 2025 and 2024, respectively, and $1.1 billion and $1.2 billion for the six months ended June 30, 2025 and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decline in value, including any significant changes in business relationships with merchant alliances. A decline in value of an equity method investment determined to be other-than-temporary is recorded as a current-period impairment charge within income (loss) from investments in unconsolidated affiliates in the consolidated statements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ownership interests in certain merchant alliances. A merchant alliance is an agreement between the Company and a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that combines the processing capabilities and management expertise of the Company with the visibility and distribution channel of the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A merchant alliance acquires credit and debit card transactions from merchants. The Company provides processing and other services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merchant alliance and charges fees to the alliance based on contractual pricing (see Note 19). The Company’s investment in its merchant alliances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million and $1.2 billion at June 30, 2025 and December 31, 2024, respectively, and is reported within investments in unconsolidated affiliates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maintained a 40% ownership interest in the Wells Fargo Merchant Services merchant alliance (“WFMS”), which was accounted for as an equity method investment. The Company acquired its ownership, at fair value, in WFMS through its 2019 acquisition of First Data Corporation. In the third quarter of 2024, Wells Fargo Bank, National Association (“Wells Fargo”) provided the Company with a notice of non-renewal for WFMS. Upon the expiration of the joint venture on April 1, 2025, the Company received a cash payment of $453 million, subject to adjustment upon completion of the contractual valuation and separation process.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$595 million non-cash impairment as a result of an other-than-temporary decline in the fair value of its equity method investment in WFMS within loss from investments in unconsolidated affiliates, with the related tax benefit of $129 million recorded through the income tax provision, in the consolidated statement of income. The Company recorded an initial pre-tax impairment charge of $570 million in the third quarter of 2024 based upon the Company’s estimate of the fair value of its portion of WFMS, and an additional $25 million pre-tax impairment charge in the fourth quarter of 2024 based upon the expected cash payment as described above. An additional $8 million pre-tax impairment charge was recorded in the second quarter of 2025 in connection with the contractual valuation and separation process.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also maintains investments, over which it does not have significant influence, in various equity securities without a readily determinable fair value. Such investments totaled $254 million and $250 million at June 30, 2025 and December 31, 2024,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 securities and net gains from sales of equity securities were not significant during the three and six months ended June 30, 2025, and were $6 million and $27 million during the three and six months ended June 30, 2024,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Instruments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$413 million and $481 million at June 30, 2025 and December 31, 2024, respectively. Based on the amounts recorded in accumulated other comprehensive loss at June 30, 2025, the Company estimates that it will recognize losses of approximately $1 million in cost of processing and services during the next twelve months as foreign exchange forward contracts settle.</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 interest payments. The unamortized balance recorded in accumulated other comprehensive loss related to the Treasury Locks was</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$95 million and $101 million at June 30, 2025 and December 31, 2024, respectively. Based on the amounts recorded in accumulated other comprehensive loss at June 30, 2025, the Company estimates that it will recognize approximately $13 million in net interest expense during the next twelve months related to settled interest rate hedge contracts.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311"/>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 Dollars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4"/>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 Dollars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Euro-and British Pound-denominated senior notes and Euro commercial paper notes as net investment hedges to hedge a portion of its net investment in certain subsidiaries whose functional currencies are the Euro and the British Pound.</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currency-denominated subsidiaries.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gridSpan w:val="3"/>
          </w:tcPr>
          <w:p>
            <w:pPr>
              <w:jc w:val="right"/>
              <w:ind w:right="12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ind w:right="41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(72)  $</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1"/>
        </w:trPr>
        <w:tc>
          <w:tcPr>
            <w:tcW w:w="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$98 million and $(8) million during the three months ended June 30, 2025 and 2024, respectively, and $138 million and $(39) million during the six months ended June 30, 2025 and 2024, respectively, in other comprehensive income (loss) from the translation of foreign currency-denominated senior notes, Euro commercial paper notes and cross-currency rate swap contracts.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maintained a fixed-to-fixed cross-currency rate swap contract in the notional amount of 525 million British Pounds, designated as a fair value hedge, to mitigate the spot foreign exchange rate risk on the principal amount of its British Pound-denominated 2.250% senior notes due in July 2025 (see Note 10), as well as fixed-to-fixed cross-currency rate swap contracts on the principal amount of a Euro-denominated intercompany note, which was repaid in 2024. Net changes in the fair value of the cross-currency rate swaps ($41 million and $2 million gain for the three months ended June 30, 2025 and 2024, respectively, and $60 million and $0 million gain for the six months ended June 30, 2025 and 2024, respectively), along with the offsetting change in the fair value of the hedged notes, attributable to fluctuations in the respective foreign currency spot rates are recognized in other expense, net within the consolidated statements of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foreign currency spot rates and forwards quoted by banks and foreign currency dealers and are marked to market each period. Contingent consideration related to certain of the Company’s acquisitions (see Note 4) is estimated using a probability-weighted assessment approach based on the likelihood of achieving the earn-out criteria. The Company’s obligation to satisfy the purchase of a redeemable noncontrolling interest in a previously terminated merchant alliance joint venture is measured at the estimated fair value of the minority interest. Such obligation will be settled in the third quarter of 2025 through the distribution of certain merchant contracts to the minority partner (see Note 11).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(In millions)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9" w:lineRule="exact"/>
        <w:rPr>
          <w:sz w:val="20"/>
          <w:szCs w:val="20"/>
          <w:color w:val="auto"/>
        </w:rPr>
      </w:pPr>
    </w:p>
    <w:p>
      <w:pPr>
        <w:ind w:left="220" w:right="60" w:hanging="80"/>
        <w:spacing w:after="0" w:line="253" w:lineRule="auto"/>
        <w:rPr>
          <w:sz w:val="20"/>
          <w:szCs w:val="20"/>
          <w:color w:val="auto"/>
        </w:rPr>
      </w:pPr>
      <w:r>
        <w:rPr>
          <w:rFonts w:ascii="Times New Roman" w:cs="Times New Roman" w:eastAsia="Times New Roman" w:hAnsi="Times New Roman"/>
          <w:sz w:val="17"/>
          <w:szCs w:val="17"/>
          <w:color w:val="auto"/>
        </w:rPr>
        <w:t>Cross-currency rate swap contract designated as net investment hedge</w:t>
      </w:r>
    </w:p>
    <w:p>
      <w:pPr>
        <w:spacing w:after="0" w:line="2" w:lineRule="exact"/>
        <w:rPr>
          <w:sz w:val="20"/>
          <w:szCs w:val="20"/>
          <w:color w:val="auto"/>
        </w:rPr>
      </w:pPr>
    </w:p>
    <w:p>
      <w:pPr>
        <w:ind w:left="220" w:right="240" w:hanging="80"/>
        <w:spacing w:after="0" w:line="256" w:lineRule="auto"/>
        <w:rPr>
          <w:sz w:val="20"/>
          <w:szCs w:val="20"/>
          <w:color w:val="auto"/>
        </w:rPr>
      </w:pPr>
      <w:r>
        <w:rPr>
          <w:rFonts w:ascii="Times New Roman" w:cs="Times New Roman" w:eastAsia="Times New Roman" w:hAnsi="Times New Roman"/>
          <w:sz w:val="17"/>
          <w:szCs w:val="17"/>
          <w:color w:val="auto"/>
        </w:rPr>
        <w:t>Cross-currency rate swap contract designated as fair value hedge</w:t>
      </w:r>
    </w:p>
    <w:p>
      <w:pPr>
        <w:spacing w:after="0" w:line="1" w:lineRule="exact"/>
        <w:rPr>
          <w:sz w:val="20"/>
          <w:szCs w:val="20"/>
          <w:color w:val="auto"/>
        </w:rPr>
      </w:pPr>
    </w:p>
    <w:p>
      <w:pPr>
        <w:ind w:left="220" w:hanging="80"/>
        <w:spacing w:after="0" w:line="254" w:lineRule="auto"/>
        <w:rPr>
          <w:sz w:val="20"/>
          <w:szCs w:val="20"/>
          <w:color w:val="auto"/>
        </w:rPr>
      </w:pPr>
      <w:r>
        <w:rPr>
          <w:rFonts w:ascii="Times New Roman" w:cs="Times New Roman" w:eastAsia="Times New Roman" w:hAnsi="Times New Roman"/>
          <w:sz w:val="17"/>
          <w:szCs w:val="17"/>
          <w:color w:val="auto"/>
        </w:rPr>
        <w:t>Cross-currency rate swap contracts designated as net investment hedges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220" w:right="240" w:hanging="80"/>
        <w:spacing w:after="0" w:line="253" w:lineRule="auto"/>
        <w:rPr>
          <w:sz w:val="20"/>
          <w:szCs w:val="20"/>
          <w:color w:val="auto"/>
        </w:rPr>
      </w:pPr>
      <w:r>
        <w:rPr>
          <w:rFonts w:ascii="Times New Roman" w:cs="Times New Roman" w:eastAsia="Times New Roman" w:hAnsi="Times New Roman"/>
          <w:sz w:val="17"/>
          <w:szCs w:val="17"/>
          <w:color w:val="auto"/>
        </w:rPr>
        <w:t>Cross-currency rate swap contract designated as fair value hedge</w:t>
      </w:r>
    </w:p>
    <w:p>
      <w:pPr>
        <w:spacing w:after="0" w:line="2" w:lineRule="exact"/>
        <w:rPr>
          <w:sz w:val="20"/>
          <w:szCs w:val="20"/>
          <w:color w:val="auto"/>
        </w:rPr>
      </w:pPr>
    </w:p>
    <w:p>
      <w:pPr>
        <w:ind w:left="220" w:hanging="80"/>
        <w:spacing w:after="0" w:line="259" w:lineRule="auto"/>
        <w:rPr>
          <w:sz w:val="20"/>
          <w:szCs w:val="20"/>
          <w:color w:val="auto"/>
        </w:rPr>
      </w:pPr>
      <w:r>
        <w:rPr>
          <w:rFonts w:ascii="Times New Roman" w:cs="Times New Roman" w:eastAsia="Times New Roman" w:hAnsi="Times New Roman"/>
          <w:sz w:val="17"/>
          <w:szCs w:val="17"/>
          <w:color w:val="auto"/>
        </w:rPr>
        <w:t>Cross-currency rate swap contracts designated as net investment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19685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77470</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77470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84455</wp:posOffset>
            </wp:positionV>
            <wp:extent cx="713232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12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80" w:type="dxa"/>
            <w:vAlign w:val="bottom"/>
          </w:tcPr>
          <w:p>
            <w:pPr>
              <w:spacing w:after="0"/>
              <w:rPr>
                <w:sz w:val="14"/>
                <w:szCs w:val="14"/>
                <w:color w:val="auto"/>
              </w:rPr>
            </w:pPr>
          </w:p>
        </w:tc>
        <w:tc>
          <w:tcPr>
            <w:tcW w:w="134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4"/>
                <w:szCs w:val="14"/>
                <w:color w:val="auto"/>
              </w:rPr>
            </w:pPr>
          </w:p>
        </w:tc>
        <w:tc>
          <w:tcPr>
            <w:tcW w:w="13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536"/>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Pr>
          <w:p>
            <w:pPr>
              <w:spacing w:after="0"/>
              <w:rPr>
                <w:sz w:val="24"/>
                <w:szCs w:val="2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2820" w:space="400"/>
            <w:col w:w="3260" w:space="400"/>
            <w:col w:w="4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exchange contracts designated as</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Accounts payable and other current liabilities</w:t>
            </w:r>
          </w:p>
        </w:tc>
        <w:tc>
          <w:tcPr>
            <w:tcW w:w="0" w:type="dxa"/>
            <w:vAlign w:val="bottom"/>
          </w:tcPr>
          <w:p>
            <w:pPr>
              <w:spacing w:after="0"/>
              <w:rPr>
                <w:sz w:val="1"/>
                <w:szCs w:val="1"/>
                <w:color w:val="auto"/>
              </w:rPr>
            </w:pPr>
          </w:p>
        </w:tc>
      </w:tr>
      <w:tr>
        <w:trPr>
          <w:trHeight w:val="144"/>
        </w:trPr>
        <w:tc>
          <w:tcPr>
            <w:tcW w:w="3200" w:type="dxa"/>
            <w:vAlign w:val="bottom"/>
          </w:tcPr>
          <w:p>
            <w:pPr>
              <w:ind w:left="220"/>
              <w:spacing w:after="0" w:line="144" w:lineRule="exact"/>
              <w:rPr>
                <w:sz w:val="20"/>
                <w:szCs w:val="20"/>
                <w:color w:val="auto"/>
              </w:rPr>
            </w:pPr>
            <w:r>
              <w:rPr>
                <w:rFonts w:ascii="Times New Roman" w:cs="Times New Roman" w:eastAsia="Times New Roman" w:hAnsi="Times New Roman"/>
                <w:sz w:val="16"/>
                <w:szCs w:val="16"/>
                <w:color w:val="auto"/>
              </w:rPr>
              <w:t>cash flow hedges</w:t>
            </w:r>
          </w:p>
        </w:tc>
        <w:tc>
          <w:tcPr>
            <w:tcW w:w="3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exchange contracts designated as</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144"/>
        </w:trPr>
        <w:tc>
          <w:tcPr>
            <w:tcW w:w="3200" w:type="dxa"/>
            <w:vAlign w:val="bottom"/>
          </w:tcPr>
          <w:p>
            <w:pPr>
              <w:ind w:left="220"/>
              <w:spacing w:after="0" w:line="144" w:lineRule="exact"/>
              <w:rPr>
                <w:sz w:val="20"/>
                <w:szCs w:val="20"/>
                <w:color w:val="auto"/>
              </w:rPr>
            </w:pPr>
            <w:r>
              <w:rPr>
                <w:rFonts w:ascii="Times New Roman" w:cs="Times New Roman" w:eastAsia="Times New Roman" w:hAnsi="Times New Roman"/>
                <w:sz w:val="16"/>
                <w:szCs w:val="16"/>
                <w:color w:val="auto"/>
              </w:rPr>
              <w:t>cash flow hedges</w:t>
            </w:r>
          </w:p>
        </w:tc>
        <w:tc>
          <w:tcPr>
            <w:tcW w:w="3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20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Accounts payable and other current liabilities</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180"/>
        </w:trPr>
        <w:tc>
          <w:tcPr>
            <w:tcW w:w="3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Obligation to purchase redeemable</w:t>
            </w:r>
          </w:p>
        </w:tc>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Accounts payable and other current liabilities</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20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473"/>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-1534160</wp:posOffset>
            </wp:positionV>
            <wp:extent cx="7132320"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26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7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7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7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120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17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616" w:lineRule="exact"/>
        <w:rPr>
          <w:sz w:val="20"/>
          <w:szCs w:val="20"/>
          <w:color w:val="auto"/>
        </w:rPr>
      </w:pPr>
    </w:p>
    <w:p>
      <w:pPr>
        <w:sectPr>
          <w:pgSz w:w="11900" w:h="16838" w:orient="portrait"/>
          <w:cols w:equalWidth="0" w:num="2">
            <w:col w:w="6480" w:space="700"/>
            <w:col w:w="4060"/>
          </w:cols>
          <w:pgMar w:left="320" w:top="121" w:right="33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$27.5 billion and $23.2 billion at June 30, 2025 and December 31, 2024, respectively, and the carrying value was $27.8 billion and $23.9 billion at June 30, 2025 and December 31,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and defi SOLUTIONS Group, LLC (collectively the “Lending Joint Ventures”), which are accounted for under the equity method. The Company’s net investment in the Lending Joint Ventures was $66 million and $49 million at June 30, 2025 and December 31, 2024, respectively. The Lending Joint Ventures maintain variable-rate term loan facilities with aggregate outstanding borrowings of $410 million in senior unsecured debt at June 30, 2025 and variable-rate revolving credit facilities with an aggregate borrowing capacity of $83 million with a syndicate of banks, which mature in April 2027. There were $52 million of aggregate outstanding borrowings on the revolving credit facilities at June 30, 2025. The Company has guaranteed the debt of the Lending Joint Ventures.</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which are reported within other long-term liabilities in the consolidated balance sheets. The Company has provided aggregate guarantees of $493 million associated with the debt of the Lending Joint Ventures and is entitled to receive a defined fee in exchange for its guarantee of this indebtedness. The Company has not made any payments under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nor has it been called upon to do so, and does not anticipate that the Lending Joint Ventures will fail to fulfill their debt obligations.</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$17 million and $21 million approximates the fair value at June 30, 2025 and December 31, 2024,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$4 million and $5 million during the three months ended June 30, 2025 and 2024, respectively, and $9 million during both the six months ended June 30, 2025 and 2024, within other expense, net in its consolidated statements of income related to its release from risk under the non-contingent guarantees as well as a change in the provision of estimated credit losses associated with the indebtedness of the Lending Joint Ventures.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 Additional information about fair value adjustments recorded on a non-recurring basis during the three and six months ended June 30, 2025 and 2024 is included in Note 6 to the consolidated 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Other Current Liabilities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 the following:</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Client deposits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Transferable federal tax credits (see Note 15)</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Obligation to purchase redeemable noncontrolling interest (see Note 11)</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r>
      <w:tr>
        <w:trPr>
          <w:trHeight w:val="21"/>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2.875% senior notes due June 2028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3.500% senior notes due June 2032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 senior notes due June 2036 (Euro-denominated)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six months ended June 30,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7, 2025, Fiserv Funding Unlimited Company, an indirect wholly owned subsidiary of the Company, completed the public offering and issuance of €2.175 billion of senior notes, comprised of €750 million aggregate principal amount of 2.875% senior notes due in June 2028, €775 million aggregate principal amount of 3.500% senior notes due in June 2032 and €650 million aggregate principal amount of 4.000% senior notes due in June 2036. These notes are fully and unconditionally guaranteed on a senior unsecured basis by the Company. Interest on these senior notes is paid annually. The Company used the net proceeds from this senior notes offering for general corporate purposes, including the repayment of a portion of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commercial paper notes, 3.850% senior notes due in June 2025 and 2.250% senior notes due in July 2025.</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2024, the Company completed the public offering and issuance of $1.75 billion of senior notes, comprised of $850 million aggregate principal amount of 4.750% senior notes due in March 2030 and $900 million aggregate principal amount of 5.150% senior notes due in August 2034. Interest on these senior notes is paid semi-annually. The Company used the net proceeds from this senior notes offering for general corporate purposes, including the repayment of a portion of the Company’s commercial paper notes and for share repurchases.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2024, the Company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Interest on these senior notes is paid semi-annually. The Company used the net proceeds from this senior notes offering for general corporate purposes, including the repayment of a portion of the Company’s commercial paper notes and for share repurchases, and in July 2024, the repayment of a portion of its 2.750% senior notes.</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June 30, 2025, the 2.250% senior notes due in July 2025 were classified in the consolidated balance sheet as long-term, as the Company has the ability to refinance such debt under its revolving credit facility.</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$1.9 billion and $221 million at June 30, 2025 and December 31, 2024, with weighted average interest rates of 4.604% and 4.534%, respectively. Outstanding borrowings under the Euro program were $1.3 billion and $1.2 billion at June 30, 2025 and December 31, 2024, with weighted average interest rates of 2.214% and 3.115%,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maintains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the Company’s long-term debt rating. Outstanding borrowings under the revolving credit facility were $61 million and $115 million at June 30, 2025 and December 31, 2024, with a corresponding interest rate of 5.430% and 5.440% at June 30, 2025 and December 31, 2024, respectively.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maintains various short-term lines of credit and other borrowing arrangements with foreign banks and alliance partners primarily to fund merchant settlement advances associated with operations in Latin America. The following table provides a summary of the outstanding borrowings and weighted average interest rates of the Company’s foreign lines of credit and other borrowing arrangements by country: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430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100" w:type="dxa"/>
            <w:vAlign w:val="bottom"/>
          </w:tcPr>
          <w:p>
            <w:pPr>
              <w:spacing w:after="0"/>
              <w:rPr>
                <w:sz w:val="20"/>
                <w:szCs w:val="20"/>
                <w:color w:val="auto"/>
              </w:rPr>
            </w:pPr>
          </w:p>
        </w:tc>
        <w:tc>
          <w:tcPr>
            <w:tcW w:w="46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r>
      <w:tr>
        <w:trPr>
          <w:trHeight w:val="223"/>
        </w:trPr>
        <w:tc>
          <w:tcPr>
            <w:tcW w:w="2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9"/>
                <w:szCs w:val="19"/>
                <w:color w:val="auto"/>
              </w:rPr>
            </w:pPr>
          </w:p>
        </w:tc>
        <w:tc>
          <w:tcPr>
            <w:tcW w:w="23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160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34.437 %</w:t>
            </w:r>
          </w:p>
        </w:tc>
        <w:tc>
          <w:tcPr>
            <w:tcW w:w="8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38.470 %</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15.840 %</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12.976 %</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1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9.892 %</w:t>
            </w: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9.766 %</w:t>
            </w:r>
          </w:p>
        </w:tc>
      </w:tr>
      <w:tr>
        <w:trPr>
          <w:trHeight w:val="23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2.590 %</w:t>
            </w:r>
          </w:p>
        </w:tc>
        <w:tc>
          <w:tcPr>
            <w:tcW w:w="8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3.984 %</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28.425 %</w:t>
            </w:r>
          </w:p>
        </w:tc>
        <w:tc>
          <w:tcPr>
            <w:tcW w:w="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Redeemable Noncontrolling Interest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minority partner in one of the Company’s merchant alliance joint ventures maintained a redeemable noncontrolling 1% interest which was presented outside of equity and carried at its estimated redemption value. The minority partner was entitled to a contractually determined share of the entity’s income, and the joint venture agreement contained redemption features whereby the interest held by the minority partner was redeemable either (i) at the option of the holder or (ii) upon the occurrence of an event that was not solely within the Company’s control.</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of certain merchant contracts. The redeemable noncontrolling interest was adjusted in the second quarter of 2024 to reflect the estimated redemption value, with a corresponding adjustment recorded to additional paid-in capital. Additionally, as the redeemable noncontrolling interest is now mandatorily redeemable, the Company’s obligation to satisfy the purchase of the interest has been classified as a current liability in the consolidated balance sheets (see Notes 8 and 9). The distribution of certain merchant contracts for the redemption of the minority partner’s membership interest will be settled in the third quarter of 2025, resulting in a subsequent pre-tax gain of approximately $90 million. The Company maintains an ongoing relationship with the former minority partner to provide processing and other support services following the termination of the joint venture agreement.</w:t>
      </w:r>
    </w:p>
    <w:p>
      <w:pPr>
        <w:spacing w:after="0" w:line="13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 activity, prior to the September 2024 termination of the merchant alliance joint venture, during the six months ended June 30,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estimated redemption value of redeemable noncontrolling interest</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to current liability</w:t>
            </w:r>
          </w:p>
        </w:tc>
        <w:tc>
          <w:tcPr>
            <w:tcW w:w="8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and six months ended June 30,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0" w:right="102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June 30, 2025</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March 31, 2025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Other comprehensive income </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ind w:left="180" w:hanging="161"/>
        <w:spacing w:after="0" w:line="239" w:lineRule="auto"/>
        <w:rPr>
          <w:sz w:val="20"/>
          <w:szCs w:val="20"/>
          <w:color w:val="auto"/>
        </w:rPr>
      </w:pPr>
      <w:r>
        <w:rPr>
          <w:rFonts w:ascii="Times New Roman" w:cs="Times New Roman" w:eastAsia="Times New Roman" w:hAnsi="Times New Roman"/>
          <w:sz w:val="14"/>
          <w:szCs w:val="14"/>
          <w:color w:val="auto"/>
        </w:rPr>
        <w:t xml:space="preserve">Acquisition of noncontrolling interest of consolidated subsidiary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June 30, 2025</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1280" w:type="dxa"/>
            <w:vAlign w:val="bottom"/>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22,821</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24,426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26,521</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91"/>
        </w:trPr>
        <w:tc>
          <w:tcPr>
            <w:tcW w:w="8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23,004</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25,763</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-1165225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-899795</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-642620</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-385445</wp:posOffset>
            </wp:positionV>
            <wp:extent cx="713232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0"/>
            <w:col w:w="8860"/>
          </w:cols>
          <w:pgMar w:left="320" w:top="121" w:right="339" w:bottom="1440" w:gutter="0" w:footer="0" w:header="0"/>
          <w:type w:val="continuous"/>
        </w:sectPr>
      </w:pPr>
    </w:p>
    <w:p>
      <w:pPr>
        <w:spacing w:after="0" w:line="43" w:lineRule="exact"/>
        <w:rPr>
          <w:sz w:val="20"/>
          <w:szCs w:val="20"/>
          <w:color w:val="auto"/>
        </w:rPr>
      </w:pPr>
    </w:p>
    <w:p>
      <w:pPr>
        <w:ind w:left="660" w:right="160" w:hanging="328"/>
        <w:spacing w:after="0" w:line="225"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the remaining 19% ownership interest in ICICI Merchant Services Private Limited, an India-based merchant acceptance business, during the three months ended June 30, 2025. The Company previously held a majority controlling financial interest in this consolidated subsidiary (see Note 4).</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20" w:right="90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June 30, 2024</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March 31, 2024</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9"/>
          <w:szCs w:val="9"/>
          <w:color w:val="auto"/>
        </w:rPr>
        <w:t>(1)</w:t>
      </w:r>
    </w:p>
    <w:p>
      <w:pPr>
        <w:spacing w:after="0" w:line="42" w:lineRule="exact"/>
        <w:rPr>
          <w:sz w:val="20"/>
          <w:szCs w:val="20"/>
          <w:color w:val="auto"/>
        </w:rPr>
      </w:pPr>
    </w:p>
    <w:p>
      <w:pPr>
        <w:ind w:left="180" w:right="140" w:hanging="161"/>
        <w:spacing w:after="0" w:line="23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180" w:hanging="161"/>
        <w:spacing w:after="0" w:line="233" w:lineRule="auto"/>
        <w:rPr>
          <w:sz w:val="20"/>
          <w:szCs w:val="20"/>
          <w:color w:val="auto"/>
        </w:rPr>
      </w:pPr>
      <w:r>
        <w:rPr>
          <w:rFonts w:ascii="Times New Roman" w:cs="Times New Roman" w:eastAsia="Times New Roman" w:hAnsi="Times New Roman"/>
          <w:sz w:val="14"/>
          <w:szCs w:val="14"/>
          <w:color w:val="auto"/>
        </w:rPr>
        <w:t>Change in estimated redemption value of redeemable noncontrolling interest (see Note 11)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June 30, 2024</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29,423</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-1473835</wp:posOffset>
            </wp:positionV>
            <wp:extent cx="707199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-1207770</wp:posOffset>
            </wp:positionV>
            <wp:extent cx="7071995"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-685165</wp:posOffset>
            </wp:positionV>
            <wp:extent cx="707199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-427990</wp:posOffset>
            </wp:positionV>
            <wp:extent cx="707199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-170815</wp:posOffset>
            </wp:positionV>
            <wp:extent cx="707199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60"/>
            <w:col w:w="8940"/>
          </w:cols>
          <w:pgMar w:left="320" w:top="121" w:right="339" w:bottom="1440" w:gutter="0" w:footer="0" w:header="0"/>
          <w:type w:val="continuous"/>
        </w:sectPr>
      </w:pPr>
    </w:p>
    <w:p>
      <w:pPr>
        <w:spacing w:after="0" w:line="43" w:lineRule="exact"/>
        <w:rPr>
          <w:sz w:val="20"/>
          <w:szCs w:val="20"/>
          <w:color w:val="auto"/>
        </w:rPr>
      </w:pPr>
    </w:p>
    <w:p>
      <w:pPr>
        <w:ind w:left="660" w:right="16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June 30, 2024 is different than the amount presented in the consolidated statement of income due to the net income attributable to redeemable noncontrolling interest of $7 million not included in equity.</w:t>
      </w:r>
    </w:p>
    <w:p>
      <w:pPr>
        <w:spacing w:after="0" w:line="154" w:lineRule="exact"/>
        <w:rPr>
          <w:rFonts w:ascii="Times New Roman" w:cs="Times New Roman" w:eastAsia="Times New Roman" w:hAnsi="Times New Roman"/>
          <w:sz w:val="21"/>
          <w:szCs w:val="21"/>
          <w:color w:val="auto"/>
          <w:vertAlign w:val="superscript"/>
        </w:rPr>
      </w:pPr>
    </w:p>
    <w:p>
      <w:pPr>
        <w:ind w:left="660" w:right="4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June 30, 2024 excludes $6 million in distributions paid to redeemable noncontrolling interest not included in equity.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December 31, 2024</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Other comprehensive income </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jc w:val="right"/>
        <w:ind w:left="40" w:right="700"/>
        <w:spacing w:after="0" w:line="251" w:lineRule="auto"/>
        <w:rPr>
          <w:sz w:val="20"/>
          <w:szCs w:val="20"/>
          <w:color w:val="auto"/>
        </w:rPr>
      </w:pPr>
      <w:r>
        <w:rPr>
          <w:rFonts w:ascii="Times New Roman" w:cs="Times New Roman" w:eastAsia="Times New Roman" w:hAnsi="Times New Roman"/>
          <w:sz w:val="14"/>
          <w:szCs w:val="14"/>
          <w:color w:val="auto"/>
        </w:rPr>
        <w:t>Capital contribution from noncontrolling interest</w:t>
      </w:r>
    </w:p>
    <w:p>
      <w:pPr>
        <w:spacing w:after="0" w:line="1" w:lineRule="exact"/>
        <w:rPr>
          <w:sz w:val="20"/>
          <w:szCs w:val="20"/>
          <w:color w:val="auto"/>
        </w:rPr>
      </w:pPr>
    </w:p>
    <w:p>
      <w:pPr>
        <w:ind w:left="200" w:hanging="161"/>
        <w:spacing w:after="0" w:line="239" w:lineRule="auto"/>
        <w:rPr>
          <w:sz w:val="20"/>
          <w:szCs w:val="20"/>
          <w:color w:val="auto"/>
        </w:rPr>
      </w:pPr>
      <w:r>
        <w:rPr>
          <w:rFonts w:ascii="Times New Roman" w:cs="Times New Roman" w:eastAsia="Times New Roman" w:hAnsi="Times New Roman"/>
          <w:sz w:val="14"/>
          <w:szCs w:val="14"/>
          <w:color w:val="auto"/>
        </w:rPr>
        <w:t xml:space="preserve">Acquisition of noncontrolling interest of consolidated subsidiary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126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23,080</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27,686</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38"/>
        </w:trPr>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91"/>
        </w:trPr>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23,004</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25,763</w:t>
            </w: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-1379220</wp:posOffset>
            </wp:positionV>
            <wp:extent cx="71062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-1113790</wp:posOffset>
            </wp:positionV>
            <wp:extent cx="710628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-856615</wp:posOffset>
            </wp:positionV>
            <wp:extent cx="710628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-599440</wp:posOffset>
            </wp:positionV>
            <wp:extent cx="7106285"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21463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-170815</wp:posOffset>
            </wp:positionV>
            <wp:extent cx="710628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160"/>
            <w:col w:w="8840"/>
          </w:cols>
          <w:pgMar w:left="320" w:top="121" w:right="359" w:bottom="1440" w:gutter="0" w:footer="0" w:header="0"/>
          <w:type w:val="continuous"/>
        </w:sectPr>
      </w:pPr>
    </w:p>
    <w:p>
      <w:pPr>
        <w:spacing w:after="0" w:line="43" w:lineRule="exact"/>
        <w:rPr>
          <w:sz w:val="20"/>
          <w:szCs w:val="20"/>
          <w:color w:val="auto"/>
        </w:rPr>
      </w:pPr>
    </w:p>
    <w:p>
      <w:pPr>
        <w:ind w:left="660" w:right="140" w:hanging="328"/>
        <w:spacing w:after="0" w:line="225"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the remaining 19% ownership interest in ICICI Merchant Services Private Limited, an India-based merchant acceptance business, during the six months ended June 30, 2025. The Company previously held a majority controlling financial interest in this consolidated subsidiary (see Note 4).</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December 31, 2023</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9"/>
          <w:szCs w:val="9"/>
          <w:color w:val="auto"/>
        </w:rPr>
        <w:t>(1)</w:t>
      </w:r>
    </w:p>
    <w:p>
      <w:pPr>
        <w:spacing w:after="0" w:line="42" w:lineRule="exact"/>
        <w:rPr>
          <w:sz w:val="20"/>
          <w:szCs w:val="20"/>
          <w:color w:val="auto"/>
        </w:rPr>
      </w:pPr>
    </w:p>
    <w:p>
      <w:pPr>
        <w:ind w:left="240" w:right="140" w:hanging="161"/>
        <w:spacing w:after="0" w:line="23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240" w:hanging="161"/>
        <w:spacing w:after="0" w:line="233" w:lineRule="auto"/>
        <w:rPr>
          <w:sz w:val="20"/>
          <w:szCs w:val="20"/>
          <w:color w:val="auto"/>
        </w:rPr>
      </w:pPr>
      <w:r>
        <w:rPr>
          <w:rFonts w:ascii="Times New Roman" w:cs="Times New Roman" w:eastAsia="Times New Roman" w:hAnsi="Times New Roman"/>
          <w:sz w:val="14"/>
          <w:szCs w:val="14"/>
          <w:color w:val="auto"/>
        </w:rPr>
        <w:t>Change in estimated redemption value of redeemable noncontrolling interest (see Note 11)</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June 30, 2024</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30,508</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51"/>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28,778</w:t>
            </w: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-1473835</wp:posOffset>
            </wp:positionV>
            <wp:extent cx="707199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-1207770</wp:posOffset>
            </wp:positionV>
            <wp:extent cx="7071995"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-685165</wp:posOffset>
            </wp:positionV>
            <wp:extent cx="707199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-427990</wp:posOffset>
            </wp:positionV>
            <wp:extent cx="707199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-170815</wp:posOffset>
            </wp:positionV>
            <wp:extent cx="707199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80"/>
            <w:col w:w="8860"/>
          </w:cols>
          <w:pgMar w:left="320" w:top="121" w:right="359" w:bottom="1440" w:gutter="0" w:footer="0" w:header="0"/>
          <w:type w:val="continuous"/>
        </w:sectPr>
      </w:pPr>
    </w:p>
    <w:p>
      <w:pPr>
        <w:spacing w:after="0" w:line="43" w:lineRule="exact"/>
        <w:rPr>
          <w:sz w:val="20"/>
          <w:szCs w:val="20"/>
          <w:color w:val="auto"/>
        </w:rPr>
      </w:pPr>
    </w:p>
    <w:p>
      <w:pPr>
        <w:ind w:left="660" w:hanging="328"/>
        <w:spacing w:after="0" w:line="225"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six months ended June 30, 2024 is different than the amount presented in the consolidated statement of income due to the net income attributable to redeemable noncontrolling interest of $13 million not included in equity.</w:t>
      </w:r>
    </w:p>
    <w:p>
      <w:pPr>
        <w:spacing w:after="0" w:line="154" w:lineRule="exact"/>
        <w:rPr>
          <w:rFonts w:ascii="Times New Roman" w:cs="Times New Roman" w:eastAsia="Times New Roman" w:hAnsi="Times New Roman"/>
          <w:sz w:val="21"/>
          <w:szCs w:val="21"/>
          <w:color w:val="auto"/>
          <w:vertAlign w:val="superscript"/>
        </w:rPr>
      </w:pPr>
    </w:p>
    <w:p>
      <w:pPr>
        <w:ind w:left="660" w:right="80" w:hanging="328"/>
        <w:spacing w:after="0" w:line="225"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six months ended June 30, 2024 excludes $13 million in distributions paid to redeemable noncontrolling interest not included in equity.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2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52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4380" w:type="dxa"/>
            <w:vAlign w:val="bottom"/>
            <w:tcBorders>
              <w:bottom w:val="single" w:sz="8" w:color="CCEEFF"/>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23"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March 31, 2024</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180" w:right="1680" w:hanging="161"/>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(75)</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(80)</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3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760" w:type="dxa"/>
            <w:vAlign w:val="bottom"/>
          </w:tcPr>
          <w:p>
            <w:pPr>
              <w:spacing w:after="0"/>
              <w:rPr>
                <w:sz w:val="20"/>
                <w:szCs w:val="20"/>
                <w:color w:val="auto"/>
              </w:rPr>
            </w:pP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(16)</w:t>
            </w:r>
          </w:p>
        </w:tc>
        <w:tc>
          <w:tcPr>
            <w:tcW w:w="7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-496570</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-205105</wp:posOffset>
            </wp:positionV>
            <wp:extent cx="71323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7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5"/>
                <w:szCs w:val="15"/>
                <w:color w:val="auto"/>
              </w:rPr>
            </w:pPr>
          </w:p>
        </w:tc>
        <w:tc>
          <w:tcPr>
            <w:tcW w:w="1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49"/>
        </w:trPr>
        <w:tc>
          <w:tcPr>
            <w:tcW w:w="4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7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400" w:type="dxa"/>
            <w:vAlign w:val="bottom"/>
            <w:tcBorders>
              <w:bottom w:val="single" w:sz="8" w:color="CCEEFF"/>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7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23"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December 31, 2023</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80" w:right="700" w:hanging="161"/>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 (see Note 1)</w:t>
      </w:r>
    </w:p>
    <w:p>
      <w:pPr>
        <w:spacing w:after="0" w:line="10" w:lineRule="exact"/>
        <w:rPr>
          <w:sz w:val="20"/>
          <w:szCs w:val="20"/>
          <w:color w:val="auto"/>
        </w:rPr>
      </w:pPr>
    </w:p>
    <w:p>
      <w:pPr>
        <w:ind w:left="180" w:right="1680" w:hanging="161"/>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(78)</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tcPr>
          <w:p>
            <w:pPr>
              <w:spacing w:after="0"/>
              <w:rPr>
                <w:sz w:val="24"/>
                <w:szCs w:val="24"/>
                <w:color w:val="auto"/>
              </w:rPr>
            </w:pP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(79)</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418"/>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-616585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-205105</wp:posOffset>
            </wp:positionV>
            <wp:extent cx="7132320" cy="266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recognized $91 million and $99 million of share-based compensation expense during the three months ended June 30, 2025 and 2024, respectively, and $215 million and $185 million of share-based compensation during the six months ended June 30, 2025 and 2024, respectively. The Company’s share-based compensation awards are typically granted in the first quarter of the year; however, grants may also occur throughout the year. At June 30, 2025, the total remaining unrecognized compensation cost for restricted stock units and awards and performance share units, net of estimated forfeitures, of $486 million is expected to be recognized over a weighted-average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during the six months ended June 30,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34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June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six months ended June 30, 2025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 (In millions)</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June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 exercisable - June 30, 2025</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87.52</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7"/>
                <w:szCs w:val="17"/>
                <w:color w:val="auto"/>
              </w:rPr>
            </w:pPr>
          </w:p>
        </w:tc>
        <w:tc>
          <w:tcPr>
            <w:tcW w:w="70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8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8"/>
                <w:szCs w:val="18"/>
                <w:color w:val="auto"/>
              </w:rPr>
            </w:pPr>
          </w:p>
        </w:tc>
        <w:tc>
          <w:tcPr>
            <w:tcW w:w="20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183"/>
        </w:trPr>
        <w:tc>
          <w:tcPr>
            <w:tcW w:w="414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5"/>
                <w:szCs w:val="15"/>
                <w:color w:val="auto"/>
              </w:rPr>
            </w:pPr>
          </w:p>
        </w:tc>
        <w:tc>
          <w:tcPr>
            <w:tcW w:w="13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w:t>
            </w:r>
          </w:p>
        </w:tc>
      </w:tr>
      <w:tr>
        <w:trPr>
          <w:trHeight w:val="234"/>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r>
    </w:tbl>
    <w:p>
      <w:pPr>
        <w:spacing w:after="0" w:line="2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loss from investments in unconsolidated affiliates was 19.0% and 19.4% for the three months ended June 30, 2025 and 2024, respectively, and 18.6% and 18.2% for the six months ended June 30, 2025 and 2024, respectively. The effective income tax rate for each of the six months ended June 30, 2025 and 2024 included discrete tax benefits from equity compensation, resulting in a lower effective income tax rate compared to the statutory income tax rate.</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provisions under the Inflation Reduction Act, the Company purchased transferable federal tax credits from various counterparties. Such federal tax credits were purchased at negotiated discounts, resulting in an income tax benefit during both the six months ended June 30, 2025 and 2024.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 at June 30, 2025 and December 31, 2024.</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$82 million at June 30, 2025. The Company believes it is reasonably possible that the liability for unrecognized tax benefits may decrease by up to $5 million over the next twelve months as a result of possible closure of tax audits, audit settlements, and the lapse of the statutes of limitations in various jurisdictions.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June 30, 2025, the Company’s U.S. federal income tax returns for 2023 and 2024, and tax returns in certain states and foreign jurisdictions for 2017 through 2024, remain subject to examination by taxing authorities.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Pr>
          <w:p>
            <w:pPr>
              <w:jc w:val="right"/>
              <w:ind w:right="31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1140" w:type="dxa"/>
            <w:vAlign w:val="bottom"/>
          </w:tcPr>
          <w:p>
            <w:pPr>
              <w:jc w:val="right"/>
              <w:ind w:right="31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
        </w:trPr>
        <w:tc>
          <w:tcPr>
            <w:tcW w:w="8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2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Fiserv, Inc. per share - basic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56"/>
        </w:trPr>
        <w:tc>
          <w:tcPr>
            <w:tcW w:w="62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Fiserv, Inc. per share - diluted</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and 2024, restricted stock units for 1.2 million and 66 thousand shares, respectively, were excluded from the calculation of weighted-average outstanding shares - diluted because their impact was anti-dilutive. For the six months ended June 30, 2025 and 2024, restricted stock units for 913 thousand and 51 thousand shares, respectively, were excluded from the calculation of weighted-average outstanding shares - diluted because their impact was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Borders>
              <w:bottom w:val="single" w:sz="8" w:color="auto"/>
            </w:tcBorders>
          </w:tcPr>
          <w:p>
            <w:pPr>
              <w:spacing w:after="0"/>
              <w:rPr>
                <w:sz w:val="20"/>
                <w:szCs w:val="20"/>
                <w:color w:val="auto"/>
              </w:rPr>
            </w:pPr>
          </w:p>
        </w:tc>
      </w:tr>
      <w:tr>
        <w:trPr>
          <w:trHeight w:val="185"/>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obtained under financing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an accrual of $33 million and $43 million at June 30, 2025 and December 31, 2024, respectively, related to its various legal proceedings. The Company’s estimate of the possible range of exposure for various legal proceedings in excess of amounts accrued is $0 million to approximately $120 million. In the opinion of management, the liabilities, if any, which may ultimately result from such legal proceedings are not expected to have a material adverse effect on the Company’s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$1.1 billion and $1.3 billion at June 30, 2025 and December 31,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sold. Payments, net of recoveries, under such indemnification or warranty provisions were not material to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A portion of the Company’s business is conducted through merchant alliances between the Company and certain financial institutions (see Note 6).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$19 million and $37 million for the three months ended June 30, 2025 and 2024, respectively, and $51 million and $77 million for the six months ended June 30, 2025 and 2024,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$14 million and $21 million of amounts due from unconsolidated merchant alliances included within trade accounts receivable, net in the Company’s consolidated balance sheets at June 30, 2025 and December 31, 2024,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operations are comprised of two reportable segments,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 lines (operating segments) aggregated within the Merchant segment consist of the following:</w:t>
      </w:r>
    </w:p>
    <w:p>
      <w:pPr>
        <w:spacing w:after="0" w:line="122" w:lineRule="exact"/>
        <w:rPr>
          <w:sz w:val="20"/>
          <w:szCs w:val="20"/>
          <w:color w:val="auto"/>
        </w:rPr>
      </w:pPr>
    </w:p>
    <w:p>
      <w:pPr>
        <w:ind w:left="660" w:right="220" w:hanging="328"/>
        <w:spacing w:after="0" w:line="230"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 management platform for small business clients</w:t>
      </w:r>
    </w:p>
    <w:p>
      <w:pPr>
        <w:spacing w:after="0" w:line="8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the Company’s integrated omnichannel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50"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 lines (operating segments) aggregated within the Financial segment consist of the following:</w:t>
      </w:r>
    </w:p>
    <w:p>
      <w:pPr>
        <w:spacing w:after="0" w:line="66" w:lineRule="exact"/>
        <w:rPr>
          <w:sz w:val="20"/>
          <w:szCs w:val="20"/>
          <w:color w:val="auto"/>
        </w:rPr>
      </w:pPr>
    </w:p>
    <w:p>
      <w:pPr>
        <w:ind w:left="660" w:right="14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4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who is also the Company’s CODM, assesses segment performance and makes strategic decisions on the allocation of resources. Additionally, the Company’s Chief Executive Officer provides oversight on business leadership and corporate strategy to the executive leadership team, who manages the day to day operations of the various business lines.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CODM uses reportable segment operating income to evaluate segment performance and allocate resources, primarily during the annual budget and forecasting processes. The CODM regularly reviews variances between forecasted and actual results in assessing earnings, operational efficiency and growth performance, and allocating resources including personnel and capital allocations, to each reportable segment. There are no intersegment revenues contained within the respective reportable segment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postage reimbursements.</w:t>
      </w:r>
    </w:p>
    <w:p>
      <w:pPr>
        <w:ind w:left="660" w:right="320" w:hanging="328"/>
        <w:spacing w:after="0" w:line="215"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compensation and benefit costs of Company employees, as well as expenses paid to third parties for consulting and temporary help, net of capitalized software costs.</w:t>
      </w:r>
    </w:p>
    <w:p>
      <w:pPr>
        <w:ind w:left="640" w:hanging="308"/>
        <w:spacing w:after="0" w:line="197" w:lineRule="auto"/>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 of goods sold, payments to distribution partners and other reselling costs.</w:t>
      </w:r>
    </w:p>
    <w:p>
      <w:pPr>
        <w:ind w:left="640" w:hanging="308"/>
        <w:spacing w:after="0" w:line="191" w:lineRule="auto"/>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data processing, facility, and marketing costs that are directly charged to the reportable segments.</w:t>
      </w:r>
    </w:p>
    <w:p>
      <w:pPr>
        <w:spacing w:after="0" w:line="10" w:lineRule="exact"/>
        <w:rPr>
          <w:rFonts w:ascii="Times New Roman" w:cs="Times New Roman" w:eastAsia="Times New Roman" w:hAnsi="Times New Roman"/>
          <w:sz w:val="21"/>
          <w:szCs w:val="21"/>
          <w:color w:val="auto"/>
          <w:vertAlign w:val="superscript"/>
        </w:rPr>
      </w:pPr>
    </w:p>
    <w:p>
      <w:pPr>
        <w:ind w:left="660" w:right="300" w:hanging="328"/>
        <w:spacing w:after="0" w:line="213"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centrally-managed costs, including sales, technology and administrative expenses, that are allocated to the reportable segments from Corporate and Other and are considered in the CODM’s evaluation of segment performance.</w:t>
      </w:r>
    </w:p>
    <w:p>
      <w:pPr>
        <w:ind w:left="660" w:right="120" w:hanging="328"/>
        <w:spacing w:after="0" w:line="220"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acquisition-related intangible assets; costs associated with acquisition and divestiture activity; unallocated corporate expenses; and gains or losses on sales of businesses.</w:t>
      </w:r>
    </w:p>
    <w:p>
      <w:pPr>
        <w:spacing w:after="0" w:line="1" w:lineRule="exact"/>
        <w:rPr>
          <w:rFonts w:ascii="Times New Roman" w:cs="Times New Roman" w:eastAsia="Times New Roman" w:hAnsi="Times New Roman"/>
          <w:sz w:val="21"/>
          <w:szCs w:val="21"/>
          <w:color w:val="auto"/>
          <w:vertAlign w:val="superscript"/>
        </w:rPr>
      </w:pPr>
    </w:p>
    <w:p>
      <w:pPr>
        <w:ind w:left="660" w:right="180" w:hanging="328"/>
        <w:spacing w:after="0" w:line="222"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foreign currency transaction gains and losses, gains or losses from a sale or change in fair value of investments in certain equity securities, and amounts related to debt guarantee arrangements of certain equity method investments.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significant items include: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8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47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Merchant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Financial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 and other</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Merchant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associated with commissions, residual buyouts and deferred conversion costs included within personnel</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expenses, direct costs and other operating expenses, respectively, in the segment operating results tables above.</w:t>
      </w:r>
    </w:p>
    <w:p>
      <w:pPr>
        <w:ind w:left="640" w:hanging="308"/>
        <w:spacing w:after="0" w:line="214" w:lineRule="auto"/>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amortization of acquisition-related intangible assets, such as customer relationships, software/technology and trade names.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evaluate the performance of or allocate resources to its reportable segments using asset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2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identified in “Risk Factors” in our Annual Report on Form 10-K for the year ended December 31, 2024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12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64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contains an analysis of our results of operations presented in the accompanying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by comparing the results for the three and six months ended June 30, 2025 to the comparable periods in 2024.</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June 30,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corporate and public sector clients. We help clients achieve best-in-class results through a commitment to innovation and excellence in areas including account processing and digital banking solutions; card issuer processing and network services; payments; e-commerce; merchant acquiring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spacing w:after="0" w:line="1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move more than money, with a purpose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investing for organic growth through innovation. Our long-term focus is to meet our financial commitments; continue to build high-quality revenue; deepen client relationships with an emphasis on digital solutions and value-added services; deliver innovation and integration enabling differentiated value for our clients; and generate integration value, including cost and revenue synergies from acquisitions.</w:t>
      </w:r>
    </w:p>
    <w:p>
      <w:pPr>
        <w:spacing w:after="0" w:line="1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businesses in our Merchant Solutions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POS devices; and pay-by-bank solutions. The business lines aggregated within the Merchant segment consist of the following:</w:t>
      </w:r>
    </w:p>
    <w:p>
      <w:pPr>
        <w:spacing w:after="0" w:line="122" w:lineRule="exact"/>
        <w:rPr>
          <w:sz w:val="20"/>
          <w:szCs w:val="20"/>
          <w:color w:val="auto"/>
        </w:rPr>
      </w:pPr>
    </w:p>
    <w:p>
      <w:pPr>
        <w:ind w:left="660" w:right="160" w:hanging="328"/>
        <w:spacing w:after="0" w:line="230"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(“ISV”),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POS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management platform for small business clients</w:t>
      </w:r>
    </w:p>
    <w:p>
      <w:pPr>
        <w:spacing w:after="0" w:line="8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our integrated omnichannel operating system for enterprise clients</w:t>
      </w:r>
    </w:p>
    <w:p>
      <w:pPr>
        <w:spacing w:after="0" w:line="117"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our Merchant segment businesses through a variety of channels, including direct sales teams, strategic partnerships with agent sales forces, ISV’s, financial institutions and other strategic partners in the form of joint venture alliances, revenue sharing alliances and referral agreements.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businesses in our Financial Solutions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66" w:lineRule="exact"/>
        <w:rPr>
          <w:sz w:val="20"/>
          <w:szCs w:val="20"/>
          <w:color w:val="auto"/>
        </w:rPr>
      </w:pPr>
    </w:p>
    <w:p>
      <w:pPr>
        <w:ind w:left="660" w:right="16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and postage reimbursements.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Dispositions and Other Transactions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or financial strategies. The results of operations for the following acquired businesses are included in our consolidated results from the respective dates of acquisition.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March 2, 2025, we acquired Payfare, Inc. (“Payfare”), a provider of program management solutions powering instant access to earnings and banking solutions for workforces. Payfare is included within the Financial segment and expands our embedded finance capabilities for large enterprises and financial institutions. On March 18, 2025, we acquired CCV Group B.V. (“CCV”), a supplier of POS payment solutions. CCV is included within the Merchant segment and expands our network of payment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solutions, enabling our ability to accelerate the deployment of our Clover POS and business management platform across Europe.</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4, 2025, we acquired Pinch Payments NZ Limited (together with Zootive Pty Ltd, “Pinch Payments”), a payment facilitator. Pinch Payments is included within the Merchant segment and expands our flexible payment services for our partners and clients, and presence within the Asia-Pacific region. On June 4, 2025, we acquired Money Money Serviços Financeiros S.A. (“Money Money”), a provider of risk analysis and credit decisioning solutions. Money Money is included within the Merchant segment and expands our payment and financial service capabilities, enabling access to working capital and other payment solutions for small and medium-sized businesses.</w:t>
      </w:r>
    </w:p>
    <w:p>
      <w:pPr>
        <w:spacing w:after="0" w:line="1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acquired these businesses for an aggregate purchase price, including deferred payments, of $365 million, net of $72 million of acquired cash and including earn-out provisions estimated at a fair value of $27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third quarter of 2024, Wells Fargo Bank, National Association (“Wells Fargo”) provided us with a notice of non-renewal for the Wells Fargo Merchant Services merchant alliance (“WFMS”), which was accounted for as an equity method investment. Upon the expiration of the joint venture on April 1, 2025, we received a cash payment of $453 million, subject to adjustment upon completion of the contractual valuation and separation process. In connection with the non-renewal of WFMS, we entered into a multi-year agreement with Wells Fargo to provide processing for current and future merchant clients as well as other services to Wells Fargo’s merchant business.</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April 17, 2025, we acquired the remaining 19% ownership interest in ICICI Merchant Services Private Limited, a merchant acceptance business, for $22 million. We previously held a majority controlling financial interest in this subsidiary, which continues to be consolidated and reported within the Merchant segment. On June 5, 2025, we entered into an agreement to acquire the remaining 49.9% ownership interest in AIB Merchant Services (“AIBMS”), a payments solution provider. We currently maintain a majority controlling financial interest in AIBMS and will continue to consolidate this entity, as a fully owned subsidiary, within the Merchant segment. The transaction is expected to close in the third quarter of 2025, subject to regulatory approval and other customary closing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numerous potential distribution partnership opportunities to cross-sell multiple value-added solutions available to us.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Institutions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Financial institutions must be able to serve their customers with tailored solutions, delivered how and when those customers want. In addition, financial institutions are striving for a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focus on long-term client relationships and recurring, transaction-oriented products and services has reduced the impact that consolidation in the financial services industry has had on us.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We believe that our sizable and diverse client base, combined with our value-added software and services-led model, and our position as a leading provider of non-discretionary, recurring revenue-based products and services, gives us a solid foundation for growth.</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customers can use multiple solutions that span our merchant and financial institutions offerings. Our Merchant and Financial businesses put us at the intersection of commerce and banking, which allows these businesses to work together and create long-term growth opportunities for all parties.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Market Conditions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changing interest rates, inflation, disruptions in the global supply chain, changes in consumer spending, the effects of international hostilities, political conditions, regulations restricting trade or impacting our ability to offer products or services, and trade policies and tariffs, could have a material adverse effect on our business, results of operations and financial condition. A decline in personal consumption and consumer savings in the U.S.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1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exchange rates for currencies other than the U.S. dollar, including the Euro, British Pound, Indian Rupee, Brazilian Real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in the U.S., we actively monitor the foreign exchange rate environment and may enter into derivative instruments and utilize other non-derivative hedging instruments with creditworthy institutions in an effort to manage these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unaudited consolidated financial statements and accompanying notes have been prepared in accordance with accounting principles generally accepted in the United States of America, which require management to make estimates, judgments and assumptions that affect the reported amount of assets, liabilities, revenue and expenses. In our Annual Report on Form 10-K for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year ended December 31, 2024,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of businesses and may record purchase accounting adjustments during the measurement period, which may be up to one year from the acquisition date. Additionally, we review the carrying value of goodwill for impairment by comparing the estimated fair values of our reporting units to their respective carrying values. Determining the fair value of a reporting unit involves judgement and the use of significant estimates and assumptions, 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non-cash impairment charges, and foreign currency fluctuations.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8"/>
                <w:szCs w:val="18"/>
                <w:color w:val="auto"/>
              </w:rPr>
            </w:pPr>
          </w:p>
        </w:tc>
        <w:tc>
          <w:tcPr>
            <w:tcW w:w="204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sale of other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60" w:right="240" w:hanging="328"/>
        <w:spacing w:after="0" w:line="225"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8"/>
                <w:szCs w:val="18"/>
                <w:color w:val="auto"/>
              </w:rPr>
            </w:pPr>
          </w:p>
        </w:tc>
        <w:tc>
          <w:tcPr>
            <w:tcW w:w="204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 on sale of other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300" w:hanging="328"/>
        <w:spacing w:after="0" w:line="232" w:lineRule="auto"/>
        <w:tabs>
          <w:tab w:leader="none" w:pos="64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7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(200) bps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4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80" w:type="dxa"/>
            <w:vAlign w:val="bottom"/>
          </w:tcPr>
          <w:p>
            <w:pPr>
              <w:spacing w:after="0"/>
              <w:rPr>
                <w:sz w:val="14"/>
                <w:szCs w:val="14"/>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5,016</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7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(100) bps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bps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Total revenue increased $409 million, or 8%, in the second quarter of 2025 and increased $656 million, or 7%, in the first six months of 2025 compared to 2024. The revenue increase was driven by higher processing revenue across our businesses, as well as data and analytics sales in both the second quarter and first six months of 2025.</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Revenue in our Merchant segment increased $234 million, or 10%, in the second quarter of 2025 and increased $353 million, or 8%, in the first six months of 2025 compared to 2024. Merchant segment revenue growth included $55 million in the second quarter of 2025 from our CCV acquisition. In the second quarter and first six months of 2025, Small Business contributed 7% and 6% to Merchant segment revenue growth, respectively, primarily driven by our Clover POS and business management platform, including increased payment volumes and the expansion of our merchant relationships through value-added services. Small Business revenue growth also included revenue from the CCV acquisition, as mentioned above. Additionally, Enterprise contributed 2% to Merchant segment revenue growth in both the second quarter and first six months of 2025, primarily driven by transaction growth. Processing’s contribution to Merchant segment revenue growth was nominal in both the second quarter and first six months of 2025.</w:t>
      </w:r>
    </w:p>
    <w:p>
      <w:pPr>
        <w:spacing w:after="0" w:line="13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Revenue in our Financial segment increased $173 million, or 7%, in the second quarter of 2025 and increased $305 million, or 7%, in the first six months of 2025 compared to 2024. Digital Payments contributed 3% to Financial segment revenue growth in both the second quarter and first six months of 2025, driven by increased license and data and analytics sales, along with an increase in transaction volume, including growth in Zelle</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xml:space="preserve"> transactions, in both the second quarter and first six months of 2025. Issuing contributed 5% and 3% to Financial segment revenue growth in the second quarter and first six months of 2025, respectively, driven by data and analytics sales in the second quarter of 2025, and an increase in active accounts in both the second quarter and first six months of 2025. Banking’s contribution to Financial segment revenue growth was nominal in both the second quarter and first six months of 2025.</w:t>
      </w:r>
    </w:p>
    <w:p>
      <w:pPr>
        <w:spacing w:after="0" w:line="14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$2 million in the second quarter of 2025 and decreased $2 million in the first six months of 2025 compared to 2024, as postage revenue was relatively consistent in both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Total expenses increased $141 million, or 4%, in the second quarter of 2025 and $174 million, or 2%, in the first six months of 2025 compared to 2024. Total expenses as a percentage of total revenue decreased 270 basis points to 69.3% in the second quarter of 2025 and 290 basis points to 71.0% in the first six months of 2025 compared to 2024. Total expenses as a percentage of total revenue were favorably impacted by scalable revenue growth and revenue mix. Total expenses as a percentage of total revenue were also favorably impacted by a reduction in amortization of acquisition-related intangible assets of approximately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50 basis points and 60 basis points and a reduction of acquisition and integration related expenses of approximately 20 basis points and 30 basis points in the second quarter and first six months of 2025, respectively.</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increased to 32.8% in the second quarter of 2025 compared to 32.4% in the second quarter of 2024 and increased to 33.5% in the first six months of 2025 compared to 33.1% in the first six months of 2024. Cost of processing and services as a percentage of processing and services revenue was relatively consistent as margins associated with revenue growth were consistent with existing revenue streams.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product as a percentage of product revenue decreased to 57.3% in the second quarter of 2025 compared to 66.1% in the second quarter of 2024 and decreased to 60.0% in the first six months of 2025 compared to 69.7% in the first six months of 2024. Cost of product as a percentage of product revenue decreased primarily due to an increase in high margin license and data and analytics sales in the second quarter and first six months of 2025.</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31.0% in the second quarter of 2025 compared to 33.2% in the second quarter of 2024 and decreased to 31.9% in the first six months of 2025 compared to 34.0% in the first six months of 2024. Selling, general and administrative expenses as a percentage of total revenue was favorably impacted by scalable revenue growth, as well as a reduction in amortization of acquisition-related intangible assets of approximately 60 basis points and 70 basis points, and a reduction of acquisition and integration related expenses of approximately 20 basis points and 10 basis points, in the second quarter and first six months of 2025,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Total operating income increased $268 million, or 19%, in the second quarter of 2025 and $482 million, or 18%, in the first six months of 2025 compared to 2024. Total operating margin increased 270 basis points to 30.7% in the second quarter of 2025 and increased 290 basis points to 29.0% in the first six months of 2025 compared to 2024.</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Operating income in our Merchant segment increased $32 million, or 4%, in the second quarter of 2025 and increased $73 million, or 4%, in the first six months of 2025 compared to 2024. Operating margin decreased 200 basis points to 34.6% in the second quarter of 2025 and decreased 100 basis points to 34.4% in the first six months of 2025 compared to 2024. Operating margin contraction in our Merchant segment in both the second quarter and first six months of 2025 was primarily due to increased investments in marketing, sales and distribution, as well as the impact from our CCV acquisition and increased investments in new software and hardware.</w:t>
      </w:r>
    </w:p>
    <w:p>
      <w:pPr>
        <w:spacing w:after="0" w:line="1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Operating income in our Financial segment increased $151 million, or 14%, in the second quarter of 2025 and increased $291 million, or 14%, in the first six months of 2025 compared to 2024. Operating margin increased 280 basis points to 48.7% in the second quarter of 2025 and increased 310 basis points to 48.1% in the first six months of 2025 compared to 2024. Operating income and operating margin growth in our Financial segment were primarily due to an increase in high margin license and data and analytics sales, as well as expense management initiatives.</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operating loss in Corporate and Other decreased $85 million in the second quarter of 2025 and decreased $118 million in the first six months of 2025 compared to 2024. The operating loss in the second quarter and first six months of 2025 were favorably impacted by a reduction of amortization of acquisition-related intangible assets of $29 million and $67 million, as well as a reduction of acquisition and integration related expenses of $14 million and $36 million, respectively. The remaining favorable impact to operating loss in the second quarter of 2025 was due to expense management initiatives across various corporate functions. The operating loss in the first six months of 2024 included a $12 million facility impairment.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net increased $80 million, or 28%, in the second quarter of 2025 compared to 2024 and increased $150 million, or 27%, in the first six months of 2025 compared to 2024 due to our public offering and issuance of €2.175 billion and $1.75 billion of senior notes in May 2025 and August 2024, respectively, as well as higher outstanding borrowings under our U.S. dollar commercial paper program and foreign lines of credit.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expense, net increased $34 million in the second quarter of 2025 and $45 million in the first six months of 2025 compared to 2024. Other expense, net includes the remeasurement of monetary assets and liabilities for subsidiaries located in highly inflationary economies, gains or losses from a sale or change in fair value of investments in certain equity securities, and amounts related to debt guarantee arrangements of certain joint ventures. The remeasurement of monetary assets and liabilities in highly inflationary economies, including Argentina, resulted in foreign currency exchange losses of $46 million and $18 million for the three months ended June 30, 2025 and 2024, and $64 million and $53 million for the six months ended June 30,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2025 and 2024, respectively. Other expense, net in the second quarter and first six months of 2024 included $6 million and $27 million, respectively, related to gains on the sale and remeasurement of certain equity securities.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loss from investments in unconsolidated affiliates was 19.0% and 19.4% for the three months ended June 30, 2025 and 2024, and 18.6% and 18.2% for the six months ended June 30, 2025 and 2024, respectively. The effective income tax rate for each of the six months ended June 30, 2025 and 2024 included discrete tax benefits from equity compensation, resulting in a lower effective income tax rate compared to the statutory income tax 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Investments in Unconsolidated Affiliates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share of net loss from unconsolidated affiliates accounted for using the equity method is reported as loss from investments in unconsolidated affiliates, and the related tax benefit is reported within the income tax provision in the consolidated statements of income. Loss from investments in unconsolidated affiliates, including non-cash impairment charges and acquired intangible asset amortization from valuations in purchase accounting, was $16 million and $8 million in the second quarter of 2025 and 2024, and $24 million and $16 million in the first six months of 2025 and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 relates to the minority partners’ share of the net income in our consolidated subsidiaries. Net income attributable to noncontrolling interests, including acquired intangible asset amortization from valuations in purchase accounting, was $4 million and $15 million in the second quarter of 2025 and 2024, and $1 million and $32 million in the first six months of 2025 and 2024, respectively. Effective June 2024, we mutually agreed to terminate a joint venture agreement with a merchant alliance joint venture minority partner, resulting in lower net income attributable to noncontrolling interests for the second quarter and first six months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$1.86 and $1.53 in the second quarter of 2025 and 2024, and was $3.36 and $2.76 in the first six months of 2025 and 2024, respectively. In addition to the impacts to net income attributable to Fiserv, Inc. described above, our diluted weighted average outstanding shares were reduced by 6% and 5% in the second quarter and first six months of 2025, respectively, compared to the second quarter and first six months of 2024, due to our share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$999 million, proceeds from the issuance of U.S. dollar and Euro commercial paper, and available capacity under our revolving credit facility of $2.0 billion (net of outstanding revolver borrowings and $4.0 billion of capacity designated for outstanding borrowings under our commercial paper programs, senior notes due within the next twelve months and letters of credit) at June 30,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16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operating cash flow was $2.3 billion in the first six months of 2025, an increase of 6% compared with $2.2 billion in the first six months of 2024. This increase was primarily attributable to increased profitability, partially offset by higher working capital use compared to the first six months of 2024, including increased accounts receivable and prepaid expenses.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merchant cash advances, share repurchases, acquisitions and to repay debt rather than to pay dividends. Net merchant cash advances, primarily associated with our operations in Latin America, were $539 million during the first six months of 2025. These cash advances are funded through a combination of operating cash and various short-term lines of credit. Our capital expenditures were approximately 8% of our total revenue for both the first six months of 2025 and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repurchased 21.9 million shares of our common stock for $4.4 billion and 20.2 million shares of our common stock for $3.0 billion during the first six months of 2025 and 2024, respectively. On February 19, 2025 and February 22, 2023, our board of directors authorized the purchase of up to 60.0 million and 75.0 million shares of our common stock, respectively. As of June 30, 2025, we had approximately 56.1 million shares remaining under our existing share repurchase authorizations. Shares repurchased are generally held for issuance in connection with our equity plans.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acquired Payfare, CCV, Pinch Payments and Money Money in the first six months of 2025 for an aggregate purchase price, including deferred payments, of $365 million, net of $72 million of acquired cash and including earn-out provisions estimated at a fair value of $27 million. We funded these acquisitions by utilizing a combination of available cash and commercial paper. The results of operations for these acquired businesses are included in our consolidated results from the respective dates of acquisition.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third quarter of 2024, Wells Fargo provided us with a notice of non-renewal for WFMS. Upon the expiration of the joint venture on April 1, 2025, we received a cash payment of $453 million, subject to adjustment upon completion of the contractual valuation and separation process.</w:t>
      </w:r>
    </w:p>
    <w:p>
      <w:pPr>
        <w:spacing w:after="0" w:line="108"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In April 2025, we acquired the remaining 19% ownership interest in ICICI Merchant Services Private Limited for $22 million. We previously held a majority controlling financial interest in this consolidated subsidiary and funded this transaction with available cash. In June 2025, we entered into an agreement to acquire the remaining 49.9% ownership interest in AIBMS, which is expected to close in the third quarter of 2025, subject to regulatory approval and other customary closing conditions. We currently maintain a majority controlling financial interest in this consolidated subsidiary.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Indebtedness</w:t>
            </w:r>
          </w:p>
        </w:tc>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2.875% senior notes due June 2028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3.500% senior notes due June 2032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 senior notes due June 2036 (Euro-denominated)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Fiserv Funding Unlimited Company, an indirect wholly owned subsidiary of Fiserv, Inc., completed the public offering and issuance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€2.175 billion of senior notes, comprised of €750 million aggregate principal amount of 2.875% senior notes due in June 2028 (the “2028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€775 million aggregate principal amount of 3.500% senior notes due in June 2032 (the “2032 notes”) and €650 million aggregate principal amount of</w:t>
      </w:r>
    </w:p>
    <w:p>
      <w:pPr>
        <w:spacing w:after="0" w:line="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4.000% senior notes due in June 2036 (the “2036 notes”). Fiserv, Inc. has fully and unconditionally guaranteed these notes on a senior unsecured basis. We used the net proceeds from this senior notes offering for general corporate purposes, including the repayment of a portion of our commercial paper notes, the 3.850% senior notes due in June 2025 and 2.250% senior notes due in July 2025.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2024, we completed the public offering and issuance of $1.75 billion of senior notes, comprised of $850 million aggregate principal amount of 4.750% senior notes due in March 2030 and $900 million aggregate principal amount of 5.150% senior notes due in August 2034. We used the net proceeds from this senior notes offering for general corporate purposes, including the repayment of a portion of our commercial paper notes and for share repurchases.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2024, we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We used the net proceeds from this senior notes offering for general corporate purposes, including the repayment of a portion of our commercial paper notes and for share repurchases, and in July 2024, the repayment of a portion of our 2.750% senior notes.</w:t>
      </w:r>
    </w:p>
    <w:p>
      <w:pPr>
        <w:spacing w:after="0" w:line="1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At June 30, 2025, our debt consisted primarily of $23.6 billion of fixed-rate senior notes and $3.2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June 30, 2025, the 2.250% senior notes due in July 2025 were classified in the consolidated balance sheet as long-term, as we have the ability to refinance such debt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Variable Rate Debt</w:t>
            </w:r>
          </w:p>
        </w:tc>
        <w:tc>
          <w:tcPr>
            <w:tcW w:w="37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June 30, 2025:</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4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28.425%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4.604%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2.214%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2027</w:t>
            </w: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5.430%</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9.887%</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various short-term lines of credit and other borrowing arrangements with foreign banks and alliance partners primarily to fund merchant settlement advances associated with operations in Latin America. The following table provides a summary of the outstanding borrowings and weighted average interest rates of our foreign lines of credit and other borrowing arrangements by country at June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 Interest</w:t>
            </w:r>
          </w:p>
        </w:tc>
      </w:tr>
      <w:tr>
        <w:trPr>
          <w:trHeight w:val="241"/>
        </w:trPr>
        <w:tc>
          <w:tcPr>
            <w:tcW w:w="6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15.840 %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9.892 %</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2.590 %</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Net merchant cash advances, including our Clover Capital program and advanced funding of settlement activity, during the first six months of 2025 were $539 million. We offer advanced funding of settlement activity associated with operations in Latin America by utilizing local operating cash and various short-term lines of credit. As we collect a portion of the corresponding receivables from card issuers over several months, in the event we are unable to continue to borrow in the Latin America overnight markets, we may fund future advances with our consolidated cash and cash equivalents and available capacity under our revolving credit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We also maintain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our long-term debt rating. Outstanding borrowings under the revolving credit facility were $61 million at June 30, 2025. We are required to pay a facility fee based on the aggregate commitments in effect under the credit agreement from time to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and Compliance</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2025,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variable-rate term loan facilities with aggregate outstanding borrowings of $410 million in senior unsecured debt at</w:t>
      </w:r>
    </w:p>
    <w:p>
      <w:pPr>
        <w:ind w:right="20"/>
        <w:spacing w:after="0" w:line="251" w:lineRule="auto"/>
        <w:rPr>
          <w:sz w:val="20"/>
          <w:szCs w:val="20"/>
          <w:color w:val="auto"/>
        </w:rPr>
      </w:pPr>
      <w:r>
        <w:rPr>
          <w:rFonts w:ascii="Times New Roman" w:cs="Times New Roman" w:eastAsia="Times New Roman" w:hAnsi="Times New Roman"/>
          <w:sz w:val="18"/>
          <w:szCs w:val="18"/>
          <w:color w:val="auto"/>
        </w:rPr>
        <w:t>June 30, 2025 and variable-rate revolving credit facilities with an aggregate borrowing capacity of $83 million with a syndicate of banks, which mature in April 2027. There were $52 million of aggregate outstanding borrowings on the revolving credit facilities at June 30, 2025. We have guaranteed the debt of the Lending Joint Ventures. We maintained a liability of $17 million at June 30, 2025 for the estimated fair value of our non-contingent obligations to stand ready to perform over the term of the guarantee arrangements. Such guarantees will be amortized in future periods over the contractual term of the debt. In addition, we maintained a contingent liability of $10 million at June 30, 2025,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Fiserv, Inc. has fully, unconditionally and solely guaranteed on a senior unsecured basis the 2028 notes, 2032 notes and 2036 notes (the “Guaranteed Notes”) issued by Fiserv Funding Unlimited Company (the “Issuer”), an indirect wholly owned subsidiary of Fiserv, Inc. No other subsidiary of Fiserv, Inc. or the Issuer has guaranteed the Guaranteed Notes. The Guaranteed Notes are the Issuer’s unsecured senior obligations and rank equally with other unsecured senior indebtedness of the Issuer from time to time outstanding. The guarantees of Fiserv, Inc. are unsecured senior obligations of Fiserv, Inc. and rank equally with other unsecured senior indebtedness of Fiserv, Inc. from time to time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40" w:type="dxa"/>
            <w:vAlign w:val="bottom"/>
          </w:tcPr>
          <w:p>
            <w:pPr>
              <w:spacing w:after="0"/>
              <w:rPr>
                <w:sz w:val="19"/>
                <w:szCs w:val="19"/>
                <w:color w:val="auto"/>
              </w:rPr>
            </w:pPr>
          </w:p>
        </w:tc>
        <w:tc>
          <w:tcPr>
            <w:tcW w:w="69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48"/>
        </w:trPr>
        <w:tc>
          <w:tcPr>
            <w:tcW w:w="4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line="225" w:lineRule="auto"/>
        <w:tabs>
          <w:tab w:leader="none" w:pos="64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approved by the board of directors of the relevant entity, as well as cash held by other entities that are subject to foreign exchange controls in certain countries or regulatory capital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arises from our international operations to the extent they are conducted in local currency. The major currencies to which our revenues are exposed are the Argentine Peso, Brazilian Real, British Pound, Euro and Indian Rupee. Changes in the value of underlying monetary assets and liabilities of our non-U.S. dollar-denominated foreign investments and foreign currency transactions in highly inflationary economies may result in foreign currency exchange losses.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In April 2025, the Argentine government announced economic policy changes, including the removal of certain currency controls, resulting in a significant devaluation of the Argentine Peso. The remeasurement of monetary assets and liabilities in highly inflationary economies, including Argentina, resulted in foreign currency exchange losses of $46 million and $64 million for the three and six months ended June 30, 2025, respectively, which is included within other expense, net in the consolidated statements of income.</w:t>
      </w:r>
    </w:p>
    <w:p>
      <w:pPr>
        <w:spacing w:after="0" w:line="1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Item 7A of our Annual Report on Form 10-K for the year ended December 31, 2024. There were no significant changes to our quantitative and qualitative analyses about market risk during the six months ended June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June 30,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June 30, 2025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June 30,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or Programs </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3,856,661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3,856,661</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64,456,743</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1-31,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4,575,000</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59,881,743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3,774,764</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56,106,979</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12,206,425</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180" w:hanging="328"/>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19, 2025 and February 22, 2023, our board of directors authorized the purchase of up to 60.0 million and 75.0 million shares of our common stock, respectively. These authorizations do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firstLine="8"/>
        <w:spacing w:after="0" w:line="282"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none of the Company’s directors or Section 16 officers adopted or terminated a Rule 10b5-1 Trading Plan or “non-Rule 10b5-1 trading arrangement,” as defined in Item 408(a)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80" w:type="dxa"/>
            <w:vAlign w:val="bottom"/>
            <w:gridSpan w:val="15"/>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32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32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tcPr>
          <w:p>
            <w:pPr>
              <w:spacing w:after="0"/>
              <w:rPr>
                <w:sz w:val="22"/>
                <w:szCs w:val="22"/>
                <w:color w:val="auto"/>
              </w:rPr>
            </w:pPr>
          </w:p>
        </w:tc>
        <w:tc>
          <w:tcPr>
            <w:tcW w:w="9320" w:type="dxa"/>
            <w:vAlign w:val="bottom"/>
            <w:gridSpan w:val="19"/>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Indenture, dated as of April 24, 2025, among Fiserv Funding Unlimited Company, as issuer, Fiserv, Inc., as a guarantor, the</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guarantors party thereto from time to time and U.S. Bank Trust Company, National Association, as trustee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320" w:type="dxa"/>
            <w:vAlign w:val="bottom"/>
            <w:gridSpan w:val="19"/>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reference to Exhibit 4.4 to the Company’s Post-Effective Amendment No. 1 to the Form S-3 Registration Statement filed on</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99">
              <w:r>
                <w:rPr>
                  <w:rFonts w:ascii="Times New Roman" w:cs="Times New Roman" w:eastAsia="Times New Roman" w:hAnsi="Times New Roman"/>
                  <w:sz w:val="18"/>
                  <w:szCs w:val="18"/>
                  <w:color w:val="0000FF"/>
                  <w:w w:val="98"/>
                </w:rPr>
                <w:t>April 24, 2025).</w:t>
              </w:r>
            </w:hyperlink>
          </w:p>
        </w:tc>
        <w:tc>
          <w:tcPr>
            <w:tcW w:w="776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tcPr>
          <w:p>
            <w:pPr>
              <w:spacing w:after="0"/>
              <w:rPr>
                <w:sz w:val="22"/>
                <w:szCs w:val="22"/>
                <w:color w:val="auto"/>
              </w:rPr>
            </w:pPr>
          </w:p>
        </w:tc>
        <w:tc>
          <w:tcPr>
            <w:tcW w:w="9320" w:type="dxa"/>
            <w:vAlign w:val="bottom"/>
            <w:gridSpan w:val="1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First Supplemental Indenture, dated as of May 7, 2025, among Fiserv Funding Unlimited Company, as issuer, Fiserv, Inc., as a</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guarantor, and U.S. Bank Trust Company, National Association, as trustee (including the Form of 2.875% Senior Notes due</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9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2028) (incorporated by reference to Exhibit 4.1 to the Company’s Current Report on Form 8-K filed on May 7, 2025)</w:t>
              </w:r>
              <w:r>
                <w:rPr>
                  <w:rFonts w:ascii="Times New Roman" w:cs="Times New Roman" w:eastAsia="Times New Roman" w:hAnsi="Times New Roman"/>
                  <w:sz w:val="18"/>
                  <w:szCs w:val="18"/>
                  <w:color w:val="000000"/>
                </w:rPr>
                <w:t>.</w:t>
              </w:r>
            </w:hyperlink>
          </w:p>
        </w:tc>
        <w:tc>
          <w:tcPr>
            <w:tcW w:w="1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240" w:type="dxa"/>
            <w:vAlign w:val="bottom"/>
          </w:tcPr>
          <w:p>
            <w:pPr>
              <w:spacing w:after="0"/>
              <w:rPr>
                <w:sz w:val="24"/>
                <w:szCs w:val="24"/>
                <w:color w:val="auto"/>
              </w:rPr>
            </w:pPr>
          </w:p>
        </w:tc>
        <w:tc>
          <w:tcPr>
            <w:tcW w:w="9320" w:type="dxa"/>
            <w:vAlign w:val="bottom"/>
            <w:gridSpan w:val="19"/>
          </w:tcPr>
          <w:p>
            <w:pPr>
              <w:spacing w:after="0"/>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Second Supplemental Indenture, dated as of May 7, 2025, among Fiserv Funding Unlimited Company, as issuer, Fiserv, Inc., as a</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3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guarantor, and U.S. Bank Trust Company, National Association, as trustee (including the Form of 3.500% Senior Notes due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9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2032) (incorporated by reference to Exhibit 4.2 to the Company’s Current Report on Form 8-K filed on May 7, 2025).</w:t>
              </w:r>
            </w:hyperlink>
          </w:p>
        </w:tc>
        <w:tc>
          <w:tcPr>
            <w:tcW w:w="1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1240" w:type="dxa"/>
            <w:vAlign w:val="bottom"/>
          </w:tcPr>
          <w:p>
            <w:pPr>
              <w:spacing w:after="0"/>
              <w:rPr>
                <w:sz w:val="24"/>
                <w:szCs w:val="24"/>
                <w:color w:val="auto"/>
              </w:rPr>
            </w:pPr>
          </w:p>
        </w:tc>
        <w:tc>
          <w:tcPr>
            <w:tcW w:w="9320" w:type="dxa"/>
            <w:vAlign w:val="bottom"/>
            <w:gridSpan w:val="19"/>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Third Supplemental Indenture, dated as of May 7, 2025, among Fiserv Funding Unlimited Company, as issuer, Fiserv, Inc., as a</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guarantor, and U.S. Bank Trust Company, National Association, as trustee (including the Form of 4.000% Senior Notes due</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9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2036) (incorporated by reference to Exhibit 4.3 to the Company’s Current Report on Form 8-K filed on May 7, 2025).</w:t>
              </w:r>
            </w:hyperlink>
          </w:p>
        </w:tc>
        <w:tc>
          <w:tcPr>
            <w:tcW w:w="16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tcPr>
          <w:p>
            <w:pPr>
              <w:spacing w:after="0"/>
              <w:rPr>
                <w:sz w:val="24"/>
                <w:szCs w:val="24"/>
                <w:color w:val="auto"/>
              </w:rPr>
            </w:pPr>
          </w:p>
        </w:tc>
        <w:tc>
          <w:tcPr>
            <w:tcW w:w="92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Agency Agreement, dated as of May 7, 2025, among Fiserv Funding Unlimited Company, as issuer, U.S. Bank Europe DAC, as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320" w:type="dxa"/>
            <w:vAlign w:val="bottom"/>
            <w:gridSpan w:val="19"/>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paying agent, and U.S. Bank Trust Company, National Association, as trustee and security registrar (incorporated by reference to</w:t>
              </w:r>
            </w:hyperlink>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Exhibit 4.4 to the Company’s Current Report on Form 8-K filed on May 7, 2025).</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spacing w:after="0"/>
              <w:rPr>
                <w:sz w:val="24"/>
                <w:szCs w:val="24"/>
                <w:color w:val="auto"/>
              </w:rPr>
            </w:pPr>
          </w:p>
        </w:tc>
        <w:tc>
          <w:tcPr>
            <w:tcW w:w="31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Subsidiary Issuers of Guaranteed Securities</w:t>
            </w:r>
          </w:p>
        </w:tc>
        <w:tc>
          <w:tcPr>
            <w:tcW w:w="2740" w:type="dxa"/>
            <w:vAlign w:val="bottom"/>
            <w:tcBorders>
              <w:top w:val="single" w:sz="8" w:color="0000FF"/>
            </w:tcBorders>
          </w:tcPr>
          <w:p>
            <w:pPr>
              <w:spacing w:after="0"/>
              <w:rPr>
                <w:sz w:val="24"/>
                <w:szCs w:val="24"/>
                <w:color w:val="auto"/>
              </w:rPr>
            </w:pPr>
          </w:p>
        </w:tc>
        <w:tc>
          <w:tcPr>
            <w:tcW w:w="3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8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8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3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1" w:lineRule="exact"/>
        <w:rPr>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right="340" w:hanging="8"/>
        <w:spacing w:after="0" w:line="253" w:lineRule="auto"/>
        <w:tabs>
          <w:tab w:leader="none" w:pos="5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Income for the three and six months ended June 30, 2025 and 2024, (ii) the Consolidated Statements of Comprehensive Income for the three and six months ended June 30, 2025 and 2024, (iii) the Consolidated Balance Sheets at June 30, 2025 and December 31, 2024, (iv) the Consolidated Statements of Cash Flows for the six months ended June 30, 2025 and 2024, (v) Notes to Consolidated Financial Statements, and (vi) the information included in Part II, Item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24, 2025</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24, 2025</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4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table below lists the subsidiaries of Fiserv, Inc. (the “Company”) that are issuers of outstanding securities subject to Section 13(a) or 15(d) of the Securities Exchange Act of 1934, as amended, that have been fully and unconditionally guaranteed by the Company. No other subsidiary of the Company guarantees the securities listed in the table below.</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7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Fiserv Funding Unlimited Company</w:t>
            </w:r>
          </w:p>
        </w:tc>
        <w:tc>
          <w:tcPr>
            <w:tcW w:w="37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Republic of Ireland</w:t>
            </w:r>
          </w:p>
        </w:tc>
        <w:tc>
          <w:tcPr>
            <w:tcW w:w="374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2.875% Senior Notes due 2028</w:t>
            </w:r>
          </w:p>
        </w:tc>
      </w:tr>
      <w:tr>
        <w:trPr>
          <w:trHeight w:val="189"/>
        </w:trPr>
        <w:tc>
          <w:tcPr>
            <w:tcW w:w="374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3.500% Senior Notes due 2032</w:t>
            </w: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4.000% Senior Notes due 2036</w:t>
            </w:r>
          </w:p>
        </w:tc>
      </w:tr>
      <w:tr>
        <w:trPr>
          <w:trHeight w:val="41"/>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40"/>
          </w:cols>
          <w:pgMar w:left="320" w:top="87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Lyons,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20" w:val="left"/>
        </w:tabs>
        <w:rPr>
          <w:sz w:val="20"/>
          <w:szCs w:val="20"/>
          <w:color w:val="auto"/>
        </w:rPr>
      </w:pPr>
      <w:r>
        <w:rPr>
          <w:rFonts w:ascii="Times New Roman" w:cs="Times New Roman" w:eastAsia="Times New Roman" w:hAnsi="Times New Roman"/>
          <w:sz w:val="18"/>
          <w:szCs w:val="18"/>
          <w:color w:val="auto"/>
        </w:rPr>
        <w:t>Date: July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P.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43180</wp:posOffset>
            </wp:positionV>
            <wp:extent cx="23399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Michael P. Lyons</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July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June 30, 2025 as filed with the Securities and Exchange Commission on the date hereof (the “Report”), Michael P. Lyons, as Chief Executive Officer of the Company, and Robert W. Hau,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Lyons</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Lyons</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24, 2025</w:t>
            </w:r>
          </w:p>
        </w:tc>
      </w:tr>
      <w:tr>
        <w:trPr>
          <w:trHeight w:val="8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29"/>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24, 2025</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
      <w:numFmt w:val="bullet"/>
      <w:start w:val="1"/>
    </w:lvl>
    <w:lvl w:ilvl="1">
      <w:lvlJc w:val="left"/>
      <w:lvlText w:val="(%2)"/>
      <w:numFmt w:val="lowerRoman"/>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99" Type="http://schemas.openxmlformats.org/officeDocument/2006/relationships/hyperlink" Target="https://www.sec.gov/Archives/edgar/data/798354/000119312525093731/d883594dex44.htm" TargetMode="External"/><Relationship Id="rId100" Type="http://schemas.openxmlformats.org/officeDocument/2006/relationships/hyperlink" Target="https://www.sec.gov/Archives/edgar/data/798354/000119312525115067/d25412dex41.htm" TargetMode="External"/><Relationship Id="rId101" Type="http://schemas.openxmlformats.org/officeDocument/2006/relationships/hyperlink" Target="https://www.sec.gov/Archives/edgar/data/798354/000119312525115067/d25412dex42.htm" TargetMode="External"/><Relationship Id="rId102" Type="http://schemas.openxmlformats.org/officeDocument/2006/relationships/hyperlink" Target="https://www.sec.gov/Archives/edgar/data/798354/000119312525115067/d25412dex43.htm" TargetMode="External"/><Relationship Id="rId103" Type="http://schemas.openxmlformats.org/officeDocument/2006/relationships/hyperlink" Target="https://www.sec.gov/Archives/edgar/data/798354/000119312525115067/d25412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2025-07-24T06:20:30Z</dcterms:created>
  <dcterms:modified xsi:type="dcterms:W3CDTF">2025-07-24T06:20:30Z</dcterms:modified>
</cp:coreProperties>
</file>