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FORM 8-K/A No. 1</w:t>
      </w:r>
    </w:p>
    <w:p>
      <w:pPr>
        <w:spacing w:after="0" w:line="346"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CURRENT REPORT</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PURSUANT TO SECTION 13 OR 15(d) OF</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DATE OF REPORT: MARCH 16, 2000</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CHECKFREE HOLDINGS CORPORATION</w:t>
      </w:r>
    </w:p>
    <w:p>
      <w:pPr>
        <w:spacing w:after="0" w:line="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31" w:right="1440" w:bottom="1440" w:gutter="0" w:footer="0" w:header="0"/>
        </w:sectPr>
      </w:pPr>
    </w:p>
    <w:p>
      <w:pPr>
        <w:spacing w:after="0" w:line="35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2"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OF INCORPORATION OR</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0-26802</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58-2360335</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(IRS EMPLOYER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4" w:lineRule="exact"/>
        <w:rPr>
          <w:sz w:val="24"/>
          <w:szCs w:val="24"/>
          <w:color w:val="auto"/>
        </w:rPr>
      </w:pPr>
    </w:p>
    <w:p>
      <w:pPr>
        <w:sectPr>
          <w:pgSz w:w="11900" w:h="16838" w:orient="portrait"/>
          <w:cols w:equalWidth="0" w:num="3">
            <w:col w:w="2680" w:space="180"/>
            <w:col w:w="2060" w:space="260"/>
            <w:col w:w="5039"/>
          </w:cols>
          <w:pgMar w:left="240" w:top="231"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ORGANIZATION)</w:t>
      </w:r>
    </w:p>
    <w:p>
      <w:pPr>
        <w:sectPr>
          <w:pgSz w:w="11900" w:h="16838" w:orient="portrait"/>
          <w:cols w:equalWidth="0" w:num="1">
            <w:col w:w="10219"/>
          </w:cols>
          <w:pgMar w:left="240" w:top="231" w:right="1440" w:bottom="1440" w:gutter="0" w:footer="0" w:header="0"/>
          <w:type w:val="continuous"/>
        </w:sectPr>
      </w:pPr>
    </w:p>
    <w:p>
      <w:pPr>
        <w:spacing w:after="0" w:line="18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4411 East Jones Bridge Road</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Norcross, Georgia 30092</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(678) 375-3000</w:t>
      </w:r>
    </w:p>
    <w:p>
      <w:pPr>
        <w:spacing w:after="0" w:line="2"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INCLUDING AREA CODE OF REGISTRANT'S</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PRINCIPAL EXECUTIVE OFFICES)</w:t>
      </w:r>
    </w:p>
    <w:p>
      <w:pPr>
        <w:spacing w:after="0" w:line="200" w:lineRule="exact"/>
        <w:rPr>
          <w:sz w:val="24"/>
          <w:szCs w:val="24"/>
          <w:color w:val="auto"/>
        </w:rPr>
      </w:pPr>
    </w:p>
    <w:p>
      <w:pPr>
        <w:spacing w:after="0" w:line="318"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Not Applicable</w:t>
      </w:r>
    </w:p>
    <w:p>
      <w:pPr>
        <w:spacing w:after="0" w:line="4"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4"/>
          <w:szCs w:val="14"/>
          <w:color w:val="auto"/>
        </w:rPr>
        <w:t>(FORMER NAME OR FORMER ADDRESS, IF CHANGED SINCE LAST REPORT)</w:t>
      </w:r>
    </w:p>
    <w:p>
      <w:pPr>
        <w:sectPr>
          <w:pgSz w:w="11900" w:h="16838" w:orient="portrait"/>
          <w:cols w:equalWidth="0" w:num="1">
            <w:col w:w="10219"/>
          </w:cols>
          <w:pgMar w:left="240" w:top="231"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OTHER EVENTS.</w:t>
      </w:r>
    </w:p>
    <w:p>
      <w:pPr>
        <w:spacing w:after="0" w:line="176" w:lineRule="exact"/>
        <w:rPr>
          <w:sz w:val="20"/>
          <w:szCs w:val="20"/>
          <w:color w:val="auto"/>
        </w:rPr>
      </w:pPr>
    </w:p>
    <w:p>
      <w:pPr>
        <w:ind w:right="3079" w:firstLine="805"/>
        <w:spacing w:after="0" w:line="263" w:lineRule="auto"/>
        <w:rPr>
          <w:sz w:val="20"/>
          <w:szCs w:val="20"/>
          <w:color w:val="auto"/>
        </w:rPr>
      </w:pPr>
      <w:r>
        <w:rPr>
          <w:rFonts w:ascii="Courier New" w:cs="Courier New" w:eastAsia="Courier New" w:hAnsi="Courier New"/>
          <w:sz w:val="14"/>
          <w:szCs w:val="14"/>
          <w:color w:val="auto"/>
        </w:rPr>
        <w:t>On December 21, 1999, CheckFree Holdings Corporation announced that it had entered into a definitive merger agreement to acquire BlueGill Technologies, Inc., the leading provider of Internet billing and statement creation software applications, for shares of CheckFree common stock. Attached as an exhibit to this report are the financial statements of BlueGill as of December 31, 1997, 1998, and 1999, together with the Report of Independent Public Accountants.</w:t>
      </w:r>
    </w:p>
    <w:p>
      <w:pPr>
        <w:spacing w:after="0" w:line="16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Additionally, on February 15, 2000, CheckFree announced that it had entered into a definitive merger and contribution agreement to acquire MSFDC LLC and its subsidiaries, TransPoint Technology &amp; Services LLC, TransPoint LLC, and MSFDC International, LP, collectively referred to as or TransPoint, entities owned by Microsoft Corporation, First Data Corporation and Citicorp, N.A. Attached as an exhibit to this report are the audited financial statements of TransPoint as of and for the periods ended July 3, 1998 and July 2, 1999, and the unaudited financial statements as of and for the six months ended December 31, 1999.</w:t>
      </w:r>
    </w:p>
    <w:p>
      <w:pPr>
        <w:spacing w:after="0" w:line="350"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Also included in this report are the unaudited pro forma condensed combining financial information for CheckFree, BlueGill and TransPoint, for CheckFree and BlueGill, and for CheckFree and TransPoint. A copy of the BlueGill and TransPoint financial statements and the unaudited pro forma condensed combining financial information were filed with the Securities and Exchange Commission on March 16, 2000 as part of CheckFree's Form S-4 Registration Statement (Registration No. 333-32644), as amended on April 18, 2000.</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346" w:lineRule="exact"/>
        <w:rPr>
          <w:sz w:val="20"/>
          <w:szCs w:val="20"/>
          <w:color w:val="auto"/>
        </w:rPr>
      </w:pPr>
    </w:p>
    <w:p>
      <w:pPr>
        <w:ind w:left="1240" w:hanging="533"/>
        <w:spacing w:after="0"/>
        <w:tabs>
          <w:tab w:leader="none" w:pos="12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BUSINESSES ACQUIRED.</w:t>
      </w:r>
    </w:p>
    <w:p>
      <w:pPr>
        <w:spacing w:after="0" w:line="174" w:lineRule="exact"/>
        <w:rPr>
          <w:rFonts w:ascii="Courier New" w:cs="Courier New" w:eastAsia="Courier New" w:hAnsi="Courier New"/>
          <w:sz w:val="15"/>
          <w:szCs w:val="15"/>
          <w:color w:val="auto"/>
        </w:rPr>
      </w:pPr>
    </w:p>
    <w:p>
      <w:pPr>
        <w:ind w:left="1780" w:hanging="536"/>
        <w:spacing w:after="0"/>
        <w:tabs>
          <w:tab w:leader="none" w:pos="178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TECHNOLOGIES, INC.</w:t>
      </w:r>
    </w:p>
    <w:p>
      <w:pPr>
        <w:spacing w:after="0" w:line="176" w:lineRule="exact"/>
        <w:rPr>
          <w:sz w:val="20"/>
          <w:szCs w:val="20"/>
          <w:color w:val="auto"/>
        </w:rPr>
      </w:pPr>
    </w:p>
    <w:p>
      <w:pPr>
        <w:ind w:right="3439" w:firstLine="716"/>
        <w:spacing w:after="0"/>
        <w:rPr>
          <w:sz w:val="20"/>
          <w:szCs w:val="20"/>
          <w:color w:val="auto"/>
        </w:rPr>
      </w:pPr>
      <w:r>
        <w:rPr>
          <w:rFonts w:ascii="Courier New" w:cs="Courier New" w:eastAsia="Courier New" w:hAnsi="Courier New"/>
          <w:sz w:val="15"/>
          <w:szCs w:val="15"/>
          <w:color w:val="auto"/>
        </w:rPr>
        <w:t>The following is a list of the BlueGill audited financial statements filed with this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w w:val="99"/>
              </w:rPr>
              <w:t>Report of Independent Accountants...................................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172"/>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w w:val="99"/>
              </w:rPr>
              <w:t>Consolidated Balance Sheets as of December 31, 1998 and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w w:val="98"/>
              </w:rPr>
              <w:t>December 31, 1997, 1998 and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Consolidated Statements of Stockholder's Equity (Deficit) for the</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w w:val="98"/>
              </w:rPr>
              <w:t>Years Ended December 31, 1997, 1998 and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w w:val="98"/>
              </w:rPr>
              <w:t>December 31, 1997, 1998 and 1999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Notes to Consolidated Financial Statements for the Years Ended</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w w:val="98"/>
              </w:rPr>
              <w:t>December 31, 1998 and 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44"/>
        </w:trPr>
        <w:tc>
          <w:tcPr>
            <w:tcW w:w="6780" w:type="dxa"/>
            <w:vAlign w:val="bottom"/>
          </w:tcPr>
          <w:p>
            <w:pPr>
              <w:jc w:val="right"/>
              <w:ind w:right="2785"/>
              <w:spacing w:after="0"/>
              <w:rPr>
                <w:sz w:val="20"/>
                <w:szCs w:val="20"/>
                <w:color w:val="auto"/>
              </w:rPr>
            </w:pPr>
            <w:r>
              <w:rPr>
                <w:rFonts w:ascii="Courier New" w:cs="Courier New" w:eastAsia="Courier New" w:hAnsi="Courier New"/>
                <w:sz w:val="15"/>
                <w:szCs w:val="15"/>
                <w:color w:val="auto"/>
              </w:rPr>
              <w:t>(2)   THE TRANSPOINT ENTITIES.</w:t>
            </w:r>
          </w:p>
        </w:tc>
        <w:tc>
          <w:tcPr>
            <w:tcW w:w="360" w:type="dxa"/>
            <w:vAlign w:val="bottom"/>
          </w:tcPr>
          <w:p>
            <w:pPr>
              <w:spacing w:after="0"/>
              <w:rPr>
                <w:sz w:val="24"/>
                <w:szCs w:val="24"/>
                <w:color w:val="auto"/>
              </w:rPr>
            </w:pPr>
          </w:p>
        </w:tc>
      </w:tr>
      <w:tr>
        <w:trPr>
          <w:trHeight w:val="344"/>
        </w:trPr>
        <w:tc>
          <w:tcPr>
            <w:tcW w:w="6780" w:type="dxa"/>
            <w:vAlign w:val="bottom"/>
          </w:tcPr>
          <w:p>
            <w:pPr>
              <w:ind w:left="800"/>
              <w:spacing w:after="0"/>
              <w:rPr>
                <w:sz w:val="20"/>
                <w:szCs w:val="20"/>
                <w:color w:val="auto"/>
              </w:rPr>
            </w:pPr>
            <w:r>
              <w:rPr>
                <w:rFonts w:ascii="Courier New" w:cs="Courier New" w:eastAsia="Courier New" w:hAnsi="Courier New"/>
                <w:sz w:val="15"/>
                <w:szCs w:val="15"/>
                <w:color w:val="auto"/>
              </w:rPr>
              <w:t>The following is a list of the TransPoint audited and unaudited</w:t>
            </w:r>
          </w:p>
        </w:tc>
        <w:tc>
          <w:tcPr>
            <w:tcW w:w="360" w:type="dxa"/>
            <w:vAlign w:val="bottom"/>
          </w:tcPr>
          <w:p>
            <w:pPr>
              <w:spacing w:after="0"/>
              <w:rPr>
                <w:sz w:val="24"/>
                <w:szCs w:val="24"/>
                <w:color w:val="auto"/>
              </w:rPr>
            </w:pPr>
          </w:p>
        </w:tc>
      </w:tr>
      <w:tr>
        <w:trPr>
          <w:trHeight w:val="172"/>
        </w:trPr>
        <w:tc>
          <w:tcPr>
            <w:tcW w:w="6780" w:type="dxa"/>
            <w:vAlign w:val="bottom"/>
          </w:tcPr>
          <w:p>
            <w:pPr>
              <w:jc w:val="right"/>
              <w:ind w:right="2785"/>
              <w:spacing w:after="0"/>
              <w:rPr>
                <w:sz w:val="20"/>
                <w:szCs w:val="20"/>
                <w:color w:val="auto"/>
              </w:rPr>
            </w:pPr>
            <w:r>
              <w:rPr>
                <w:rFonts w:ascii="Courier New" w:cs="Courier New" w:eastAsia="Courier New" w:hAnsi="Courier New"/>
                <w:sz w:val="15"/>
                <w:szCs w:val="15"/>
                <w:color w:val="auto"/>
                <w:w w:val="98"/>
              </w:rPr>
              <w:t>financial statements filed with this report:</w:t>
            </w:r>
          </w:p>
        </w:tc>
        <w:tc>
          <w:tcPr>
            <w:tcW w:w="360" w:type="dxa"/>
            <w:vAlign w:val="bottom"/>
          </w:tcPr>
          <w:p>
            <w:pPr>
              <w:spacing w:after="0"/>
              <w:rPr>
                <w:sz w:val="14"/>
                <w:szCs w:val="14"/>
                <w:color w:val="auto"/>
              </w:rPr>
            </w:pPr>
          </w:p>
        </w:tc>
      </w:tr>
      <w:tr>
        <w:trPr>
          <w:trHeight w:val="344"/>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Independent Auditors' Report.......................................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F-17</w:t>
            </w:r>
          </w:p>
        </w:tc>
      </w:tr>
      <w:tr>
        <w:trPr>
          <w:trHeight w:val="172"/>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Consolidated Balance Sheets as of July 3, 1998, as of July 2, 1999,</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and as of December 31, 1999 (unaudited)..........................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F-18</w:t>
            </w:r>
          </w:p>
        </w:tc>
      </w:tr>
      <w:tr>
        <w:trPr>
          <w:trHeight w:val="172"/>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Consolidated Statements of Operations for the Period from Inception</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to July 3, 1998, for the Year Ended July 2, 1999, for the Period</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from Inception to July 2, 1999, for the Six Months Ended December</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31, 1998 (unaudited), for the Six Months Ended December 31, 1999</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(unaudited), and for the Period from Inception to December</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31, 1999 (unaudited).............................................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F-19</w:t>
            </w:r>
          </w:p>
        </w:tc>
      </w:tr>
      <w:tr>
        <w:trPr>
          <w:trHeight w:val="172"/>
        </w:trPr>
        <w:tc>
          <w:tcPr>
            <w:tcW w:w="6780" w:type="dxa"/>
            <w:vAlign w:val="bottom"/>
          </w:tcPr>
          <w:p>
            <w:pPr>
              <w:ind w:left="700"/>
              <w:spacing w:after="0"/>
              <w:rPr>
                <w:sz w:val="20"/>
                <w:szCs w:val="20"/>
                <w:color w:val="auto"/>
              </w:rPr>
            </w:pPr>
            <w:r>
              <w:rPr>
                <w:rFonts w:ascii="Courier New" w:cs="Courier New" w:eastAsia="Courier New" w:hAnsi="Courier New"/>
                <w:sz w:val="15"/>
                <w:szCs w:val="15"/>
                <w:color w:val="auto"/>
              </w:rPr>
              <w:t>Consolidated Statements of Members' Capital Deficiency for the Year</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Ended July 3, 1998, for the Period from Inception to July 3,</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1998, for the Year Ended July 2, 1999, for the Period from</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Inception to July 2, 1999, for the Six Months Ended December 31,</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1998 (unaudited), for the Six Months Ended December 31, 1999</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(unaudited), and for the Period from Inception to December 31,</w:t>
            </w:r>
          </w:p>
        </w:tc>
        <w:tc>
          <w:tcPr>
            <w:tcW w:w="360" w:type="dxa"/>
            <w:vAlign w:val="bottom"/>
          </w:tcPr>
          <w:p>
            <w:pPr>
              <w:spacing w:after="0"/>
              <w:rPr>
                <w:sz w:val="14"/>
                <w:szCs w:val="14"/>
                <w:color w:val="auto"/>
              </w:rPr>
            </w:pPr>
          </w:p>
        </w:tc>
      </w:tr>
      <w:tr>
        <w:trPr>
          <w:trHeight w:val="172"/>
        </w:trPr>
        <w:tc>
          <w:tcPr>
            <w:tcW w:w="6780" w:type="dxa"/>
            <w:vAlign w:val="bottom"/>
          </w:tcPr>
          <w:p>
            <w:pPr>
              <w:ind w:left="880"/>
              <w:spacing w:after="0"/>
              <w:rPr>
                <w:sz w:val="20"/>
                <w:szCs w:val="20"/>
                <w:color w:val="auto"/>
              </w:rPr>
            </w:pPr>
            <w:r>
              <w:rPr>
                <w:rFonts w:ascii="Courier New" w:cs="Courier New" w:eastAsia="Courier New" w:hAnsi="Courier New"/>
                <w:sz w:val="15"/>
                <w:szCs w:val="15"/>
                <w:color w:val="auto"/>
              </w:rPr>
              <w:t>1999 (unaudited).................................................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F-20</w:t>
            </w:r>
          </w:p>
        </w:tc>
      </w:tr>
      <w:tr>
        <w:trPr>
          <w:trHeight w:val="344"/>
        </w:trPr>
        <w:tc>
          <w:tcPr>
            <w:tcW w:w="6780" w:type="dxa"/>
            <w:vAlign w:val="bottom"/>
          </w:tcPr>
          <w:p>
            <w:pPr>
              <w:ind w:left="3480"/>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Consolidated Statements of Cash Flows for the Period from Inception</w:t>
      </w:r>
    </w:p>
    <w:p>
      <w:pPr>
        <w:spacing w:after="0" w:line="2"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 July 3, 1998, for the Year Ended July 2, 1999,</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for the Period</w:t>
            </w:r>
          </w:p>
        </w:tc>
      </w:tr>
      <w:tr>
        <w:trPr>
          <w:trHeight w:val="172"/>
        </w:trPr>
        <w:tc>
          <w:tcPr>
            <w:tcW w:w="6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from Inception to July 2, 1999, for the Six Months Ended</w:t>
            </w:r>
          </w:p>
        </w:tc>
      </w:tr>
      <w:tr>
        <w:trPr>
          <w:trHeight w:val="172"/>
        </w:trPr>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1998</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(unaudited), for the Six Months</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(unaudited), and for the Period</w:t>
            </w:r>
          </w:p>
        </w:tc>
        <w:tc>
          <w:tcPr>
            <w:tcW w:w="1780" w:type="dxa"/>
            <w:vAlign w:val="bottom"/>
          </w:tcPr>
          <w:p>
            <w:pPr>
              <w:spacing w:after="0"/>
              <w:rPr>
                <w:sz w:val="20"/>
                <w:szCs w:val="20"/>
                <w:color w:val="auto"/>
              </w:rPr>
            </w:pPr>
            <w:r>
              <w:rPr>
                <w:rFonts w:ascii="Courier New" w:cs="Courier New" w:eastAsia="Courier New" w:hAnsi="Courier New"/>
                <w:sz w:val="15"/>
                <w:szCs w:val="15"/>
                <w:color w:val="auto"/>
              </w:rPr>
              <w:t>from Inception</w:t>
            </w:r>
          </w:p>
        </w:tc>
      </w:tr>
      <w:tr>
        <w:trPr>
          <w:trHeight w:val="172"/>
        </w:trPr>
        <w:tc>
          <w:tcPr>
            <w:tcW w:w="46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6"/>
              </w:rPr>
              <w:t>to December 31, 1999 (unaudited).................................</w:t>
            </w:r>
          </w:p>
        </w:tc>
        <w:tc>
          <w:tcPr>
            <w:tcW w:w="1780" w:type="dxa"/>
            <w:vAlign w:val="bottom"/>
          </w:tcPr>
          <w:p>
            <w:pPr>
              <w:ind w:left="1420"/>
              <w:spacing w:after="0"/>
              <w:rPr>
                <w:sz w:val="20"/>
                <w:szCs w:val="20"/>
                <w:color w:val="auto"/>
              </w:rPr>
            </w:pPr>
            <w:r>
              <w:rPr>
                <w:rFonts w:ascii="Courier New" w:cs="Courier New" w:eastAsia="Courier New" w:hAnsi="Courier New"/>
                <w:sz w:val="15"/>
                <w:szCs w:val="15"/>
                <w:color w:val="auto"/>
                <w:w w:val="94"/>
              </w:rPr>
              <w:t>F-21</w:t>
            </w:r>
          </w:p>
        </w:tc>
      </w:tr>
      <w:tr>
        <w:trPr>
          <w:trHeight w:val="172"/>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w w:val="76"/>
              </w:rPr>
              <w:t>Notes to Consolidated Financial Statements.........................</w:t>
            </w:r>
          </w:p>
        </w:tc>
        <w:tc>
          <w:tcPr>
            <w:tcW w:w="1780" w:type="dxa"/>
            <w:vAlign w:val="bottom"/>
          </w:tcPr>
          <w:p>
            <w:pPr>
              <w:ind w:left="1420"/>
              <w:spacing w:after="0"/>
              <w:rPr>
                <w:sz w:val="20"/>
                <w:szCs w:val="20"/>
                <w:color w:val="auto"/>
              </w:rPr>
            </w:pPr>
            <w:r>
              <w:rPr>
                <w:rFonts w:ascii="Courier New" w:cs="Courier New" w:eastAsia="Courier New" w:hAnsi="Courier New"/>
                <w:sz w:val="15"/>
                <w:szCs w:val="15"/>
                <w:color w:val="auto"/>
                <w:w w:val="94"/>
              </w:rPr>
              <w:t>F-22</w:t>
            </w:r>
          </w:p>
        </w:tc>
      </w:tr>
    </w:tbl>
    <w:p>
      <w:pPr>
        <w:spacing w:after="0" w:line="174" w:lineRule="exact"/>
        <w:rPr>
          <w:sz w:val="20"/>
          <w:szCs w:val="20"/>
          <w:color w:val="auto"/>
        </w:rPr>
      </w:pPr>
    </w:p>
    <w:p>
      <w:pPr>
        <w:ind w:left="1520" w:hanging="813"/>
        <w:spacing w:after="0"/>
        <w:tabs>
          <w:tab w:leader="none" w:pos="15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w:t>
      </w:r>
    </w:p>
    <w:p>
      <w:pPr>
        <w:spacing w:after="0" w:line="348" w:lineRule="exact"/>
        <w:rPr>
          <w:sz w:val="20"/>
          <w:szCs w:val="20"/>
          <w:color w:val="auto"/>
        </w:rPr>
      </w:pPr>
    </w:p>
    <w:p>
      <w:pPr>
        <w:jc w:val="both"/>
        <w:ind w:right="3159" w:firstLine="716"/>
        <w:spacing w:after="0" w:line="267" w:lineRule="auto"/>
        <w:rPr>
          <w:sz w:val="20"/>
          <w:szCs w:val="20"/>
          <w:color w:val="auto"/>
        </w:rPr>
      </w:pPr>
      <w:r>
        <w:rPr>
          <w:rFonts w:ascii="Courier New" w:cs="Courier New" w:eastAsia="Courier New" w:hAnsi="Courier New"/>
          <w:sz w:val="14"/>
          <w:szCs w:val="14"/>
          <w:color w:val="auto"/>
        </w:rPr>
        <w:t>The following is a list of the unaudited pro forma condensed combining financial information for CheckFree, BlueGill and TransPoint, for CheckFree and BlueGill, and for CheckFree and the TransPoint Entities filed with this report:</w:t>
      </w:r>
    </w:p>
    <w:p>
      <w:pPr>
        <w:spacing w:after="0" w:line="157"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Balance Sheet With</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BlueGill and the TransPoint Entities as of</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w w:val="98"/>
              </w:rPr>
              <w:t>December 31, 1999</w:t>
            </w:r>
          </w:p>
        </w:tc>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PF-1</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 BlueGill and the TransPoint Entities For the</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Year Ended June 30, 1999................................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PF-2</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 BlueGill and the TransPoint Entities For the</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Six Months Ended December 31, 1999......................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PF-3</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Notes to Unaudited Pro Forma Condensed Combining Financial</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Information With BlueGill and the TransPoint Entities...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PF-4</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Balance Sheet With</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BlueGill as of December 31, 1999........................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PF-8</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With BlueGill For the Year Ended June 30, 1999..........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PF-9</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 BlueGill For the Six Months Ended December</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31, 1999................................................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PF-10</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Notes to Unaudited Pro Forma Condensed Combining Financial</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Information With BlueGill...............................</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PF-11</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Balance Sheet With</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the TransPoint Entities as of December 31, 1999.........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PF-18</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 the TransPoint Entities For the Year Ended</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June 30, 1999...........................................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PF-19</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With the TransPoint Entities For the Six Months Ended</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w w:val="98"/>
              </w:rPr>
              <w:t>December 31, 1999</w:t>
            </w:r>
          </w:p>
        </w:tc>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PF-20</w:t>
            </w:r>
          </w:p>
        </w:tc>
      </w:tr>
      <w:tr>
        <w:trPr>
          <w:trHeight w:val="172"/>
        </w:trPr>
        <w:tc>
          <w:tcPr>
            <w:tcW w:w="59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Notes to Unaudited Pro Forma Condensed Combining Financial</w:t>
            </w:r>
          </w:p>
        </w:tc>
        <w:tc>
          <w:tcPr>
            <w:tcW w:w="48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538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99"/>
              </w:rPr>
              <w:t>Information With the TransPoint Entities................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PF-21</w:t>
            </w:r>
          </w:p>
        </w:tc>
      </w:tr>
      <w:tr>
        <w:trPr>
          <w:trHeight w:val="688"/>
        </w:trPr>
        <w:tc>
          <w:tcPr>
            <w:tcW w:w="58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rPr>
              <w:t>EXHIBITS.</w:t>
            </w:r>
          </w:p>
        </w:tc>
        <w:tc>
          <w:tcPr>
            <w:tcW w:w="35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16"/>
        </w:trPr>
        <w:tc>
          <w:tcPr>
            <w:tcW w:w="580" w:type="dxa"/>
            <w:vAlign w:val="bottom"/>
          </w:tcPr>
          <w:p>
            <w:pPr>
              <w:spacing w:after="0"/>
              <w:rPr>
                <w:sz w:val="24"/>
                <w:szCs w:val="2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rPr>
              <w:t>EXHIBIT NO.</w:t>
            </w:r>
          </w:p>
        </w:tc>
        <w:tc>
          <w:tcPr>
            <w:tcW w:w="354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DESCRIPTION</w:t>
            </w:r>
          </w:p>
        </w:tc>
        <w:tc>
          <w:tcPr>
            <w:tcW w:w="480" w:type="dxa"/>
            <w:vAlign w:val="bottom"/>
          </w:tcPr>
          <w:p>
            <w:pPr>
              <w:spacing w:after="0"/>
              <w:rPr>
                <w:sz w:val="24"/>
                <w:szCs w:val="24"/>
                <w:color w:val="auto"/>
              </w:rPr>
            </w:pPr>
          </w:p>
        </w:tc>
      </w:tr>
      <w:tr>
        <w:trPr>
          <w:trHeight w:val="344"/>
        </w:trPr>
        <w:tc>
          <w:tcPr>
            <w:tcW w:w="580" w:type="dxa"/>
            <w:vAlign w:val="bottom"/>
          </w:tcPr>
          <w:p>
            <w:pPr>
              <w:spacing w:after="0"/>
              <w:rPr>
                <w:sz w:val="24"/>
                <w:szCs w:val="24"/>
                <w:color w:val="auto"/>
              </w:rPr>
            </w:pPr>
          </w:p>
        </w:tc>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23.1</w:t>
            </w:r>
          </w:p>
        </w:tc>
        <w:tc>
          <w:tcPr>
            <w:tcW w:w="3540" w:type="dxa"/>
            <w:vAlign w:val="bottom"/>
          </w:tcPr>
          <w:p>
            <w:pPr>
              <w:ind w:left="100"/>
              <w:spacing w:after="0"/>
              <w:rPr>
                <w:sz w:val="20"/>
                <w:szCs w:val="20"/>
                <w:color w:val="auto"/>
              </w:rPr>
            </w:pPr>
            <w:r>
              <w:rPr>
                <w:rFonts w:ascii="Courier New" w:cs="Courier New" w:eastAsia="Courier New" w:hAnsi="Courier New"/>
                <w:sz w:val="15"/>
                <w:szCs w:val="15"/>
                <w:color w:val="auto"/>
              </w:rPr>
              <w:t>Consent of Deloitte &amp; Touche LLP</w:t>
            </w:r>
          </w:p>
        </w:tc>
        <w:tc>
          <w:tcPr>
            <w:tcW w:w="480" w:type="dxa"/>
            <w:vAlign w:val="bottom"/>
          </w:tcPr>
          <w:p>
            <w:pPr>
              <w:spacing w:after="0"/>
              <w:rPr>
                <w:sz w:val="24"/>
                <w:szCs w:val="24"/>
                <w:color w:val="auto"/>
              </w:rPr>
            </w:pPr>
          </w:p>
        </w:tc>
      </w:tr>
      <w:tr>
        <w:trPr>
          <w:trHeight w:val="172"/>
        </w:trPr>
        <w:tc>
          <w:tcPr>
            <w:tcW w:w="580" w:type="dxa"/>
            <w:vAlign w:val="bottom"/>
          </w:tcPr>
          <w:p>
            <w:pPr>
              <w:spacing w:after="0"/>
              <w:rPr>
                <w:sz w:val="14"/>
                <w:szCs w:val="14"/>
                <w:color w:val="auto"/>
              </w:rPr>
            </w:pPr>
          </w:p>
        </w:tc>
        <w:tc>
          <w:tcPr>
            <w:tcW w:w="1840" w:type="dxa"/>
            <w:vAlign w:val="bottom"/>
          </w:tcPr>
          <w:p>
            <w:pPr>
              <w:ind w:left="600"/>
              <w:spacing w:after="0"/>
              <w:rPr>
                <w:sz w:val="20"/>
                <w:szCs w:val="20"/>
                <w:color w:val="auto"/>
              </w:rPr>
            </w:pPr>
            <w:r>
              <w:rPr>
                <w:rFonts w:ascii="Courier New" w:cs="Courier New" w:eastAsia="Courier New" w:hAnsi="Courier New"/>
                <w:sz w:val="15"/>
                <w:szCs w:val="15"/>
                <w:color w:val="auto"/>
              </w:rPr>
              <w:t>23.2</w:t>
            </w:r>
          </w:p>
        </w:tc>
        <w:tc>
          <w:tcPr>
            <w:tcW w:w="3540" w:type="dxa"/>
            <w:vAlign w:val="bottom"/>
          </w:tcPr>
          <w:p>
            <w:pPr>
              <w:ind w:left="100"/>
              <w:spacing w:after="0"/>
              <w:rPr>
                <w:sz w:val="20"/>
                <w:szCs w:val="20"/>
                <w:color w:val="auto"/>
              </w:rPr>
            </w:pPr>
            <w:r>
              <w:rPr>
                <w:rFonts w:ascii="Courier New" w:cs="Courier New" w:eastAsia="Courier New" w:hAnsi="Courier New"/>
                <w:sz w:val="15"/>
                <w:szCs w:val="15"/>
                <w:color w:val="auto"/>
              </w:rPr>
              <w:t>Consent of Arthur Andersen LLP.</w:t>
            </w:r>
          </w:p>
        </w:tc>
        <w:tc>
          <w:tcPr>
            <w:tcW w:w="480" w:type="dxa"/>
            <w:vAlign w:val="bottom"/>
          </w:tcPr>
          <w:p>
            <w:pPr>
              <w:spacing w:after="0"/>
              <w:rPr>
                <w:sz w:val="14"/>
                <w:szCs w:val="14"/>
                <w:color w:val="auto"/>
              </w:rPr>
            </w:pPr>
          </w:p>
        </w:tc>
      </w:tr>
      <w:tr>
        <w:trPr>
          <w:trHeight w:val="344"/>
        </w:trPr>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40" w:type="dxa"/>
            <w:vAlign w:val="bottom"/>
          </w:tcPr>
          <w:p>
            <w:pPr>
              <w:jc w:val="right"/>
              <w:ind w:right="3025"/>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Amendment No. 1 to the report to be signed on its behalf by the undersigned hereunto duly authorized.</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CHECKFREE HOLDINGS CORPORATION</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26, 2000</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Allen L. Shulman</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Allen L. Shulman, Executive Vice President,</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Chief Financial Officer and General Counsel</w:t>
      </w:r>
    </w:p>
    <w:p>
      <w:pPr>
        <w:spacing w:after="0" w:line="200" w:lineRule="exact"/>
        <w:rPr>
          <w:sz w:val="20"/>
          <w:szCs w:val="20"/>
          <w:color w:val="auto"/>
        </w:rPr>
      </w:pPr>
    </w:p>
    <w:p>
      <w:pPr>
        <w:sectPr>
          <w:pgSz w:w="11900" w:h="16838" w:orient="portrait"/>
          <w:cols w:equalWidth="0" w:num="3">
            <w:col w:w="440" w:space="180"/>
            <w:col w:w="1600" w:space="720"/>
            <w:col w:w="7279"/>
          </w:cols>
          <w:pgMar w:left="240" w:top="289" w:right="1440" w:bottom="1440" w:gutter="0" w:footer="0" w:header="0"/>
          <w:type w:val="continuous"/>
        </w:sectPr>
      </w:pP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9"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346"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Inc.:</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BLUEGILL TECHNOLOGIES, INC. (a Delaware corporation) AND SUBSIDIARIES as of December 31, 1998 and 1999, and the related consolidated statements of operations, stockholders' equity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BlueGill Technologies, Inc. and subsidiaries as of December 31, 1998 and 1999, and the results of their operations and their cash flows for each of the three years in the period ended December 31, 1999 in conformity with accounting principles generally accepted in the United States.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Michigan,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February 28,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BLUEGILL TECHNOLOGIES, INC.</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c>
          <w:tcPr>
            <w:tcW w:w="13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6740" w:type="dxa"/>
            <w:vAlign w:val="bottom"/>
          </w:tcPr>
          <w:p>
            <w:pPr>
              <w:ind w:left="3300"/>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14"/>
                <w:szCs w:val="14"/>
                <w:color w:val="auto"/>
              </w:rPr>
            </w:pPr>
          </w:p>
        </w:tc>
        <w:tc>
          <w:tcPr>
            <w:tcW w:w="12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6740" w:type="dxa"/>
            <w:vAlign w:val="bottom"/>
          </w:tcPr>
          <w:p>
            <w:pPr>
              <w:ind w:left="330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4,111,200</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$ 17,039,531</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 net of allowance for doubtful accounts of</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$0 and $344,248 as of December 31, 1998 and 1999, respectively</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484,235</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1,804,302</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 and other</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23,777</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147,688</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1340"/>
              <w:spacing w:after="0"/>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4,619,212</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18,991,521</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Computer equipment</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260,423</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1,020,211</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Office furniture and equipment</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29,630</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244,132</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Vehicles and other</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19,080</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267,884</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309,133</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1,532,227</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Less- Accumulated depreciation</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64,392</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267,274</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1340"/>
              <w:spacing w:after="0"/>
              <w:rPr>
                <w:sz w:val="20"/>
                <w:szCs w:val="20"/>
                <w:color w:val="auto"/>
              </w:rPr>
            </w:pPr>
            <w:r>
              <w:rPr>
                <w:rFonts w:ascii="Courier New" w:cs="Courier New" w:eastAsia="Courier New" w:hAnsi="Courier New"/>
                <w:sz w:val="15"/>
                <w:szCs w:val="15"/>
                <w:color w:val="auto"/>
              </w:rPr>
              <w:t>Net property and equipment</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244,741</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1,264,953</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3,099</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2,066</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40" w:type="dxa"/>
            <w:vAlign w:val="bottom"/>
          </w:tcPr>
          <w:p>
            <w:pPr>
              <w:ind w:left="1340"/>
              <w:spacing w:after="0"/>
              <w:rPr>
                <w:sz w:val="20"/>
                <w:szCs w:val="20"/>
                <w:color w:val="auto"/>
              </w:rPr>
            </w:pPr>
            <w:r>
              <w:rPr>
                <w:rFonts w:ascii="Courier New" w:cs="Courier New" w:eastAsia="Courier New" w:hAnsi="Courier New"/>
                <w:sz w:val="15"/>
                <w:szCs w:val="15"/>
                <w:color w:val="auto"/>
              </w:rPr>
              <w:t>Total assets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4,867,052</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$ 20,258,540</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1880"/>
              <w:spacing w:after="0"/>
              <w:rPr>
                <w:sz w:val="20"/>
                <w:szCs w:val="20"/>
                <w:color w:val="auto"/>
              </w:rPr>
            </w:pPr>
            <w:r>
              <w:rPr>
                <w:rFonts w:ascii="Courier New" w:cs="Courier New" w:eastAsia="Courier New" w:hAnsi="Courier New"/>
                <w:sz w:val="15"/>
                <w:szCs w:val="15"/>
                <w:color w:val="auto"/>
              </w:rPr>
              <w:t>LIABILITIES AND STOCKHOLDERS' DEFICIT</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67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Line of credit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189,569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555,856</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244,363</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1,234,325</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Accrued compensation and payroll taxes</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22,739</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396,869</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Other accrued liabilities</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61,870</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570,781</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Deferred revenue</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21,209</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672,467</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1340"/>
              <w:spacing w:after="0"/>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539,750</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3,430,298</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Series A, convertible preferred stock, 12,503,301 shares outstanding</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6,468,387</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6,468,387</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Series B, convertible preferred stock, 12,825,651 shares outstanding</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19,495,000</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1340"/>
              <w:spacing w:after="0"/>
              <w:rPr>
                <w:sz w:val="20"/>
                <w:szCs w:val="20"/>
                <w:color w:val="auto"/>
              </w:rPr>
            </w:pPr>
            <w:r>
              <w:rPr>
                <w:rFonts w:ascii="Courier New" w:cs="Courier New" w:eastAsia="Courier New" w:hAnsi="Courier New"/>
                <w:sz w:val="15"/>
                <w:szCs w:val="15"/>
                <w:color w:val="auto"/>
              </w:rPr>
              <w:t>Total redeemable preferred stock</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6,468,387</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25,963,387</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4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Common stock, $0.001 par value, 41,000,000 shares authorized,</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4,766,000 and 6,070,833 shares issued and outstanding at</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6740" w:type="dxa"/>
            <w:vAlign w:val="bottom"/>
          </w:tcPr>
          <w:p>
            <w:pPr>
              <w:ind w:left="880"/>
              <w:spacing w:after="0"/>
              <w:rPr>
                <w:sz w:val="20"/>
                <w:szCs w:val="20"/>
                <w:color w:val="auto"/>
              </w:rPr>
            </w:pPr>
            <w:r>
              <w:rPr>
                <w:rFonts w:ascii="Courier New" w:cs="Courier New" w:eastAsia="Courier New" w:hAnsi="Courier New"/>
                <w:sz w:val="15"/>
                <w:szCs w:val="15"/>
                <w:color w:val="auto"/>
              </w:rPr>
              <w:t>December 31, 1998 and 1999, respectively</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4,766</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6,071</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974,252</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1,698,465</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Deferred stock-based compensation</w:t>
            </w:r>
          </w:p>
        </w:tc>
        <w:tc>
          <w:tcPr>
            <w:tcW w:w="40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(16,002)</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(634,094)</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w:t>
            </w:r>
          </w:p>
        </w:tc>
        <w:tc>
          <w:tcPr>
            <w:tcW w:w="40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(3,109,930)</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(10,207,207)</w:t>
            </w:r>
          </w:p>
        </w:tc>
      </w:tr>
      <w:tr>
        <w:trPr>
          <w:trHeight w:val="172"/>
        </w:trPr>
        <w:tc>
          <w:tcPr>
            <w:tcW w:w="674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4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5,829</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1,620</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740" w:type="dxa"/>
            <w:vAlign w:val="bottom"/>
          </w:tcPr>
          <w:p>
            <w:pPr>
              <w:ind w:left="1340"/>
              <w:spacing w:after="0"/>
              <w:rPr>
                <w:sz w:val="20"/>
                <w:szCs w:val="20"/>
                <w:color w:val="auto"/>
              </w:rPr>
            </w:pPr>
            <w:r>
              <w:rPr>
                <w:rFonts w:ascii="Courier New" w:cs="Courier New" w:eastAsia="Courier New" w:hAnsi="Courier New"/>
                <w:sz w:val="15"/>
                <w:szCs w:val="15"/>
                <w:color w:val="auto"/>
              </w:rPr>
              <w:t>Total stockholders' deficit</w:t>
            </w:r>
          </w:p>
        </w:tc>
        <w:tc>
          <w:tcPr>
            <w:tcW w:w="40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(2,141,085)</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(9,135,145)</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740" w:type="dxa"/>
            <w:vAlign w:val="bottom"/>
          </w:tcPr>
          <w:p>
            <w:pPr>
              <w:ind w:left="1340"/>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4,867,052</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$ 20,258,540</w:t>
            </w:r>
          </w:p>
        </w:tc>
      </w:tr>
      <w:tr>
        <w:trPr>
          <w:trHeight w:val="172"/>
        </w:trPr>
        <w:tc>
          <w:tcPr>
            <w:tcW w:w="674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accompanying notes are an integral part of these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BLUEGILL TECHNOLOGIES, INC.</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Ended December 31,</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680" w:type="dxa"/>
            <w:vAlign w:val="bottom"/>
          </w:tcPr>
          <w:p>
            <w:pPr>
              <w:spacing w:after="0"/>
              <w:rPr>
                <w:sz w:val="14"/>
                <w:szCs w:val="14"/>
                <w:color w:val="auto"/>
              </w:rPr>
            </w:pPr>
          </w:p>
        </w:tc>
        <w:tc>
          <w:tcPr>
            <w:tcW w:w="46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48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120" w:type="dxa"/>
            <w:vAlign w:val="bottom"/>
          </w:tcPr>
          <w:p>
            <w:pPr>
              <w:spacing w:after="0"/>
              <w:rPr>
                <w:sz w:val="14"/>
                <w:szCs w:val="14"/>
                <w:color w:val="auto"/>
              </w:rPr>
            </w:pPr>
          </w:p>
        </w:tc>
        <w:tc>
          <w:tcPr>
            <w:tcW w:w="10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422,500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1,474,678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5,396,967</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50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74,000</w:t>
            </w:r>
          </w:p>
        </w:tc>
        <w:tc>
          <w:tcPr>
            <w:tcW w:w="180" w:type="dxa"/>
            <w:vAlign w:val="bottom"/>
          </w:tcPr>
          <w:p>
            <w:pPr>
              <w:spacing w:after="0"/>
              <w:rPr>
                <w:sz w:val="24"/>
                <w:szCs w:val="2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218,095</w:t>
            </w:r>
          </w:p>
        </w:tc>
        <w:tc>
          <w:tcPr>
            <w:tcW w:w="12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533,965</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680" w:type="dxa"/>
            <w:vAlign w:val="bottom"/>
          </w:tcPr>
          <w:p>
            <w:pPr>
              <w:ind w:left="1240"/>
              <w:spacing w:after="0"/>
              <w:rPr>
                <w:sz w:val="20"/>
                <w:szCs w:val="20"/>
                <w:color w:val="auto"/>
              </w:rPr>
            </w:pPr>
            <w:r>
              <w:rPr>
                <w:rFonts w:ascii="Courier New" w:cs="Courier New" w:eastAsia="Courier New" w:hAnsi="Courier New"/>
                <w:sz w:val="15"/>
                <w:szCs w:val="15"/>
                <w:color w:val="auto"/>
              </w:rPr>
              <w:t>Gross profit</w:t>
            </w:r>
          </w:p>
        </w:tc>
        <w:tc>
          <w:tcPr>
            <w:tcW w:w="50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348,500</w:t>
            </w:r>
          </w:p>
        </w:tc>
        <w:tc>
          <w:tcPr>
            <w:tcW w:w="18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1,256,583</w:t>
            </w:r>
          </w:p>
        </w:tc>
        <w:tc>
          <w:tcPr>
            <w:tcW w:w="12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4,863,002</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50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479,938</w:t>
            </w:r>
          </w:p>
        </w:tc>
        <w:tc>
          <w:tcPr>
            <w:tcW w:w="18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894,944</w:t>
            </w:r>
          </w:p>
        </w:tc>
        <w:tc>
          <w:tcPr>
            <w:tcW w:w="12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2,123,192</w:t>
            </w:r>
          </w:p>
        </w:tc>
      </w:tr>
      <w:tr>
        <w:trPr>
          <w:trHeight w:val="172"/>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50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845,198</w:t>
            </w:r>
          </w:p>
        </w:tc>
        <w:tc>
          <w:tcPr>
            <w:tcW w:w="18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2,416,938</w:t>
            </w:r>
          </w:p>
        </w:tc>
        <w:tc>
          <w:tcPr>
            <w:tcW w:w="12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10,290,279</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680" w:type="dxa"/>
            <w:vAlign w:val="bottom"/>
          </w:tcPr>
          <w:p>
            <w:pPr>
              <w:ind w:left="1240"/>
              <w:spacing w:after="0"/>
              <w:rPr>
                <w:sz w:val="20"/>
                <w:szCs w:val="20"/>
                <w:color w:val="auto"/>
              </w:rPr>
            </w:pPr>
            <w:r>
              <w:rPr>
                <w:rFonts w:ascii="Courier New" w:cs="Courier New" w:eastAsia="Courier New" w:hAnsi="Courier New"/>
                <w:sz w:val="15"/>
                <w:szCs w:val="15"/>
                <w:color w:val="auto"/>
              </w:rPr>
              <w:t>Total operating expenses</w:t>
            </w:r>
          </w:p>
        </w:tc>
        <w:tc>
          <w:tcPr>
            <w:tcW w:w="50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1,325,136</w:t>
            </w:r>
          </w:p>
        </w:tc>
        <w:tc>
          <w:tcPr>
            <w:tcW w:w="18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3,311,882</w:t>
            </w:r>
          </w:p>
        </w:tc>
        <w:tc>
          <w:tcPr>
            <w:tcW w:w="12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12,413,471</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680" w:type="dxa"/>
            <w:vAlign w:val="bottom"/>
          </w:tcPr>
          <w:p>
            <w:pPr>
              <w:ind w:left="1240"/>
              <w:spacing w:after="0"/>
              <w:rPr>
                <w:sz w:val="20"/>
                <w:szCs w:val="20"/>
                <w:color w:val="auto"/>
              </w:rPr>
            </w:pPr>
            <w:r>
              <w:rPr>
                <w:rFonts w:ascii="Courier New" w:cs="Courier New" w:eastAsia="Courier New" w:hAnsi="Courier New"/>
                <w:sz w:val="15"/>
                <w:szCs w:val="15"/>
                <w:color w:val="auto"/>
              </w:rPr>
              <w:t>Loss from operations</w:t>
            </w:r>
          </w:p>
        </w:tc>
        <w:tc>
          <w:tcPr>
            <w:tcW w:w="50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(976,636)</w:t>
            </w:r>
          </w:p>
        </w:tc>
        <w:tc>
          <w:tcPr>
            <w:tcW w:w="180" w:type="dxa"/>
            <w:vAlign w:val="bottom"/>
          </w:tcPr>
          <w:p>
            <w:pPr>
              <w:spacing w:after="0"/>
              <w:rPr>
                <w:sz w:val="24"/>
                <w:szCs w:val="24"/>
                <w:color w:val="auto"/>
              </w:rPr>
            </w:pP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(2,055,299)</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(7,550,469)</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50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11,471</w:t>
            </w:r>
          </w:p>
        </w:tc>
        <w:tc>
          <w:tcPr>
            <w:tcW w:w="180" w:type="dxa"/>
            <w:vAlign w:val="bottom"/>
          </w:tcPr>
          <w:p>
            <w:pPr>
              <w:spacing w:after="0"/>
              <w:rPr>
                <w:sz w:val="24"/>
                <w:szCs w:val="2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148,167</w:t>
            </w:r>
          </w:p>
        </w:tc>
        <w:tc>
          <w:tcPr>
            <w:tcW w:w="12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482,650</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50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(22,177)</w:t>
            </w:r>
          </w:p>
        </w:tc>
        <w:tc>
          <w:tcPr>
            <w:tcW w:w="180" w:type="dxa"/>
            <w:vAlign w:val="bottom"/>
          </w:tcPr>
          <w:p>
            <w:pPr>
              <w:spacing w:after="0"/>
              <w:rPr>
                <w:sz w:val="24"/>
                <w:szCs w:val="24"/>
                <w:color w:val="auto"/>
              </w:rPr>
            </w:pP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(36,295)</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(29,458)</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680" w:type="dxa"/>
            <w:vAlign w:val="bottom"/>
          </w:tcPr>
          <w:p>
            <w:pPr>
              <w:ind w:left="1240"/>
              <w:spacing w:after="0"/>
              <w:rPr>
                <w:sz w:val="20"/>
                <w:szCs w:val="20"/>
                <w:color w:val="auto"/>
              </w:rPr>
            </w:pPr>
            <w:r>
              <w:rPr>
                <w:rFonts w:ascii="Courier New" w:cs="Courier New" w:eastAsia="Courier New" w:hAnsi="Courier New"/>
                <w:sz w:val="15"/>
                <w:szCs w:val="15"/>
                <w:color w:val="auto"/>
              </w:rPr>
              <w:t>Loss before benefit for income taxes</w:t>
            </w:r>
          </w:p>
        </w:tc>
        <w:tc>
          <w:tcPr>
            <w:tcW w:w="50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(987,342)</w:t>
            </w:r>
          </w:p>
        </w:tc>
        <w:tc>
          <w:tcPr>
            <w:tcW w:w="180" w:type="dxa"/>
            <w:vAlign w:val="bottom"/>
          </w:tcPr>
          <w:p>
            <w:pPr>
              <w:spacing w:after="0"/>
              <w:rPr>
                <w:sz w:val="24"/>
                <w:szCs w:val="24"/>
                <w:color w:val="auto"/>
              </w:rPr>
            </w:pP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(1,943,427)</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BENEFIT FOR INCOME TAXES</w:t>
            </w:r>
          </w:p>
        </w:tc>
        <w:tc>
          <w:tcPr>
            <w:tcW w:w="50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(987,342)</w:t>
            </w:r>
          </w:p>
        </w:tc>
        <w:tc>
          <w:tcPr>
            <w:tcW w:w="16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(1,943,427)</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(7,097,277)</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(0.22)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(0.41)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50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4,530,340</w:t>
            </w:r>
          </w:p>
        </w:tc>
        <w:tc>
          <w:tcPr>
            <w:tcW w:w="180" w:type="dxa"/>
            <w:vAlign w:val="bottom"/>
          </w:tcPr>
          <w:p>
            <w:pPr>
              <w:spacing w:after="0"/>
              <w:rPr>
                <w:sz w:val="24"/>
                <w:szCs w:val="2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4,766,000</w:t>
            </w:r>
          </w:p>
        </w:tc>
        <w:tc>
          <w:tcPr>
            <w:tcW w:w="12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4,969,736</w:t>
            </w:r>
          </w:p>
        </w:tc>
      </w:tr>
      <w:tr>
        <w:trPr>
          <w:trHeight w:val="172"/>
        </w:trPr>
        <w:tc>
          <w:tcPr>
            <w:tcW w:w="4680" w:type="dxa"/>
            <w:vAlign w:val="bottom"/>
          </w:tcPr>
          <w:p>
            <w:pPr>
              <w:spacing w:after="0"/>
              <w:rPr>
                <w:sz w:val="14"/>
                <w:szCs w:val="14"/>
                <w:color w:val="auto"/>
              </w:rPr>
            </w:pPr>
          </w:p>
        </w:tc>
        <w:tc>
          <w:tcPr>
            <w:tcW w:w="18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18"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BLUEGILL TECHNOLOGIES, INC.</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6660" w:type="dxa"/>
            <w:vAlign w:val="bottom"/>
          </w:tcPr>
          <w:p>
            <w:pPr>
              <w:spacing w:after="0"/>
              <w:rPr>
                <w:sz w:val="14"/>
                <w:szCs w:val="14"/>
                <w:color w:val="auto"/>
              </w:rPr>
            </w:pPr>
          </w:p>
        </w:tc>
        <w:tc>
          <w:tcPr>
            <w:tcW w:w="322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6660" w:type="dxa"/>
            <w:vAlign w:val="bottom"/>
          </w:tcPr>
          <w:p>
            <w:pPr>
              <w:spacing w:after="0"/>
              <w:rPr>
                <w:sz w:val="14"/>
                <w:szCs w:val="14"/>
                <w:color w:val="auto"/>
              </w:rPr>
            </w:pP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Shares</w:t>
            </w:r>
          </w:p>
        </w:tc>
        <w:tc>
          <w:tcPr>
            <w:tcW w:w="5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6"/>
              </w:rPr>
              <w:t>Amount</w:t>
            </w:r>
          </w:p>
        </w:tc>
        <w:tc>
          <w:tcPr>
            <w:tcW w:w="3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666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6660" w:type="dxa"/>
            <w:vAlign w:val="bottom"/>
          </w:tcPr>
          <w:p>
            <w:pPr>
              <w:spacing w:after="0"/>
              <w:rPr>
                <w:sz w:val="20"/>
                <w:szCs w:val="20"/>
                <w:color w:val="auto"/>
              </w:rPr>
            </w:pPr>
            <w:r>
              <w:rPr>
                <w:rFonts w:ascii="Courier New" w:cs="Courier New" w:eastAsia="Courier New" w:hAnsi="Courier New"/>
                <w:sz w:val="15"/>
                <w:szCs w:val="15"/>
                <w:color w:val="auto"/>
              </w:rPr>
              <w:t>BALANCE - DECEMBER 31, 1996</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3,900,000</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398,400</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866,000</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866</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323,884</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Compensation expense on stock option grants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168,300</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 warrants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18,768</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6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6660" w:type="dxa"/>
            <w:vAlign w:val="bottom"/>
          </w:tcPr>
          <w:p>
            <w:pPr>
              <w:spacing w:after="0"/>
              <w:rPr>
                <w:sz w:val="20"/>
                <w:szCs w:val="20"/>
                <w:color w:val="auto"/>
              </w:rPr>
            </w:pPr>
            <w:r>
              <w:rPr>
                <w:rFonts w:ascii="Courier New" w:cs="Courier New" w:eastAsia="Courier New" w:hAnsi="Courier New"/>
                <w:sz w:val="15"/>
                <w:szCs w:val="15"/>
                <w:color w:val="auto"/>
              </w:rPr>
              <w:t>BALANCE - DECEMBER 31, 1997</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4,766,000</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4,766</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909,352</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823,000</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823</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492,977</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Issuance of redeemable preferred stock in exchange for common stock</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(823,000)</w:t>
            </w:r>
          </w:p>
        </w:tc>
        <w:tc>
          <w:tcPr>
            <w:tcW w:w="50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(823)</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(492,977)</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64,900</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6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6660" w:type="dxa"/>
            <w:vAlign w:val="bottom"/>
          </w:tcPr>
          <w:p>
            <w:pPr>
              <w:spacing w:after="0"/>
              <w:rPr>
                <w:sz w:val="20"/>
                <w:szCs w:val="20"/>
                <w:color w:val="auto"/>
              </w:rPr>
            </w:pPr>
            <w:r>
              <w:rPr>
                <w:rFonts w:ascii="Courier New" w:cs="Courier New" w:eastAsia="Courier New" w:hAnsi="Courier New"/>
                <w:sz w:val="15"/>
                <w:szCs w:val="15"/>
                <w:color w:val="auto"/>
              </w:rPr>
              <w:t>BALANCE - DECEMBER 31, 1998</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4,766,000</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4,766</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974,252</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upon exercise of stock options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1,304,833</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1,305</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21,926</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702,287</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6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6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1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6660" w:type="dxa"/>
            <w:vAlign w:val="bottom"/>
          </w:tcPr>
          <w:p>
            <w:pPr>
              <w:spacing w:after="0"/>
              <w:rPr>
                <w:sz w:val="20"/>
                <w:szCs w:val="20"/>
                <w:color w:val="auto"/>
              </w:rPr>
            </w:pPr>
            <w:r>
              <w:rPr>
                <w:rFonts w:ascii="Courier New" w:cs="Courier New" w:eastAsia="Courier New" w:hAnsi="Courier New"/>
                <w:sz w:val="15"/>
                <w:szCs w:val="15"/>
                <w:color w:val="auto"/>
              </w:rPr>
              <w:t>BALANCE - DECEMBER 31, 1999</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6,070,833</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1,698,465</w:t>
            </w:r>
          </w:p>
        </w:tc>
      </w:tr>
      <w:tr>
        <w:trPr>
          <w:trHeight w:val="172"/>
        </w:trPr>
        <w:tc>
          <w:tcPr>
            <w:tcW w:w="666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Accumulated</w:t>
            </w:r>
          </w:p>
        </w:tc>
      </w:tr>
      <w:tr>
        <w:trPr>
          <w:trHeight w:val="172"/>
        </w:trPr>
        <w:tc>
          <w:tcPr>
            <w:tcW w:w="6620" w:type="dxa"/>
            <w:vAlign w:val="bottom"/>
          </w:tcPr>
          <w:p>
            <w:pPr>
              <w:spacing w:after="0"/>
              <w:rPr>
                <w:sz w:val="14"/>
                <w:szCs w:val="14"/>
                <w:color w:val="auto"/>
              </w:rPr>
            </w:pPr>
          </w:p>
        </w:tc>
        <w:tc>
          <w:tcPr>
            <w:tcW w:w="1160" w:type="dxa"/>
            <w:vAlign w:val="bottom"/>
          </w:tcPr>
          <w:p>
            <w:pPr>
              <w:ind w:left="340"/>
              <w:spacing w:after="0"/>
              <w:rPr>
                <w:sz w:val="20"/>
                <w:szCs w:val="20"/>
                <w:color w:val="auto"/>
              </w:rPr>
            </w:pPr>
            <w:r>
              <w:rPr>
                <w:rFonts w:ascii="Courier New" w:cs="Courier New" w:eastAsia="Courier New" w:hAnsi="Courier New"/>
                <w:sz w:val="15"/>
                <w:szCs w:val="15"/>
                <w:color w:val="auto"/>
              </w:rPr>
              <w:t>Deferred</w:t>
            </w: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r>
      <w:tr>
        <w:trPr>
          <w:trHeight w:val="172"/>
        </w:trPr>
        <w:tc>
          <w:tcPr>
            <w:tcW w:w="662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Courier New" w:cs="Courier New" w:eastAsia="Courier New" w:hAnsi="Courier New"/>
                <w:sz w:val="15"/>
                <w:szCs w:val="15"/>
                <w:color w:val="auto"/>
                <w:w w:val="98"/>
              </w:rPr>
              <w:t>Stock-based</w:t>
            </w:r>
          </w:p>
        </w:tc>
        <w:tc>
          <w:tcPr>
            <w:tcW w:w="400" w:type="dxa"/>
            <w:vAlign w:val="bottom"/>
          </w:tcPr>
          <w:p>
            <w:pPr>
              <w:spacing w:after="0"/>
              <w:rPr>
                <w:sz w:val="14"/>
                <w:szCs w:val="14"/>
                <w:color w:val="auto"/>
              </w:rPr>
            </w:pPr>
          </w:p>
        </w:tc>
        <w:tc>
          <w:tcPr>
            <w:tcW w:w="15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Accumulated</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Comprehensive</w:t>
            </w:r>
          </w:p>
        </w:tc>
      </w:tr>
      <w:tr>
        <w:trPr>
          <w:trHeight w:val="172"/>
        </w:trPr>
        <w:tc>
          <w:tcPr>
            <w:tcW w:w="662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Deficit</w:t>
            </w:r>
          </w:p>
        </w:tc>
        <w:tc>
          <w:tcPr>
            <w:tcW w:w="36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Income</w:t>
            </w:r>
          </w:p>
        </w:tc>
      </w:tr>
      <w:tr>
        <w:trPr>
          <w:trHeight w:val="172"/>
        </w:trPr>
        <w:tc>
          <w:tcPr>
            <w:tcW w:w="6620" w:type="dxa"/>
            <w:vAlign w:val="bottom"/>
          </w:tcPr>
          <w:p>
            <w:pPr>
              <w:spacing w:after="0"/>
              <w:rPr>
                <w:sz w:val="14"/>
                <w:szCs w:val="14"/>
                <w:color w:val="auto"/>
              </w:rPr>
            </w:pPr>
          </w:p>
        </w:tc>
        <w:tc>
          <w:tcPr>
            <w:tcW w:w="1560" w:type="dxa"/>
            <w:vAlign w:val="bottom"/>
            <w:gridSpan w:val="2"/>
          </w:tcPr>
          <w:p>
            <w:pPr>
              <w:jc w:val="right"/>
              <w:ind w:right="251"/>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6620" w:type="dxa"/>
            <w:vAlign w:val="bottom"/>
          </w:tcPr>
          <w:p>
            <w:pPr>
              <w:spacing w:after="0"/>
              <w:rPr>
                <w:sz w:val="20"/>
                <w:szCs w:val="20"/>
                <w:color w:val="auto"/>
              </w:rPr>
            </w:pPr>
            <w:r>
              <w:rPr>
                <w:rFonts w:ascii="Courier New" w:cs="Courier New" w:eastAsia="Courier New" w:hAnsi="Courier New"/>
                <w:sz w:val="15"/>
                <w:szCs w:val="15"/>
                <w:color w:val="auto"/>
              </w:rPr>
              <w:t>BALANCE - DECEMBER 31, 1996</w:t>
            </w:r>
          </w:p>
        </w:tc>
        <w:tc>
          <w:tcPr>
            <w:tcW w:w="11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(179,161)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116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Compensation expense on stock option grants</w:t>
            </w:r>
          </w:p>
        </w:tc>
        <w:tc>
          <w:tcPr>
            <w:tcW w:w="116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 warrants</w:t>
            </w:r>
          </w:p>
        </w:tc>
        <w:tc>
          <w:tcPr>
            <w:tcW w:w="116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(987,342)</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116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2"/>
        </w:trPr>
        <w:tc>
          <w:tcPr>
            <w:tcW w:w="6620" w:type="dxa"/>
            <w:vAlign w:val="bottom"/>
          </w:tcPr>
          <w:p>
            <w:pPr>
              <w:spacing w:after="0"/>
              <w:rPr>
                <w:sz w:val="14"/>
                <w:szCs w:val="14"/>
                <w:color w:val="auto"/>
              </w:rPr>
            </w:pPr>
          </w:p>
        </w:tc>
        <w:tc>
          <w:tcPr>
            <w:tcW w:w="1560" w:type="dxa"/>
            <w:vAlign w:val="bottom"/>
            <w:gridSpan w:val="2"/>
          </w:tcPr>
          <w:p>
            <w:pPr>
              <w:jc w:val="right"/>
              <w:ind w:right="251"/>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6620" w:type="dxa"/>
            <w:vAlign w:val="bottom"/>
          </w:tcPr>
          <w:p>
            <w:pPr>
              <w:spacing w:after="0"/>
              <w:rPr>
                <w:sz w:val="20"/>
                <w:szCs w:val="20"/>
                <w:color w:val="auto"/>
              </w:rPr>
            </w:pPr>
            <w:r>
              <w:rPr>
                <w:rFonts w:ascii="Courier New" w:cs="Courier New" w:eastAsia="Courier New" w:hAnsi="Courier New"/>
                <w:sz w:val="15"/>
                <w:szCs w:val="15"/>
                <w:color w:val="auto"/>
              </w:rPr>
              <w:t>BALANCE - DECEMBER 31, 1997</w:t>
            </w:r>
          </w:p>
        </w:tc>
        <w:tc>
          <w:tcPr>
            <w:tcW w:w="116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(1,166,503)</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355</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116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Issuance of redeemable preferred stock in exchange for common stock</w:t>
            </w:r>
          </w:p>
        </w:tc>
        <w:tc>
          <w:tcPr>
            <w:tcW w:w="1160" w:type="dxa"/>
            <w:vAlign w:val="bottom"/>
          </w:tcPr>
          <w:p>
            <w:pPr>
              <w:spacing w:after="0"/>
              <w:rPr>
                <w:sz w:val="24"/>
                <w:szCs w:val="24"/>
                <w:color w:val="auto"/>
              </w:rPr>
            </w:pPr>
          </w:p>
        </w:tc>
        <w:tc>
          <w:tcPr>
            <w:tcW w:w="4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70"/>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1560" w:type="dxa"/>
            <w:vAlign w:val="bottom"/>
            <w:gridSpan w:val="2"/>
          </w:tcPr>
          <w:p>
            <w:pPr>
              <w:jc w:val="right"/>
              <w:ind w:right="151"/>
              <w:spacing w:after="0"/>
              <w:rPr>
                <w:sz w:val="20"/>
                <w:szCs w:val="20"/>
                <w:color w:val="auto"/>
              </w:rPr>
            </w:pPr>
            <w:r>
              <w:rPr>
                <w:rFonts w:ascii="Courier New" w:cs="Courier New" w:eastAsia="Courier New" w:hAnsi="Courier New"/>
                <w:sz w:val="15"/>
                <w:szCs w:val="15"/>
                <w:color w:val="auto"/>
              </w:rPr>
              <w:t>(16,002)</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260"/>
          </w:cols>
          <w:pgMar w:left="240" w:top="289" w:right="3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94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(1,943,427)</w:t>
            </w:r>
          </w:p>
        </w:tc>
        <w:tc>
          <w:tcPr>
            <w:tcW w:w="54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94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5,474</w:t>
            </w:r>
          </w:p>
        </w:tc>
      </w:tr>
      <w:tr>
        <w:trPr>
          <w:trHeight w:val="172"/>
        </w:trPr>
        <w:tc>
          <w:tcPr>
            <w:tcW w:w="6080" w:type="dxa"/>
            <w:vAlign w:val="bottom"/>
          </w:tcPr>
          <w:p>
            <w:pPr>
              <w:spacing w:after="0"/>
              <w:rPr>
                <w:sz w:val="14"/>
                <w:szCs w:val="14"/>
                <w:color w:val="auto"/>
              </w:rPr>
            </w:pPr>
          </w:p>
        </w:tc>
        <w:tc>
          <w:tcPr>
            <w:tcW w:w="2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BALANCE - DECEMBER 31, 1998</w:t>
            </w:r>
          </w:p>
        </w:tc>
        <w:tc>
          <w:tcPr>
            <w:tcW w:w="94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(16,002)</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(3,109,930)</w:t>
            </w:r>
          </w:p>
        </w:tc>
        <w:tc>
          <w:tcPr>
            <w:tcW w:w="5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5,829</w:t>
            </w:r>
          </w:p>
        </w:tc>
      </w:tr>
      <w:tr>
        <w:trPr>
          <w:trHeight w:val="344"/>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upon exercise of stock options</w:t>
            </w:r>
          </w:p>
        </w:tc>
        <w:tc>
          <w:tcPr>
            <w:tcW w:w="94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940" w:type="dxa"/>
            <w:vAlign w:val="bottom"/>
          </w:tcPr>
          <w:p>
            <w:pPr>
              <w:spacing w:after="0"/>
              <w:rPr>
                <w:sz w:val="24"/>
                <w:szCs w:val="2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(702,287)</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94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84,195</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94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(7,097,277)</w:t>
            </w:r>
          </w:p>
        </w:tc>
        <w:tc>
          <w:tcPr>
            <w:tcW w:w="54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940" w:type="dxa"/>
            <w:vAlign w:val="bottom"/>
          </w:tcPr>
          <w:p>
            <w:pPr>
              <w:spacing w:after="0"/>
              <w:rPr>
                <w:sz w:val="24"/>
                <w:szCs w:val="2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2"/>
        </w:trPr>
        <w:tc>
          <w:tcPr>
            <w:tcW w:w="6080" w:type="dxa"/>
            <w:vAlign w:val="bottom"/>
          </w:tcPr>
          <w:p>
            <w:pPr>
              <w:spacing w:after="0"/>
              <w:rPr>
                <w:sz w:val="14"/>
                <w:szCs w:val="14"/>
                <w:color w:val="auto"/>
              </w:rPr>
            </w:pPr>
          </w:p>
        </w:tc>
        <w:tc>
          <w:tcPr>
            <w:tcW w:w="2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08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6080" w:type="dxa"/>
            <w:vAlign w:val="bottom"/>
          </w:tcPr>
          <w:p>
            <w:pPr>
              <w:spacing w:after="0"/>
              <w:rPr>
                <w:sz w:val="20"/>
                <w:szCs w:val="20"/>
                <w:color w:val="auto"/>
              </w:rPr>
            </w:pPr>
            <w:r>
              <w:rPr>
                <w:rFonts w:ascii="Courier New" w:cs="Courier New" w:eastAsia="Courier New" w:hAnsi="Courier New"/>
                <w:sz w:val="15"/>
                <w:szCs w:val="15"/>
                <w:color w:val="auto"/>
              </w:rPr>
              <w:t>BALANCE - DECEMBER 31, 1999</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(634,094)</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$(10,207,207)</w:t>
            </w:r>
          </w:p>
        </w:tc>
        <w:tc>
          <w:tcPr>
            <w:tcW w:w="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1,620</w:t>
            </w:r>
          </w:p>
        </w:tc>
      </w:tr>
      <w:tr>
        <w:trPr>
          <w:trHeight w:val="172"/>
        </w:trPr>
        <w:tc>
          <w:tcPr>
            <w:tcW w:w="6080" w:type="dxa"/>
            <w:vAlign w:val="bottom"/>
          </w:tcPr>
          <w:p>
            <w:pPr>
              <w:spacing w:after="0"/>
              <w:rPr>
                <w:sz w:val="14"/>
                <w:szCs w:val="14"/>
                <w:color w:val="auto"/>
              </w:rPr>
            </w:pPr>
          </w:p>
        </w:tc>
        <w:tc>
          <w:tcPr>
            <w:tcW w:w="21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Stockholders'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Equity</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Comprehensive</w:t>
            </w:r>
          </w:p>
        </w:tc>
      </w:tr>
      <w:tr>
        <w:trPr>
          <w:trHeight w:val="172"/>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(Deficit)</w:t>
            </w:r>
          </w:p>
        </w:tc>
        <w:tc>
          <w:tcPr>
            <w:tcW w:w="360" w:type="dxa"/>
            <w:vAlign w:val="bottom"/>
          </w:tcPr>
          <w:p>
            <w:pPr>
              <w:spacing w:after="0"/>
              <w:rPr>
                <w:sz w:val="14"/>
                <w:szCs w:val="14"/>
                <w:color w:val="auto"/>
              </w:rPr>
            </w:pP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Loss</w:t>
            </w:r>
          </w:p>
        </w:tc>
      </w:tr>
      <w:tr>
        <w:trPr>
          <w:trHeight w:val="172"/>
        </w:trPr>
        <w:tc>
          <w:tcPr>
            <w:tcW w:w="6620" w:type="dxa"/>
            <w:vAlign w:val="bottom"/>
          </w:tcPr>
          <w:p>
            <w:pPr>
              <w:spacing w:after="0"/>
              <w:rPr>
                <w:sz w:val="14"/>
                <w:szCs w:val="14"/>
                <w:color w:val="auto"/>
              </w:rPr>
            </w:pPr>
          </w:p>
        </w:tc>
        <w:tc>
          <w:tcPr>
            <w:tcW w:w="15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6620" w:type="dxa"/>
            <w:vAlign w:val="bottom"/>
          </w:tcPr>
          <w:p>
            <w:pPr>
              <w:spacing w:after="0"/>
              <w:rPr>
                <w:sz w:val="20"/>
                <w:szCs w:val="20"/>
                <w:color w:val="auto"/>
              </w:rPr>
            </w:pPr>
            <w:r>
              <w:rPr>
                <w:rFonts w:ascii="Courier New" w:cs="Courier New" w:eastAsia="Courier New" w:hAnsi="Courier New"/>
                <w:sz w:val="15"/>
                <w:szCs w:val="15"/>
                <w:color w:val="auto"/>
              </w:rPr>
              <w:t>BALANCE - DECEMBER 31, 1996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223,181</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324,750</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Compensation expense on stock option grants</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168,300</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 warrants</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18,768</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24"/>
                <w:szCs w:val="2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(987,342)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(987,342)</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313</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313</w:t>
            </w:r>
          </w:p>
        </w:tc>
      </w:tr>
      <w:tr>
        <w:trPr>
          <w:trHeight w:val="172"/>
        </w:trPr>
        <w:tc>
          <w:tcPr>
            <w:tcW w:w="6620" w:type="dxa"/>
            <w:vAlign w:val="bottom"/>
          </w:tcPr>
          <w:p>
            <w:pPr>
              <w:spacing w:after="0"/>
              <w:rPr>
                <w:sz w:val="14"/>
                <w:szCs w:val="14"/>
                <w:color w:val="auto"/>
              </w:rPr>
            </w:pPr>
          </w:p>
        </w:tc>
        <w:tc>
          <w:tcPr>
            <w:tcW w:w="15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(987,029)</w:t>
            </w:r>
          </w:p>
        </w:tc>
      </w:tr>
      <w:tr>
        <w:trPr>
          <w:trHeight w:val="172"/>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BALANCE - DECEMBER 31, 1997</w:t>
            </w:r>
          </w:p>
        </w:tc>
        <w:tc>
          <w:tcPr>
            <w:tcW w:w="2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(252,030)</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for cash</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493,800</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Issuance of redeemable preferred stock in exchange for common stock</w:t>
            </w:r>
          </w:p>
        </w:tc>
        <w:tc>
          <w:tcPr>
            <w:tcW w:w="260" w:type="dxa"/>
            <w:vAlign w:val="bottom"/>
          </w:tcPr>
          <w:p>
            <w:pPr>
              <w:spacing w:after="0"/>
              <w:rPr>
                <w:sz w:val="24"/>
                <w:szCs w:val="2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(493,800)</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48,898</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24"/>
                <w:szCs w:val="2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(1,943,427)</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(1,943,427)</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5,474</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5,474</w:t>
            </w:r>
          </w:p>
        </w:tc>
      </w:tr>
      <w:tr>
        <w:trPr>
          <w:trHeight w:val="172"/>
        </w:trPr>
        <w:tc>
          <w:tcPr>
            <w:tcW w:w="6620" w:type="dxa"/>
            <w:vAlign w:val="bottom"/>
          </w:tcPr>
          <w:p>
            <w:pPr>
              <w:spacing w:after="0"/>
              <w:rPr>
                <w:sz w:val="14"/>
                <w:szCs w:val="14"/>
                <w:color w:val="auto"/>
              </w:rPr>
            </w:pPr>
          </w:p>
        </w:tc>
        <w:tc>
          <w:tcPr>
            <w:tcW w:w="15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(1,937,953)</w:t>
            </w:r>
          </w:p>
        </w:tc>
      </w:tr>
      <w:tr>
        <w:trPr>
          <w:trHeight w:val="172"/>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BALANCE - DECEMBER 31, 1998</w:t>
            </w:r>
          </w:p>
        </w:tc>
        <w:tc>
          <w:tcPr>
            <w:tcW w:w="2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(2,141,085)</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Issuance of common stock upon exercise of stock options</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23,231</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Compensation related to stock option grants</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deferred stock compensation</w:t>
            </w:r>
          </w:p>
        </w:tc>
        <w:tc>
          <w:tcPr>
            <w:tcW w:w="26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84,195</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260" w:type="dxa"/>
            <w:vAlign w:val="bottom"/>
          </w:tcPr>
          <w:p>
            <w:pPr>
              <w:spacing w:after="0"/>
              <w:rPr>
                <w:sz w:val="24"/>
                <w:szCs w:val="2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(7,097,277)</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344"/>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24"/>
                <w:szCs w:val="2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(4,209)</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2"/>
        </w:trPr>
        <w:tc>
          <w:tcPr>
            <w:tcW w:w="6620" w:type="dxa"/>
            <w:vAlign w:val="bottom"/>
          </w:tcPr>
          <w:p>
            <w:pPr>
              <w:spacing w:after="0"/>
              <w:rPr>
                <w:sz w:val="14"/>
                <w:szCs w:val="14"/>
                <w:color w:val="auto"/>
              </w:rPr>
            </w:pPr>
          </w:p>
        </w:tc>
        <w:tc>
          <w:tcPr>
            <w:tcW w:w="15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(7,101,486)</w:t>
            </w:r>
          </w:p>
        </w:tc>
      </w:tr>
      <w:tr>
        <w:trPr>
          <w:trHeight w:val="172"/>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6620" w:type="dxa"/>
            <w:vAlign w:val="bottom"/>
          </w:tcPr>
          <w:p>
            <w:pPr>
              <w:spacing w:after="0"/>
              <w:rPr>
                <w:sz w:val="20"/>
                <w:szCs w:val="20"/>
                <w:color w:val="auto"/>
              </w:rPr>
            </w:pPr>
            <w:r>
              <w:rPr>
                <w:rFonts w:ascii="Courier New" w:cs="Courier New" w:eastAsia="Courier New" w:hAnsi="Courier New"/>
                <w:sz w:val="15"/>
                <w:szCs w:val="15"/>
                <w:color w:val="auto"/>
              </w:rPr>
              <w:t>BALANCE - DECEMBER 31, 1999</w:t>
            </w: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(9,135,145)</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6620" w:type="dxa"/>
            <w:vAlign w:val="bottom"/>
          </w:tcPr>
          <w:p>
            <w:pPr>
              <w:spacing w:after="0"/>
              <w:rPr>
                <w:sz w:val="14"/>
                <w:szCs w:val="14"/>
                <w:color w:val="auto"/>
              </w:rPr>
            </w:pPr>
          </w:p>
        </w:tc>
        <w:tc>
          <w:tcPr>
            <w:tcW w:w="15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1180"/>
          </w:cols>
          <w:pgMar w:left="240" w:top="312" w:right="479" w:bottom="999"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BLUEGILL TECHNOLOGIES, INC.</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200" w:type="dxa"/>
            <w:vAlign w:val="bottom"/>
          </w:tcPr>
          <w:p>
            <w:pPr>
              <w:spacing w:after="0"/>
              <w:rPr>
                <w:sz w:val="14"/>
                <w:szCs w:val="14"/>
                <w:color w:val="auto"/>
              </w:rPr>
            </w:pPr>
          </w:p>
        </w:tc>
        <w:tc>
          <w:tcPr>
            <w:tcW w:w="46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4"/>
              </w:rPr>
              <w:t>1997</w:t>
            </w:r>
          </w:p>
        </w:tc>
        <w:tc>
          <w:tcPr>
            <w:tcW w:w="360" w:type="dxa"/>
            <w:vAlign w:val="bottom"/>
          </w:tcPr>
          <w:p>
            <w:pPr>
              <w:spacing w:after="0"/>
              <w:rPr>
                <w:sz w:val="14"/>
                <w:szCs w:val="14"/>
                <w:color w:val="auto"/>
              </w:rPr>
            </w:pPr>
          </w:p>
        </w:tc>
        <w:tc>
          <w:tcPr>
            <w:tcW w:w="142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2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(987,342)</w:t>
            </w: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(1,943,427)</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(7,097,277)</w:t>
            </w:r>
          </w:p>
        </w:tc>
      </w:tr>
      <w:tr>
        <w:trPr>
          <w:trHeight w:val="172"/>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loss to</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200" w:type="dxa"/>
            <w:vAlign w:val="bottom"/>
          </w:tcPr>
          <w:p>
            <w:pPr>
              <w:ind w:left="800"/>
              <w:spacing w:after="0"/>
              <w:rPr>
                <w:sz w:val="20"/>
                <w:szCs w:val="20"/>
                <w:color w:val="auto"/>
              </w:rPr>
            </w:pPr>
            <w:r>
              <w:rPr>
                <w:rFonts w:ascii="Courier New" w:cs="Courier New" w:eastAsia="Courier New" w:hAnsi="Courier New"/>
                <w:sz w:val="15"/>
                <w:szCs w:val="15"/>
                <w:color w:val="auto"/>
              </w:rPr>
              <w:t>net cash used in operating activities-</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200" w:type="dxa"/>
            <w:vAlign w:val="bottom"/>
          </w:tcPr>
          <w:p>
            <w:pPr>
              <w:ind w:left="1160"/>
              <w:spacing w:after="0"/>
              <w:rPr>
                <w:sz w:val="20"/>
                <w:szCs w:val="20"/>
                <w:color w:val="auto"/>
              </w:rPr>
            </w:pPr>
            <w:r>
              <w:rPr>
                <w:rFonts w:ascii="Courier New" w:cs="Courier New" w:eastAsia="Courier New" w:hAnsi="Courier New"/>
                <w:sz w:val="15"/>
                <w:szCs w:val="15"/>
                <w:color w:val="auto"/>
              </w:rPr>
              <w:t>Depreciation and amortization</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18,711</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47,128</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202,301</w:t>
            </w:r>
          </w:p>
        </w:tc>
      </w:tr>
      <w:tr>
        <w:trPr>
          <w:trHeight w:val="172"/>
        </w:trPr>
        <w:tc>
          <w:tcPr>
            <w:tcW w:w="6200" w:type="dxa"/>
            <w:vAlign w:val="bottom"/>
          </w:tcPr>
          <w:p>
            <w:pPr>
              <w:ind w:left="1160"/>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344,248</w:t>
            </w:r>
          </w:p>
        </w:tc>
      </w:tr>
      <w:tr>
        <w:trPr>
          <w:trHeight w:val="172"/>
        </w:trPr>
        <w:tc>
          <w:tcPr>
            <w:tcW w:w="6200" w:type="dxa"/>
            <w:vAlign w:val="bottom"/>
          </w:tcPr>
          <w:p>
            <w:pPr>
              <w:ind w:left="1160"/>
              <w:spacing w:after="0"/>
              <w:rPr>
                <w:sz w:val="20"/>
                <w:szCs w:val="20"/>
                <w:color w:val="auto"/>
              </w:rPr>
            </w:pPr>
            <w:r>
              <w:rPr>
                <w:rFonts w:ascii="Courier New" w:cs="Courier New" w:eastAsia="Courier New" w:hAnsi="Courier New"/>
                <w:sz w:val="15"/>
                <w:szCs w:val="15"/>
                <w:color w:val="auto"/>
              </w:rPr>
              <w:t>Compensation expense on stock options</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168,300</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48,898</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84,195</w:t>
            </w:r>
          </w:p>
        </w:tc>
      </w:tr>
      <w:tr>
        <w:trPr>
          <w:trHeight w:val="172"/>
        </w:trPr>
        <w:tc>
          <w:tcPr>
            <w:tcW w:w="6200" w:type="dxa"/>
            <w:vAlign w:val="bottom"/>
          </w:tcPr>
          <w:p>
            <w:pPr>
              <w:ind w:left="1160"/>
              <w:spacing w:after="0"/>
              <w:rPr>
                <w:sz w:val="20"/>
                <w:szCs w:val="20"/>
                <w:color w:val="auto"/>
              </w:rPr>
            </w:pPr>
            <w:r>
              <w:rPr>
                <w:rFonts w:ascii="Courier New" w:cs="Courier New" w:eastAsia="Courier New" w:hAnsi="Courier New"/>
                <w:sz w:val="15"/>
                <w:szCs w:val="15"/>
                <w:color w:val="auto"/>
              </w:rPr>
              <w:t>Amortization of discount on note payable</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4,277</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14,491</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0" w:type="dxa"/>
            <w:vAlign w:val="bottom"/>
          </w:tcPr>
          <w:p>
            <w:pPr>
              <w:ind w:left="1160"/>
              <w:spacing w:after="0"/>
              <w:rPr>
                <w:sz w:val="20"/>
                <w:szCs w:val="20"/>
                <w:color w:val="auto"/>
              </w:rPr>
            </w:pPr>
            <w:r>
              <w:rPr>
                <w:rFonts w:ascii="Courier New" w:cs="Courier New" w:eastAsia="Courier New" w:hAnsi="Courier New"/>
                <w:sz w:val="15"/>
                <w:szCs w:val="15"/>
                <w:color w:val="auto"/>
              </w:rPr>
              <w:t>Interest expense on converted note payable</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17,737</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0" w:type="dxa"/>
            <w:vAlign w:val="bottom"/>
          </w:tcPr>
          <w:p>
            <w:pPr>
              <w:ind w:left="1160"/>
              <w:spacing w:after="0"/>
              <w:rPr>
                <w:sz w:val="20"/>
                <w:szCs w:val="20"/>
                <w:color w:val="auto"/>
              </w:rPr>
            </w:pPr>
            <w:r>
              <w:rPr>
                <w:rFonts w:ascii="Courier New" w:cs="Courier New" w:eastAsia="Courier New" w:hAnsi="Courier New"/>
                <w:sz w:val="15"/>
                <w:szCs w:val="15"/>
                <w:color w:val="auto"/>
              </w:rPr>
              <w:t>Increase (decrease) in cash resulting from changes in-</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Accounts receivable</w:t>
            </w:r>
          </w:p>
        </w:tc>
        <w:tc>
          <w:tcPr>
            <w:tcW w:w="5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(256,000)</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(228,235)</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(1,664,315)</w:t>
            </w:r>
          </w:p>
        </w:tc>
      </w:tr>
      <w:tr>
        <w:trPr>
          <w:trHeight w:val="172"/>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Prepaid expenses and other</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(23,777)</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(123,911)</w:t>
            </w:r>
          </w:p>
        </w:tc>
      </w:tr>
      <w:tr>
        <w:trPr>
          <w:trHeight w:val="172"/>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Other assets</w:t>
            </w:r>
          </w:p>
        </w:tc>
        <w:tc>
          <w:tcPr>
            <w:tcW w:w="5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(5,635)</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Accounts payable</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32,236</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143,684</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989,962</w:t>
            </w:r>
          </w:p>
        </w:tc>
      </w:tr>
      <w:tr>
        <w:trPr>
          <w:trHeight w:val="172"/>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Accrued compensation and payroll taxes</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12,188</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(9,184)</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374,130</w:t>
            </w:r>
          </w:p>
        </w:tc>
      </w:tr>
      <w:tr>
        <w:trPr>
          <w:trHeight w:val="172"/>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Other accrued liabilities</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61,242</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57,238</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508,911</w:t>
            </w:r>
          </w:p>
        </w:tc>
      </w:tr>
      <w:tr>
        <w:trPr>
          <w:trHeight w:val="172"/>
        </w:trPr>
        <w:tc>
          <w:tcPr>
            <w:tcW w:w="6200" w:type="dxa"/>
            <w:vAlign w:val="bottom"/>
          </w:tcPr>
          <w:p>
            <w:pPr>
              <w:ind w:left="1420"/>
              <w:spacing w:after="0"/>
              <w:rPr>
                <w:sz w:val="20"/>
                <w:szCs w:val="20"/>
                <w:color w:val="auto"/>
              </w:rPr>
            </w:pPr>
            <w:r>
              <w:rPr>
                <w:rFonts w:ascii="Courier New" w:cs="Courier New" w:eastAsia="Courier New" w:hAnsi="Courier New"/>
                <w:sz w:val="15"/>
                <w:szCs w:val="15"/>
                <w:color w:val="auto"/>
              </w:rPr>
              <w:t>Deferred revenue</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21,209</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651,258</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0" w:type="dxa"/>
            <w:vAlign w:val="bottom"/>
          </w:tcPr>
          <w:p>
            <w:pPr>
              <w:ind w:left="1520"/>
              <w:spacing w:after="0"/>
              <w:rPr>
                <w:sz w:val="20"/>
                <w:szCs w:val="20"/>
                <w:color w:val="auto"/>
              </w:rPr>
            </w:pPr>
            <w:r>
              <w:rPr>
                <w:rFonts w:ascii="Courier New" w:cs="Courier New" w:eastAsia="Courier New" w:hAnsi="Courier New"/>
                <w:sz w:val="15"/>
                <w:szCs w:val="15"/>
                <w:color w:val="auto"/>
              </w:rPr>
              <w:t>Net cash used in operating activities</w:t>
            </w:r>
          </w:p>
        </w:tc>
        <w:tc>
          <w:tcPr>
            <w:tcW w:w="5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(934,286)</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(1,871,975)</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(5,730,498)</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2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 -</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Purchase of property and equipment</w:t>
            </w:r>
          </w:p>
        </w:tc>
        <w:tc>
          <w:tcPr>
            <w:tcW w:w="5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(44,045)</w:t>
            </w:r>
          </w:p>
        </w:tc>
        <w:tc>
          <w:tcPr>
            <w:tcW w:w="360" w:type="dxa"/>
            <w:vAlign w:val="bottom"/>
          </w:tcPr>
          <w:p>
            <w:pPr>
              <w:spacing w:after="0"/>
              <w:rPr>
                <w:sz w:val="14"/>
                <w:szCs w:val="14"/>
                <w:color w:val="auto"/>
              </w:rPr>
            </w:pPr>
          </w:p>
        </w:tc>
        <w:tc>
          <w:tcPr>
            <w:tcW w:w="14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(239,634)</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(1,221,480)</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2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convertible preferred stock</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5,435,045</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19,495,000</w:t>
            </w:r>
          </w:p>
        </w:tc>
      </w:tr>
      <w:tr>
        <w:trPr>
          <w:trHeight w:val="172"/>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324,750</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493,800</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23,231</w:t>
            </w:r>
          </w:p>
        </w:tc>
      </w:tr>
      <w:tr>
        <w:trPr>
          <w:trHeight w:val="172"/>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Borrowings under note payable and line of credit</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500,000</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189,569</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366,287</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0" w:type="dxa"/>
            <w:vAlign w:val="bottom"/>
          </w:tcPr>
          <w:p>
            <w:pPr>
              <w:ind w:left="152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824,750</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6,118,414</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19,884,518</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2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58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601</w:t>
            </w:r>
          </w:p>
        </w:tc>
        <w:tc>
          <w:tcPr>
            <w:tcW w:w="360" w:type="dxa"/>
            <w:vAlign w:val="bottom"/>
          </w:tcPr>
          <w:p>
            <w:pPr>
              <w:spacing w:after="0"/>
              <w:rPr>
                <w:sz w:val="24"/>
                <w:szCs w:val="2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5,867</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5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(152,980)</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4,012,672</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12,928,331</w:t>
            </w:r>
          </w:p>
        </w:tc>
      </w:tr>
      <w:tr>
        <w:trPr>
          <w:trHeight w:val="344"/>
        </w:trPr>
        <w:tc>
          <w:tcPr>
            <w:tcW w:w="62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Beginning of period</w:t>
            </w:r>
          </w:p>
        </w:tc>
        <w:tc>
          <w:tcPr>
            <w:tcW w:w="5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251,508</w:t>
            </w:r>
          </w:p>
        </w:tc>
        <w:tc>
          <w:tcPr>
            <w:tcW w:w="360" w:type="dxa"/>
            <w:vAlign w:val="bottom"/>
          </w:tcPr>
          <w:p>
            <w:pPr>
              <w:spacing w:after="0"/>
              <w:rPr>
                <w:sz w:val="14"/>
                <w:szCs w:val="14"/>
                <w:color w:val="auto"/>
              </w:rPr>
            </w:pP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98,528</w:t>
            </w:r>
          </w:p>
        </w:tc>
        <w:tc>
          <w:tcPr>
            <w:tcW w:w="18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4,111,200</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6200" w:type="dxa"/>
            <w:vAlign w:val="bottom"/>
          </w:tcPr>
          <w:p>
            <w:pPr>
              <w:ind w:left="440"/>
              <w:spacing w:after="0"/>
              <w:rPr>
                <w:sz w:val="20"/>
                <w:szCs w:val="20"/>
                <w:color w:val="auto"/>
              </w:rPr>
            </w:pPr>
            <w:r>
              <w:rPr>
                <w:rFonts w:ascii="Courier New" w:cs="Courier New" w:eastAsia="Courier New" w:hAnsi="Courier New"/>
                <w:sz w:val="15"/>
                <w:szCs w:val="15"/>
                <w:color w:val="auto"/>
              </w:rPr>
              <w:t>End of period</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98,528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4,111,200</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$ 17,039,531</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6200" w:type="dxa"/>
            <w:vAlign w:val="bottom"/>
          </w:tcPr>
          <w:p>
            <w:pPr>
              <w:ind w:left="340"/>
              <w:spacing w:after="0"/>
              <w:rPr>
                <w:sz w:val="20"/>
                <w:szCs w:val="20"/>
                <w:color w:val="auto"/>
              </w:rPr>
            </w:pPr>
            <w:r>
              <w:rPr>
                <w:rFonts w:ascii="Courier New" w:cs="Courier New" w:eastAsia="Courier New" w:hAnsi="Courier New"/>
                <w:sz w:val="15"/>
                <w:szCs w:val="15"/>
                <w:color w:val="auto"/>
              </w:rPr>
              <w:t>Cash paid for interest</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29,458</w:t>
            </w:r>
          </w:p>
        </w:tc>
      </w:tr>
      <w:tr>
        <w:trPr>
          <w:trHeight w:val="172"/>
        </w:trPr>
        <w:tc>
          <w:tcPr>
            <w:tcW w:w="6200" w:type="dxa"/>
            <w:vAlign w:val="bottom"/>
          </w:tcPr>
          <w:p>
            <w:pPr>
              <w:spacing w:after="0"/>
              <w:rPr>
                <w:sz w:val="14"/>
                <w:szCs w:val="14"/>
                <w:color w:val="auto"/>
              </w:rPr>
            </w:pP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20"/>
          </w:cols>
          <w:pgMar w:left="240" w:top="289" w:right="839"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10</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628" w:hanging="628"/>
        <w:spacing w:after="0"/>
        <w:tabs>
          <w:tab w:leader="none" w:pos="62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6" w:lineRule="exact"/>
        <w:rPr>
          <w:sz w:val="20"/>
          <w:szCs w:val="20"/>
          <w:color w:val="auto"/>
        </w:rPr>
      </w:pPr>
    </w:p>
    <w:p>
      <w:pPr>
        <w:ind w:left="1248" w:right="3259" w:hanging="267"/>
        <w:spacing w:after="0" w:line="242" w:lineRule="auto"/>
        <w:rPr>
          <w:sz w:val="20"/>
          <w:szCs w:val="20"/>
          <w:color w:val="auto"/>
        </w:rPr>
      </w:pPr>
      <w:r>
        <w:rPr>
          <w:rFonts w:ascii="Courier New" w:cs="Courier New" w:eastAsia="Courier New" w:hAnsi="Courier New"/>
          <w:sz w:val="15"/>
          <w:szCs w:val="15"/>
          <w:color w:val="auto"/>
        </w:rPr>
        <w:t>BlueGill Technologies, Inc. ("BlueGill") and its wholly-owned subsidiaries (collectively, the "Company") develop, market and support electronic document transmission software technology. In addition, the Company provides consulting, training and maintenance services to customers.</w:t>
      </w:r>
    </w:p>
    <w:p>
      <w:pPr>
        <w:spacing w:after="0" w:line="175" w:lineRule="exact"/>
        <w:rPr>
          <w:sz w:val="20"/>
          <w:szCs w:val="20"/>
          <w:color w:val="auto"/>
        </w:rPr>
      </w:pPr>
    </w:p>
    <w:p>
      <w:pPr>
        <w:ind w:left="1248" w:right="3439" w:hanging="267"/>
        <w:spacing w:after="0" w:line="242" w:lineRule="auto"/>
        <w:rPr>
          <w:sz w:val="20"/>
          <w:szCs w:val="20"/>
          <w:color w:val="auto"/>
        </w:rPr>
      </w:pPr>
      <w:r>
        <w:rPr>
          <w:rFonts w:ascii="Courier New" w:cs="Courier New" w:eastAsia="Courier New" w:hAnsi="Courier New"/>
          <w:sz w:val="15"/>
          <w:szCs w:val="15"/>
          <w:color w:val="auto"/>
        </w:rPr>
        <w:t>The Company is in the early phases of implementing its operating strategy. The Company's future success is subject to several technical and business risks including customer acceptance, availability and retention of key employees, competition and technological changes. Since inception, the Company's revenues have been derived from a limited number of customers located primarily in the United States.</w:t>
      </w:r>
    </w:p>
    <w:p>
      <w:pPr>
        <w:spacing w:after="0" w:line="177" w:lineRule="exact"/>
        <w:rPr>
          <w:sz w:val="20"/>
          <w:szCs w:val="20"/>
          <w:color w:val="auto"/>
        </w:rPr>
      </w:pPr>
    </w:p>
    <w:p>
      <w:pPr>
        <w:ind w:left="1248" w:right="3079" w:hanging="267"/>
        <w:spacing w:after="0" w:line="242" w:lineRule="auto"/>
        <w:rPr>
          <w:sz w:val="20"/>
          <w:szCs w:val="20"/>
          <w:color w:val="auto"/>
        </w:rPr>
      </w:pPr>
      <w:r>
        <w:rPr>
          <w:rFonts w:ascii="Courier New" w:cs="Courier New" w:eastAsia="Courier New" w:hAnsi="Courier New"/>
          <w:sz w:val="15"/>
          <w:szCs w:val="15"/>
          <w:color w:val="auto"/>
        </w:rPr>
        <w:t>In December 1999, the Company signed an Agreement and Plan of Merger with CheckFree Acquisition Corporation III, a publicly held Delaware corporation and a wholly-owned subsidiary of CheckFree Holdings Corporation (the "Parent"). The merger agreement provides for all of the outstanding capital shares of BlueGill Technologies, Inc. to be exchanged for approximately 3,205,000 shares of the Parent's common stock, subject to adjustment, depending on the average trading price of Parent's common stock and the diluted number of shares of BlueGill common stock outstanding.</w:t>
      </w:r>
    </w:p>
    <w:p>
      <w:pPr>
        <w:spacing w:after="0" w:line="177" w:lineRule="exact"/>
        <w:rPr>
          <w:sz w:val="20"/>
          <w:szCs w:val="20"/>
          <w:color w:val="auto"/>
        </w:rPr>
      </w:pPr>
    </w:p>
    <w:p>
      <w:pPr>
        <w:ind w:left="628" w:hanging="628"/>
        <w:spacing w:after="0"/>
        <w:tabs>
          <w:tab w:leader="none" w:pos="6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ACCOUNTING POLICIES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Principles of Consolidation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079" w:hanging="267"/>
        <w:spacing w:after="0" w:line="242"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BlueGill and its wholly owned subsidiaries, BlueGill Technologies Corporation (an Ontario, Canada Corporation, "BlueGill Canada") and BlueGill Technologies International, Inc. (a Michigan corporation, "BlueGill International"). BlueGill Canada is a research and development center that conducts development activities solely for BlueGill. Prior to 1998, BlueGill owned a 49% interest in BlueGill Canada. In 1998, the Company purchased the remaining 51% interest in BlueGill Canada for $51. A minority stockholder of BlueGill held the 51% interest. BlueGill International engages in sales and marketing efforts in Europe and Asia. All significant intercompany balances and transactions have been eliminated in the consolidation.</w:t>
      </w:r>
    </w:p>
    <w:p>
      <w:pPr>
        <w:spacing w:after="0" w:line="180"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Foreign Currency Translation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079" w:hanging="267"/>
        <w:spacing w:after="0" w:line="242" w:lineRule="auto"/>
        <w:rPr>
          <w:sz w:val="20"/>
          <w:szCs w:val="20"/>
          <w:color w:val="auto"/>
        </w:rPr>
      </w:pPr>
      <w:r>
        <w:rPr>
          <w:rFonts w:ascii="Courier New" w:cs="Courier New" w:eastAsia="Courier New" w:hAnsi="Courier New"/>
          <w:sz w:val="15"/>
          <w:szCs w:val="15"/>
          <w:color w:val="auto"/>
        </w:rPr>
        <w:t>The assets and liabilities of BlueGill Canada and Bluegill International are translated using exchange rates in effect at the balance sheet date. Revenues and expenses are translated at average exchange rates during the period. The resulting foreign currency translation adjustments are included in accumulated other comprehensive income in the accompanying consolidated financial statements.</w:t>
      </w:r>
    </w:p>
    <w:p>
      <w:pPr>
        <w:spacing w:after="0" w:line="175"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Revenue Recognition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259" w:hanging="267"/>
        <w:spacing w:after="0" w:line="265" w:lineRule="auto"/>
        <w:rPr>
          <w:sz w:val="20"/>
          <w:szCs w:val="20"/>
          <w:color w:val="auto"/>
        </w:rPr>
      </w:pPr>
      <w:r>
        <w:rPr>
          <w:rFonts w:ascii="Courier New" w:cs="Courier New" w:eastAsia="Courier New" w:hAnsi="Courier New"/>
          <w:sz w:val="14"/>
          <w:szCs w:val="14"/>
          <w:color w:val="auto"/>
        </w:rPr>
        <w:t>Revenue consists primarily of license fees for the Company's software products. Revenue is recognized only when a customer contract is fully executed, the software is delivered and no significant remaining obligations to the customer exist.</w:t>
      </w:r>
    </w:p>
    <w:p>
      <w:pPr>
        <w:spacing w:after="0" w:line="15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27"/>
          </w:cols>
          <w:pgMar w:left="232" w:top="28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left="1260" w:right="3079" w:hanging="267"/>
        <w:spacing w:after="0" w:line="242" w:lineRule="auto"/>
        <w:rPr>
          <w:sz w:val="20"/>
          <w:szCs w:val="20"/>
          <w:color w:val="auto"/>
        </w:rPr>
      </w:pPr>
      <w:r>
        <w:rPr>
          <w:rFonts w:ascii="Courier New" w:cs="Courier New" w:eastAsia="Courier New" w:hAnsi="Courier New"/>
          <w:sz w:val="15"/>
          <w:szCs w:val="15"/>
          <w:color w:val="auto"/>
        </w:rPr>
        <w:t>Revenue related to advance payments received under software maintenance agreements is deferred and amortized over the terms of the respective agreements. Revenue from other services is recognized upon performance of the service.</w:t>
      </w:r>
    </w:p>
    <w:p>
      <w:pPr>
        <w:spacing w:after="0" w:line="17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Research and Development</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Research and development expenses include all payroll costs</w:t>
      </w:r>
    </w:p>
    <w:p>
      <w:pPr>
        <w:spacing w:after="0" w:line="4" w:lineRule="exact"/>
        <w:rPr>
          <w:sz w:val="20"/>
          <w:szCs w:val="20"/>
          <w:color w:val="auto"/>
        </w:rPr>
      </w:pPr>
    </w:p>
    <w:p>
      <w:pPr>
        <w:ind w:left="1260" w:right="3699"/>
        <w:spacing w:after="0" w:line="274" w:lineRule="auto"/>
        <w:rPr>
          <w:sz w:val="20"/>
          <w:szCs w:val="20"/>
          <w:color w:val="auto"/>
        </w:rPr>
      </w:pPr>
      <w:r>
        <w:rPr>
          <w:rFonts w:ascii="Courier New" w:cs="Courier New" w:eastAsia="Courier New" w:hAnsi="Courier New"/>
          <w:sz w:val="14"/>
          <w:szCs w:val="14"/>
          <w:color w:val="auto"/>
        </w:rPr>
        <w:t>attributable to product development activities and an allocation of overhead expenses incurred by the Company.</w:t>
      </w:r>
    </w:p>
    <w:p>
      <w:pPr>
        <w:spacing w:after="0" w:line="15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Product Development</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60" w:right="3079" w:hanging="267"/>
        <w:spacing w:after="0" w:line="242" w:lineRule="auto"/>
        <w:rPr>
          <w:sz w:val="20"/>
          <w:szCs w:val="20"/>
          <w:color w:val="auto"/>
        </w:rPr>
      </w:pPr>
      <w:r>
        <w:rPr>
          <w:rFonts w:ascii="Courier New" w:cs="Courier New" w:eastAsia="Courier New" w:hAnsi="Courier New"/>
          <w:sz w:val="15"/>
          <w:szCs w:val="15"/>
          <w:color w:val="auto"/>
        </w:rPr>
        <w:t>Under the criteria set forth in Statement of Financial Accounting Standards No. 86, "Accounting for the Costs of Computer Software to be Sold, Leased or Otherwise Marketed," capitalization of software development costs begins upon the establishment of technological feasibility of the product (defined as a working model). The ongoing assessment of the recoverability of these costs require considerable judgment by management with respect to certain external factors, including, but not limited to, anticipated future gross product revenue, estimated economic product lives and changes in software and hardware technology. Amounts that would have been capitalized under this Statement after consideration of the above factors were immaterial, and therefore no software development costs have been capitalized by the Company.</w:t>
      </w:r>
    </w:p>
    <w:p>
      <w:pPr>
        <w:spacing w:after="0" w:line="18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Cash and Cash Equivalents</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60" w:right="3079" w:hanging="267"/>
        <w:spacing w:after="0"/>
        <w:rPr>
          <w:sz w:val="20"/>
          <w:szCs w:val="20"/>
          <w:color w:val="auto"/>
        </w:rPr>
      </w:pPr>
      <w:r>
        <w:rPr>
          <w:rFonts w:ascii="Courier New" w:cs="Courier New" w:eastAsia="Courier New" w:hAnsi="Courier New"/>
          <w:sz w:val="15"/>
          <w:szCs w:val="15"/>
          <w:color w:val="auto"/>
        </w:rPr>
        <w:t>The Company considers highly liquid investments with a maturity of 90 days or less to be cash equivalents.</w:t>
      </w:r>
    </w:p>
    <w:p>
      <w:pPr>
        <w:spacing w:after="0" w:line="17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Property and Equipment</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60" w:right="3259" w:hanging="267"/>
        <w:spacing w:after="0" w:line="242" w:lineRule="auto"/>
        <w:rPr>
          <w:sz w:val="20"/>
          <w:szCs w:val="20"/>
          <w:color w:val="auto"/>
        </w:rPr>
      </w:pPr>
      <w:r>
        <w:rPr>
          <w:rFonts w:ascii="Courier New" w:cs="Courier New" w:eastAsia="Courier New" w:hAnsi="Courier New"/>
          <w:sz w:val="15"/>
          <w:szCs w:val="15"/>
          <w:color w:val="auto"/>
        </w:rPr>
        <w:t>Additions to property and equipment are recorded at cost. Depreciation is provided using the straight-line method over the estimated useful lives of the respective assets generally ranging from three to five years.</w:t>
      </w:r>
    </w:p>
    <w:p>
      <w:pPr>
        <w:spacing w:after="0" w:line="17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Stock-Based Compensation</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60" w:right="3079" w:hanging="267"/>
        <w:spacing w:after="0" w:line="261" w:lineRule="auto"/>
        <w:rPr>
          <w:sz w:val="20"/>
          <w:szCs w:val="20"/>
          <w:color w:val="auto"/>
        </w:rPr>
      </w:pPr>
      <w:r>
        <w:rPr>
          <w:rFonts w:ascii="Courier New" w:cs="Courier New" w:eastAsia="Courier New" w:hAnsi="Courier New"/>
          <w:sz w:val="14"/>
          <w:szCs w:val="14"/>
          <w:color w:val="auto"/>
        </w:rPr>
        <w:t>The Company accounts for stock-based compensation using the intrinsic value method prescribed under Accounting Principles Board Opinion No. 25 (APB 25), "Accounting for Stock Issued to Employees." Accordingly, compensation cost for stock options is measured as the excess, if any, of the fair value of the Company's common stock at the date of the grant over the amount the employee must pay to acquire the stock. As supplemental information, the Company has provided pro forma disclosure of the fair value at the date of grant of stock options granted during 1997, 1998 and 1999 in Note 7, in accordance with the requirements of Statement of Financial Accounting Standards No. 123 (SFAS 123), "Accounting for Stock-Based Compensation."</w:t>
      </w:r>
    </w:p>
    <w:p>
      <w:pPr>
        <w:spacing w:after="0" w:line="16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9959"/>
          </w:cols>
          <w:pgMar w:left="500" w:top="289"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Comprehensive Loss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259" w:hanging="267"/>
        <w:spacing w:after="0" w:line="242" w:lineRule="auto"/>
        <w:rPr>
          <w:sz w:val="20"/>
          <w:szCs w:val="20"/>
          <w:color w:val="auto"/>
        </w:rPr>
      </w:pPr>
      <w:r>
        <w:rPr>
          <w:rFonts w:ascii="Courier New" w:cs="Courier New" w:eastAsia="Courier New" w:hAnsi="Courier New"/>
          <w:sz w:val="15"/>
          <w:szCs w:val="15"/>
          <w:color w:val="auto"/>
        </w:rPr>
        <w:t>Comprehensive loss is the total of net loss and all other non-owner changes in equity. The difference between net loss, as reported in the accompanying consolidated statements of operations, and comprehensive loss is the foreign currency translation adjustment for the period.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Use of Estimates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079" w:hanging="267"/>
        <w:spacing w:after="0" w:line="262"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New Accounting Pronouncements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079" w:hanging="279"/>
        <w:spacing w:after="0" w:line="242" w:lineRule="auto"/>
        <w:tabs>
          <w:tab w:leader="none" w:pos="1508" w:val="left"/>
        </w:tabs>
        <w:rPr>
          <w:sz w:val="20"/>
          <w:szCs w:val="20"/>
          <w:color w:val="auto"/>
        </w:rPr>
      </w:pPr>
      <w:r>
        <w:rPr>
          <w:rFonts w:ascii="Courier New" w:cs="Courier New" w:eastAsia="Courier New" w:hAnsi="Courier New"/>
          <w:sz w:val="15"/>
          <w:szCs w:val="15"/>
          <w:color w:val="auto"/>
        </w:rPr>
        <w:t>In</w:t>
        <w:tab/>
        <w:t>June 1998, the Financial Accounting Standards Board issued SFAS No. 133, "Accounting for Derivative Instruments and Hedging Activities", which establishes accounting and reporting standards for derivative instruments. The Company has not yet quantified the impact of this statement on the Company's financial statements.</w:t>
      </w:r>
    </w:p>
    <w:p>
      <w:pPr>
        <w:spacing w:after="0" w:line="176" w:lineRule="exact"/>
        <w:rPr>
          <w:sz w:val="20"/>
          <w:szCs w:val="20"/>
          <w:color w:val="auto"/>
        </w:rPr>
      </w:pPr>
    </w:p>
    <w:p>
      <w:pPr>
        <w:ind w:left="1528" w:right="3079" w:hanging="279"/>
        <w:spacing w:after="0" w:line="242" w:lineRule="auto"/>
        <w:tabs>
          <w:tab w:leader="none" w:pos="1508" w:val="left"/>
        </w:tabs>
        <w:rPr>
          <w:sz w:val="20"/>
          <w:szCs w:val="20"/>
          <w:color w:val="auto"/>
        </w:rPr>
      </w:pPr>
      <w:r>
        <w:rPr>
          <w:rFonts w:ascii="Courier New" w:cs="Courier New" w:eastAsia="Courier New" w:hAnsi="Courier New"/>
          <w:sz w:val="15"/>
          <w:szCs w:val="15"/>
          <w:color w:val="auto"/>
        </w:rPr>
        <w:t>In</w:t>
        <w:tab/>
        <w:t>December 1999, the Securities and Exchange Commission issued Staff Accounting Bulletin No. 101, "Revenue Recognition", which provides guidance on when revenue should be recognized. This bulletin did not have a material impact on the accompanying financial statements.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Reclassifications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259" w:hanging="267"/>
        <w:spacing w:after="0" w:line="274" w:lineRule="auto"/>
        <w:rPr>
          <w:sz w:val="20"/>
          <w:szCs w:val="20"/>
          <w:color w:val="auto"/>
        </w:rPr>
      </w:pPr>
      <w:r>
        <w:rPr>
          <w:rFonts w:ascii="Courier New" w:cs="Courier New" w:eastAsia="Courier New" w:hAnsi="Courier New"/>
          <w:sz w:val="14"/>
          <w:szCs w:val="14"/>
          <w:color w:val="auto"/>
        </w:rPr>
        <w:t>Certain amounts from the 1997 and 1998 financial statements have been reclassified to conform with the 1999 presentation.</w:t>
      </w:r>
    </w:p>
    <w:p>
      <w:pPr>
        <w:spacing w:after="0" w:line="152" w:lineRule="exact"/>
        <w:rPr>
          <w:sz w:val="20"/>
          <w:szCs w:val="20"/>
          <w:color w:val="auto"/>
        </w:rPr>
      </w:pPr>
    </w:p>
    <w:p>
      <w:pPr>
        <w:ind w:left="628" w:hanging="628"/>
        <w:spacing w:after="0"/>
        <w:tabs>
          <w:tab w:leader="none" w:pos="6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6" w:lineRule="exact"/>
        <w:rPr>
          <w:sz w:val="20"/>
          <w:szCs w:val="20"/>
          <w:color w:val="auto"/>
        </w:rPr>
      </w:pPr>
    </w:p>
    <w:p>
      <w:pPr>
        <w:ind w:left="1248" w:right="3079" w:hanging="267"/>
        <w:spacing w:after="0" w:line="242" w:lineRule="auto"/>
        <w:rPr>
          <w:sz w:val="20"/>
          <w:szCs w:val="20"/>
          <w:color w:val="auto"/>
        </w:rPr>
      </w:pPr>
      <w:r>
        <w:rPr>
          <w:rFonts w:ascii="Courier New" w:cs="Courier New" w:eastAsia="Courier New" w:hAnsi="Courier New"/>
          <w:sz w:val="15"/>
          <w:szCs w:val="15"/>
          <w:color w:val="auto"/>
        </w:rPr>
        <w:t>In 1998, the Company entered into a line-of-credit agreement with a bank whereby the Company may borrow up to $750,000. Outstanding borrowings bear interest at the bank's prime rate plus 0.25% (effective rate of 8% and 8.75% as of December 31, 1998 and 1999, respectively) which is payable monthly. Outstanding borrowings are collateralized by substantially all assets of the Company. The agreement expires on April 29, 2002.</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289" w:right="1440" w:bottom="1440" w:gutter="0" w:footer="0" w:header="0"/>
        </w:sectPr>
      </w:pPr>
    </w:p>
    <w:bookmarkStart w:id="13" w:name="page14"/>
    <w:bookmarkEnd w:id="13"/>
    <w:p>
      <w:pPr>
        <w:ind w:left="268"/>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628" w:hanging="628"/>
        <w:spacing w:after="0"/>
        <w:tabs>
          <w:tab w:leader="none" w:pos="6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ACCRUED LIABILITIES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Other accrued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528"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3440" w:type="dxa"/>
            <w:vAlign w:val="bottom"/>
          </w:tcPr>
          <w:p>
            <w:pPr>
              <w:spacing w:after="0"/>
              <w:rPr>
                <w:sz w:val="14"/>
                <w:szCs w:val="14"/>
                <w:color w:val="auto"/>
              </w:rPr>
            </w:pPr>
          </w:p>
        </w:tc>
        <w:tc>
          <w:tcPr>
            <w:tcW w:w="3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22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440" w:type="dxa"/>
            <w:vAlign w:val="bottom"/>
          </w:tcPr>
          <w:p>
            <w:pPr>
              <w:spacing w:after="0"/>
              <w:rPr>
                <w:sz w:val="14"/>
                <w:szCs w:val="14"/>
                <w:color w:val="auto"/>
              </w:rPr>
            </w:pPr>
          </w:p>
        </w:tc>
        <w:tc>
          <w:tcPr>
            <w:tcW w:w="22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688"/>
        </w:trPr>
        <w:tc>
          <w:tcPr>
            <w:tcW w:w="3440" w:type="dxa"/>
            <w:vAlign w:val="bottom"/>
          </w:tcPr>
          <w:p>
            <w:pPr>
              <w:spacing w:after="0"/>
              <w:rPr>
                <w:sz w:val="20"/>
                <w:szCs w:val="20"/>
                <w:color w:val="auto"/>
              </w:rPr>
            </w:pPr>
            <w:r>
              <w:rPr>
                <w:rFonts w:ascii="Courier New" w:cs="Courier New" w:eastAsia="Courier New" w:hAnsi="Courier New"/>
                <w:sz w:val="15"/>
                <w:szCs w:val="15"/>
                <w:color w:val="auto"/>
              </w:rPr>
              <w:t>Accrued Royalties</w:t>
            </w:r>
          </w:p>
        </w:tc>
        <w:tc>
          <w:tcPr>
            <w:tcW w:w="22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$ 34,000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$ 62,300</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Accrued Professional fees</w:t>
            </w:r>
          </w:p>
        </w:tc>
        <w:tc>
          <w:tcPr>
            <w:tcW w:w="22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221,252</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27,870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287,229</w:t>
            </w:r>
          </w:p>
        </w:tc>
      </w:tr>
      <w:tr>
        <w:trPr>
          <w:trHeight w:val="172"/>
        </w:trPr>
        <w:tc>
          <w:tcPr>
            <w:tcW w:w="3440" w:type="dxa"/>
            <w:vAlign w:val="bottom"/>
          </w:tcPr>
          <w:p>
            <w:pPr>
              <w:spacing w:after="0"/>
              <w:rPr>
                <w:sz w:val="14"/>
                <w:szCs w:val="14"/>
                <w:color w:val="auto"/>
              </w:rPr>
            </w:pPr>
          </w:p>
        </w:tc>
        <w:tc>
          <w:tcPr>
            <w:tcW w:w="22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22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$ 61,870</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$570,781</w:t>
            </w:r>
          </w:p>
        </w:tc>
      </w:tr>
      <w:tr>
        <w:trPr>
          <w:trHeight w:val="172"/>
        </w:trPr>
        <w:tc>
          <w:tcPr>
            <w:tcW w:w="3440" w:type="dxa"/>
            <w:vAlign w:val="bottom"/>
          </w:tcPr>
          <w:p>
            <w:pPr>
              <w:spacing w:after="0"/>
              <w:rPr>
                <w:sz w:val="14"/>
                <w:szCs w:val="14"/>
                <w:color w:val="auto"/>
              </w:rPr>
            </w:pPr>
          </w:p>
        </w:tc>
        <w:tc>
          <w:tcPr>
            <w:tcW w:w="22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628" w:hanging="628"/>
        <w:spacing w:after="0"/>
        <w:tabs>
          <w:tab w:leader="none" w:pos="6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The components of the benefit for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528"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800" w:type="dxa"/>
            <w:vAlign w:val="bottom"/>
          </w:tcPr>
          <w:p>
            <w:pPr>
              <w:spacing w:after="0"/>
              <w:rPr>
                <w:sz w:val="14"/>
                <w:szCs w:val="14"/>
                <w:color w:val="auto"/>
              </w:rPr>
            </w:pPr>
          </w:p>
        </w:tc>
        <w:tc>
          <w:tcPr>
            <w:tcW w:w="43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2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800" w:type="dxa"/>
            <w:vAlign w:val="bottom"/>
          </w:tcPr>
          <w:p>
            <w:pPr>
              <w:spacing w:after="0"/>
              <w:rPr>
                <w:sz w:val="14"/>
                <w:szCs w:val="14"/>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800" w:type="dxa"/>
            <w:vAlign w:val="bottom"/>
          </w:tcPr>
          <w:p>
            <w:pPr>
              <w:spacing w:after="0"/>
              <w:rPr>
                <w:sz w:val="20"/>
                <w:szCs w:val="20"/>
                <w:color w:val="auto"/>
              </w:rPr>
            </w:pPr>
            <w:r>
              <w:rPr>
                <w:rFonts w:ascii="Courier New" w:cs="Courier New" w:eastAsia="Courier New" w:hAnsi="Courier New"/>
                <w:sz w:val="15"/>
                <w:szCs w:val="15"/>
                <w:color w:val="auto"/>
              </w:rPr>
              <w:t>Tax benefit</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(334,000)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(656,000)</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$(2,419,000)</w:t>
            </w:r>
          </w:p>
        </w:tc>
      </w:t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Change in valuation Allowance</w:t>
            </w:r>
          </w:p>
        </w:tc>
        <w:tc>
          <w:tcPr>
            <w:tcW w:w="5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334,000</w:t>
            </w:r>
          </w:p>
        </w:tc>
        <w:tc>
          <w:tcPr>
            <w:tcW w:w="400" w:type="dxa"/>
            <w:vAlign w:val="bottom"/>
          </w:tcPr>
          <w:p>
            <w:pPr>
              <w:spacing w:after="0"/>
              <w:rPr>
                <w:sz w:val="14"/>
                <w:szCs w:val="14"/>
                <w:color w:val="auto"/>
              </w:rPr>
            </w:pP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656,000</w:t>
            </w:r>
          </w:p>
        </w:tc>
        <w:tc>
          <w:tcPr>
            <w:tcW w:w="18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2,419,000</w:t>
            </w:r>
          </w:p>
        </w:tc>
      </w:tr>
      <w:tr>
        <w:trPr>
          <w:trHeight w:val="172"/>
        </w:trPr>
        <w:tc>
          <w:tcPr>
            <w:tcW w:w="2800" w:type="dxa"/>
            <w:vAlign w:val="bottom"/>
          </w:tcPr>
          <w:p>
            <w:pPr>
              <w:spacing w:after="0"/>
              <w:rPr>
                <w:sz w:val="14"/>
                <w:szCs w:val="14"/>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Total benefit</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800" w:type="dxa"/>
            <w:vAlign w:val="bottom"/>
          </w:tcPr>
          <w:p>
            <w:pPr>
              <w:spacing w:after="0"/>
              <w:rPr>
                <w:sz w:val="14"/>
                <w:szCs w:val="14"/>
                <w:color w:val="auto"/>
              </w:rPr>
            </w:pPr>
          </w:p>
        </w:tc>
        <w:tc>
          <w:tcPr>
            <w:tcW w:w="15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both"/>
        <w:ind w:left="1248" w:right="3339" w:hanging="267"/>
        <w:spacing w:after="0" w:line="241" w:lineRule="auto"/>
        <w:rPr>
          <w:sz w:val="20"/>
          <w:szCs w:val="20"/>
          <w:color w:val="auto"/>
        </w:rPr>
      </w:pPr>
      <w:r>
        <w:rPr>
          <w:rFonts w:ascii="Courier New" w:cs="Courier New" w:eastAsia="Courier New" w:hAnsi="Courier New"/>
          <w:sz w:val="15"/>
          <w:szCs w:val="15"/>
          <w:color w:val="auto"/>
        </w:rPr>
        <w:t>The effective tax rate of zero differs from the Federal statutory rate primarily due to providing a valuation allowance on future tax benefits.</w:t>
      </w:r>
    </w:p>
    <w:p>
      <w:pPr>
        <w:spacing w:after="0" w:line="176" w:lineRule="exact"/>
        <w:rPr>
          <w:sz w:val="20"/>
          <w:szCs w:val="20"/>
          <w:color w:val="auto"/>
        </w:rPr>
      </w:pPr>
    </w:p>
    <w:p>
      <w:pPr>
        <w:ind w:left="1248" w:right="3079" w:hanging="267"/>
        <w:spacing w:after="0" w:line="242" w:lineRule="auto"/>
        <w:rPr>
          <w:sz w:val="20"/>
          <w:szCs w:val="20"/>
          <w:color w:val="auto"/>
        </w:rPr>
      </w:pPr>
      <w:r>
        <w:rPr>
          <w:rFonts w:ascii="Courier New" w:cs="Courier New" w:eastAsia="Courier New" w:hAnsi="Courier New"/>
          <w:sz w:val="15"/>
          <w:szCs w:val="15"/>
          <w:color w:val="auto"/>
        </w:rPr>
        <w:t>At December 31, 1998 and December 31, 1999, the Company had pre-tax net operating loss carryforwards of approximately $3,100,000 and $10,133,000, respectively, available for tax reporting purposes which may be used to offset future taxable income. The loss carryforwards expire between 2012 and 2019. The Company's ability to utilize these loss carryforwards may be limited under Section 382 of the Internal Revenue Code. Due to the losses incurred since inception, the deferred income tax asset is fully reserved by a valuation allowance.</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289"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As of December 31, 1997, 1998 and 1999, the Company has a deferred</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income tax asset prior to the valuation allowance totaling</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$276,000, $1,054,000 and $3,445,000, respectively, consisting</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primarily of the tax benefit of net operating loss carryforwards.</w:t>
      </w:r>
    </w:p>
    <w:p>
      <w:pPr>
        <w:spacing w:after="0" w:line="174" w:lineRule="exact"/>
        <w:rPr>
          <w:sz w:val="20"/>
          <w:szCs w:val="20"/>
          <w:color w:val="auto"/>
        </w:rPr>
      </w:pPr>
    </w:p>
    <w:p>
      <w:pPr>
        <w:ind w:left="628" w:hanging="628"/>
        <w:spacing w:after="0"/>
        <w:tabs>
          <w:tab w:leader="none" w:pos="6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AND REDEEMABLE PREFERRED STOCK</w:t>
      </w:r>
    </w:p>
    <w:p>
      <w:pPr>
        <w:spacing w:after="0" w:line="176" w:lineRule="exact"/>
        <w:rPr>
          <w:sz w:val="20"/>
          <w:szCs w:val="20"/>
          <w:color w:val="auto"/>
        </w:rPr>
      </w:pPr>
    </w:p>
    <w:p>
      <w:pPr>
        <w:ind w:left="1248" w:right="3079" w:hanging="267"/>
        <w:spacing w:after="0" w:line="263" w:lineRule="auto"/>
        <w:rPr>
          <w:sz w:val="20"/>
          <w:szCs w:val="20"/>
          <w:color w:val="auto"/>
        </w:rPr>
      </w:pPr>
      <w:r>
        <w:rPr>
          <w:rFonts w:ascii="Courier New" w:cs="Courier New" w:eastAsia="Courier New" w:hAnsi="Courier New"/>
          <w:sz w:val="14"/>
          <w:szCs w:val="14"/>
          <w:color w:val="auto"/>
        </w:rPr>
        <w:t>In June 1998, the Company amended its Certificate of Incorporation in order to affect a 1000-to-1 common stock split and increased the authorized shares of common stock to 30,000,000 from 12,000,000 (post-split). All information in the accompanying consolidated financial statements has been restated to reflect the stock split.</w:t>
      </w:r>
    </w:p>
    <w:p>
      <w:pPr>
        <w:spacing w:after="0" w:line="163" w:lineRule="exact"/>
        <w:rPr>
          <w:sz w:val="20"/>
          <w:szCs w:val="20"/>
          <w:color w:val="auto"/>
        </w:rPr>
      </w:pPr>
    </w:p>
    <w:p>
      <w:pPr>
        <w:jc w:val="both"/>
        <w:ind w:left="1248" w:right="3079" w:hanging="267"/>
        <w:spacing w:after="0" w:line="241" w:lineRule="auto"/>
        <w:rPr>
          <w:sz w:val="20"/>
          <w:szCs w:val="20"/>
          <w:color w:val="auto"/>
        </w:rPr>
      </w:pPr>
      <w:r>
        <w:rPr>
          <w:rFonts w:ascii="Courier New" w:cs="Courier New" w:eastAsia="Courier New" w:hAnsi="Courier New"/>
          <w:sz w:val="15"/>
          <w:szCs w:val="15"/>
          <w:color w:val="auto"/>
        </w:rPr>
        <w:t>Later in June 1998, the Company amended and restated its Certificate of Incorporation pursuant to which it authorized 12,500,000 shares of Series A convertible preferred stock.</w:t>
      </w:r>
    </w:p>
    <w:p>
      <w:pPr>
        <w:spacing w:after="0" w:line="176" w:lineRule="exact"/>
        <w:rPr>
          <w:sz w:val="20"/>
          <w:szCs w:val="20"/>
          <w:color w:val="auto"/>
        </w:rPr>
      </w:pPr>
    </w:p>
    <w:p>
      <w:pPr>
        <w:ind w:left="1248" w:right="3159" w:hanging="267"/>
        <w:spacing w:after="0" w:line="242" w:lineRule="auto"/>
        <w:rPr>
          <w:sz w:val="20"/>
          <w:szCs w:val="20"/>
          <w:color w:val="auto"/>
        </w:rPr>
      </w:pPr>
      <w:r>
        <w:rPr>
          <w:rFonts w:ascii="Courier New" w:cs="Courier New" w:eastAsia="Courier New" w:hAnsi="Courier New"/>
          <w:sz w:val="15"/>
          <w:szCs w:val="15"/>
          <w:color w:val="auto"/>
        </w:rPr>
        <w:t>In December 1998, the Company amended its Certificate of Incorporation pursuant to which the Company increased the authorized shares of Series A convertible preferred stock to 13,250,000 shares from 12,500,000. At various times during the period from June 1, 1998 through December 31, 1998, the Company issued an aggregate of 12,503,301 shares of Series A convertible preferred stock at $0.5174 per share for cash and conversion of a note payable. Certain holders of common stock were permitted to exchange that stock for Series A convertible preferred stock.</w:t>
      </w:r>
    </w:p>
    <w:p>
      <w:pPr>
        <w:spacing w:after="0" w:line="178" w:lineRule="exact"/>
        <w:rPr>
          <w:sz w:val="20"/>
          <w:szCs w:val="20"/>
          <w:color w:val="auto"/>
        </w:rPr>
      </w:pPr>
    </w:p>
    <w:p>
      <w:pPr>
        <w:ind w:left="1248" w:right="3159" w:hanging="267"/>
        <w:spacing w:after="0" w:line="262" w:lineRule="auto"/>
        <w:rPr>
          <w:sz w:val="20"/>
          <w:szCs w:val="20"/>
          <w:color w:val="auto"/>
        </w:rPr>
      </w:pPr>
      <w:r>
        <w:rPr>
          <w:rFonts w:ascii="Courier New" w:cs="Courier New" w:eastAsia="Courier New" w:hAnsi="Courier New"/>
          <w:sz w:val="14"/>
          <w:szCs w:val="14"/>
          <w:color w:val="auto"/>
        </w:rPr>
        <w:t>In June 1999, the Company amended and its Certificate of Incorporation pursuant to which the Company authorized 12,000,000 shares of Series B convertible preferred stock, authorized 12,000,000 shares of Series B-1 convertible preferred stock, reduced the number of authorized shares of Series A convertible preferred stock to 12,505,000 and increased the number of authorized shares of common stock to 40,000,000 from 30,000,000.</w:t>
      </w:r>
    </w:p>
    <w:p>
      <w:pPr>
        <w:spacing w:after="0" w:line="164" w:lineRule="exact"/>
        <w:rPr>
          <w:sz w:val="20"/>
          <w:szCs w:val="20"/>
          <w:color w:val="auto"/>
        </w:rPr>
      </w:pPr>
    </w:p>
    <w:p>
      <w:pPr>
        <w:ind w:left="1248" w:right="3079" w:hanging="267"/>
        <w:spacing w:after="0" w:line="242" w:lineRule="auto"/>
        <w:rPr>
          <w:sz w:val="20"/>
          <w:szCs w:val="20"/>
          <w:color w:val="auto"/>
        </w:rPr>
      </w:pPr>
      <w:r>
        <w:rPr>
          <w:rFonts w:ascii="Courier New" w:cs="Courier New" w:eastAsia="Courier New" w:hAnsi="Courier New"/>
          <w:sz w:val="15"/>
          <w:szCs w:val="15"/>
          <w:color w:val="auto"/>
        </w:rPr>
        <w:t>In September 1999, the Company amended its Certificate of Incorporation pursuant to which the Company increased the number of authorized shares of Series B convertible preferred stock to 13,000,000 shares from 12,000,000 shares, Series B-1 convertible preferred stock to 13,000,000, from 12,000,000 and common stock to 41,000,000 from 40,000,000.</w:t>
      </w:r>
    </w:p>
    <w:p>
      <w:pPr>
        <w:spacing w:after="0" w:line="176" w:lineRule="exact"/>
        <w:rPr>
          <w:sz w:val="20"/>
          <w:szCs w:val="20"/>
          <w:color w:val="auto"/>
        </w:rPr>
      </w:pPr>
    </w:p>
    <w:p>
      <w:pPr>
        <w:ind w:left="1248" w:right="3079" w:hanging="267"/>
        <w:spacing w:after="0" w:line="267" w:lineRule="auto"/>
        <w:rPr>
          <w:sz w:val="20"/>
          <w:szCs w:val="20"/>
          <w:color w:val="auto"/>
        </w:rPr>
      </w:pPr>
      <w:r>
        <w:rPr>
          <w:rFonts w:ascii="Courier New" w:cs="Courier New" w:eastAsia="Courier New" w:hAnsi="Courier New"/>
          <w:sz w:val="14"/>
          <w:szCs w:val="14"/>
          <w:color w:val="auto"/>
        </w:rPr>
        <w:t>At various times during the period from June 1, 1999 through September 30, 1999, the Company issued an aggregate of 12,825,651 shares of Series B convertible preferred stock at $1.52 per share.</w:t>
      </w:r>
    </w:p>
    <w:p>
      <w:pPr>
        <w:spacing w:after="0" w:line="157"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Common Stock</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079" w:hanging="267"/>
        <w:spacing w:after="0" w:line="242" w:lineRule="auto"/>
        <w:rPr>
          <w:sz w:val="20"/>
          <w:szCs w:val="20"/>
          <w:color w:val="auto"/>
        </w:rPr>
      </w:pPr>
      <w:r>
        <w:rPr>
          <w:rFonts w:ascii="Courier New" w:cs="Courier New" w:eastAsia="Courier New" w:hAnsi="Courier New"/>
          <w:sz w:val="15"/>
          <w:szCs w:val="15"/>
          <w:color w:val="auto"/>
        </w:rPr>
        <w:t>The Company and its founding stockholders (the "Founders") have entered into agreements generally providing the Company the right of first refusal to repurchase any shares of common stock offered for sale by the Founders or upon termination of a Founder's employment with the Company.</w:t>
      </w:r>
    </w:p>
    <w:p>
      <w:pPr>
        <w:spacing w:after="0" w:line="175" w:lineRule="exact"/>
        <w:rPr>
          <w:sz w:val="20"/>
          <w:szCs w:val="20"/>
          <w:color w:val="auto"/>
        </w:rPr>
      </w:pPr>
    </w:p>
    <w:p>
      <w:pPr>
        <w:ind w:left="1528" w:right="3259" w:hanging="267"/>
        <w:spacing w:after="0"/>
        <w:rPr>
          <w:sz w:val="20"/>
          <w:szCs w:val="20"/>
          <w:color w:val="auto"/>
        </w:rPr>
      </w:pPr>
      <w:r>
        <w:rPr>
          <w:rFonts w:ascii="Courier New" w:cs="Courier New" w:eastAsia="Courier New" w:hAnsi="Courier New"/>
          <w:sz w:val="15"/>
          <w:szCs w:val="15"/>
          <w:color w:val="auto"/>
        </w:rPr>
        <w:t>The holder of each outstanding share of common stock is entitled to one voting right per share.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28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Common Stock Warrants</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60" w:right="3079" w:hanging="279"/>
        <w:spacing w:after="0" w:line="242" w:lineRule="auto"/>
        <w:tabs>
          <w:tab w:leader="none" w:pos="1240" w:val="left"/>
        </w:tabs>
        <w:rPr>
          <w:sz w:val="20"/>
          <w:szCs w:val="20"/>
          <w:color w:val="auto"/>
        </w:rPr>
      </w:pPr>
      <w:r>
        <w:rPr>
          <w:rFonts w:ascii="Courier New" w:cs="Courier New" w:eastAsia="Courier New" w:hAnsi="Courier New"/>
          <w:sz w:val="15"/>
          <w:szCs w:val="15"/>
          <w:color w:val="auto"/>
        </w:rPr>
        <w:t>In</w:t>
        <w:tab/>
        <w:t>June 1997, the Company received $500,000 from the issuance of convertible notes with detachable warrants to purchase 300,000 shares of common stock at $0.375 per share. Accordingly, the proceeds were allocated to the note and warrants based on their relative fair values. The fair value of the warrants was estimated using the Black-Scholes valuation model using the following assumptions: estimated volatility of 0.70, risk-free interest rate of 6.5%, no dividend yield and an expected life of the warrants of three years. Based on the resulting fair value of the warrants and their fair value relative to that of the note, $18,768 of the proceeds was recorded for the warrants as additional paid-in capital in the accompanying consolidated balance sheets.</w:t>
      </w:r>
    </w:p>
    <w:p>
      <w:pPr>
        <w:spacing w:after="0" w:line="181" w:lineRule="exact"/>
        <w:rPr>
          <w:sz w:val="20"/>
          <w:szCs w:val="20"/>
          <w:color w:val="auto"/>
        </w:rPr>
      </w:pPr>
    </w:p>
    <w:p>
      <w:pPr>
        <w:ind w:left="1260" w:right="3079" w:hanging="267"/>
        <w:spacing w:after="0" w:line="261" w:lineRule="auto"/>
        <w:rPr>
          <w:sz w:val="20"/>
          <w:szCs w:val="20"/>
          <w:color w:val="auto"/>
        </w:rPr>
      </w:pPr>
      <w:r>
        <w:rPr>
          <w:rFonts w:ascii="Courier New" w:cs="Courier New" w:eastAsia="Courier New" w:hAnsi="Courier New"/>
          <w:sz w:val="14"/>
          <w:szCs w:val="14"/>
          <w:color w:val="auto"/>
        </w:rPr>
        <w:t>The balance of the proceeds of $481,232 was recorded as the initial carrying value of the note. The resulting discount on the note was being amortized using the effective interest method through December 31, 1998. However, in June 1998 the note and accrued interest converted into 1,042,794 shares of Series A preferred stock. Concurrently, the unamortized discount on the note of $8,769 was expensed. Total amortization expense was $4,277 in 1997 and $14,491 in 1998 which is included in interest expense in the accompanying consolidated statements of operations. The note bore interest at a stated rate of 15% and the effective interest rate was 18.19%.</w:t>
      </w:r>
    </w:p>
    <w:p>
      <w:pPr>
        <w:spacing w:after="0" w:line="167" w:lineRule="exact"/>
        <w:rPr>
          <w:sz w:val="20"/>
          <w:szCs w:val="20"/>
          <w:color w:val="auto"/>
        </w:rPr>
      </w:pPr>
    </w:p>
    <w:p>
      <w:pPr>
        <w:ind w:left="1260" w:right="3159" w:hanging="267"/>
        <w:spacing w:after="0" w:line="242" w:lineRule="auto"/>
        <w:rPr>
          <w:sz w:val="20"/>
          <w:szCs w:val="20"/>
          <w:color w:val="auto"/>
        </w:rPr>
      </w:pPr>
      <w:r>
        <w:rPr>
          <w:rFonts w:ascii="Courier New" w:cs="Courier New" w:eastAsia="Courier New" w:hAnsi="Courier New"/>
          <w:sz w:val="15"/>
          <w:szCs w:val="15"/>
          <w:color w:val="auto"/>
        </w:rPr>
        <w:t>The common stock warrants are exercisable at any time through the earlier of July 24, 2002, or consummation of an initial public offering. As of December 31, 1999, the warrants had not been exercised.</w:t>
      </w:r>
    </w:p>
    <w:p>
      <w:pPr>
        <w:spacing w:after="0" w:line="17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Preferred Stock</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60" w:right="3079" w:hanging="267"/>
        <w:spacing w:after="0" w:line="241" w:lineRule="auto"/>
        <w:rPr>
          <w:sz w:val="20"/>
          <w:szCs w:val="20"/>
          <w:color w:val="auto"/>
        </w:rPr>
      </w:pPr>
      <w:r>
        <w:rPr>
          <w:rFonts w:ascii="Courier New" w:cs="Courier New" w:eastAsia="Courier New" w:hAnsi="Courier New"/>
          <w:sz w:val="15"/>
          <w:szCs w:val="15"/>
          <w:color w:val="auto"/>
        </w:rPr>
        <w:t>The holders of Series A, Series B and Series B-1 convertible preferred stock have certain rights, privileges and preferences which include the following:</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Dividends</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0" w:right="3079" w:hanging="267"/>
        <w:spacing w:after="0" w:line="242" w:lineRule="auto"/>
        <w:rPr>
          <w:sz w:val="20"/>
          <w:szCs w:val="20"/>
          <w:color w:val="auto"/>
        </w:rPr>
      </w:pPr>
      <w:r>
        <w:rPr>
          <w:rFonts w:ascii="Courier New" w:cs="Courier New" w:eastAsia="Courier New" w:hAnsi="Courier New"/>
          <w:sz w:val="15"/>
          <w:szCs w:val="15"/>
          <w:color w:val="auto"/>
        </w:rPr>
        <w:t>The holders are entitled to receive dividends before any dividend is declared or paid on shares of common stock. Such dividends are payable only when declared by the Board of Directors and are noncumulative. After payment of the preferential dividends, no dividends are paid to common stockholders unless an equivalent dividend is made on the preferred stock.</w:t>
      </w:r>
    </w:p>
    <w:p>
      <w:pPr>
        <w:spacing w:after="0" w:line="175"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Conversion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0" w:right="3079" w:hanging="267"/>
        <w:spacing w:after="0" w:line="262" w:lineRule="auto"/>
        <w:rPr>
          <w:sz w:val="20"/>
          <w:szCs w:val="20"/>
          <w:color w:val="auto"/>
        </w:rPr>
      </w:pPr>
      <w:r>
        <w:rPr>
          <w:rFonts w:ascii="Courier New" w:cs="Courier New" w:eastAsia="Courier New" w:hAnsi="Courier New"/>
          <w:sz w:val="14"/>
          <w:szCs w:val="14"/>
          <w:color w:val="auto"/>
        </w:rPr>
        <w:t>At the holder's option, each share of preferred stock is convertible into shares of common stock. Each series of preferred stock is automatically converted into common stock upon a public offering of common stock of a certain size and a specified percentage vote of holders of that series. The preferred stock has antidilution protection for issuances below the specified conversion prices, as defined, which is initially equal to $0.5174 per share for the Series A preferred stock and $1.52 for the Series B preferred stock.</w:t>
      </w:r>
    </w:p>
    <w:p>
      <w:pPr>
        <w:spacing w:after="0" w:line="16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9959"/>
          </w:cols>
          <w:pgMar w:left="500" w:top="289" w:right="1440" w:bottom="1440" w:gutter="0" w:footer="0" w:header="0"/>
        </w:sectPr>
      </w:pPr>
    </w:p>
    <w:bookmarkStart w:id="16" w:name="page17"/>
    <w:bookmarkEnd w:id="16"/>
    <w:p>
      <w:pPr>
        <w:ind w:left="268"/>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Voting Rights</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788" w:right="3079" w:hanging="267"/>
        <w:spacing w:after="0" w:line="263" w:lineRule="auto"/>
        <w:rPr>
          <w:sz w:val="20"/>
          <w:szCs w:val="20"/>
          <w:color w:val="auto"/>
        </w:rPr>
      </w:pPr>
      <w:r>
        <w:rPr>
          <w:rFonts w:ascii="Courier New" w:cs="Courier New" w:eastAsia="Courier New" w:hAnsi="Courier New"/>
          <w:sz w:val="14"/>
          <w:szCs w:val="14"/>
          <w:color w:val="auto"/>
        </w:rPr>
        <w:t>Except with respect to the election of the directors, the holders of preferred stock (voting on an as-converted basis) vote with the holders of common stock. Certain actions require separate approvals by the holders of each series of preferred stock, each voting separately as a class.</w:t>
      </w:r>
    </w:p>
    <w:p>
      <w:pPr>
        <w:spacing w:after="0" w:line="161"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Redemption Rights</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788" w:right="3159" w:hanging="267"/>
        <w:spacing w:after="0" w:line="242" w:lineRule="auto"/>
        <w:rPr>
          <w:sz w:val="20"/>
          <w:szCs w:val="20"/>
          <w:color w:val="auto"/>
        </w:rPr>
      </w:pPr>
      <w:r>
        <w:rPr>
          <w:rFonts w:ascii="Courier New" w:cs="Courier New" w:eastAsia="Courier New" w:hAnsi="Courier New"/>
          <w:sz w:val="15"/>
          <w:szCs w:val="15"/>
          <w:color w:val="auto"/>
        </w:rPr>
        <w:t>The holders of at least 75% of the outstanding shares of the Series A convertible preferred stock and the holders of 75% of the outstanding Series B convertible preferred stock may each require the Company to repurchase such shares of that series at any time after June 15, 2003. The redemption prices for the Series A preferred stock and Series B preferred stock are equal to $0.5174 and $1.52 per share, respectively.</w:t>
      </w:r>
    </w:p>
    <w:p>
      <w:pPr>
        <w:spacing w:after="0" w:line="176"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Liquidation Preference</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788" w:right="3079" w:hanging="267"/>
        <w:spacing w:after="0" w:line="242" w:lineRule="auto"/>
        <w:rPr>
          <w:sz w:val="20"/>
          <w:szCs w:val="20"/>
          <w:color w:val="auto"/>
        </w:rPr>
      </w:pPr>
      <w:r>
        <w:rPr>
          <w:rFonts w:ascii="Courier New" w:cs="Courier New" w:eastAsia="Courier New" w:hAnsi="Courier New"/>
          <w:sz w:val="15"/>
          <w:szCs w:val="15"/>
          <w:color w:val="auto"/>
        </w:rPr>
        <w:t>In the event of any liquidation, dissolution or winding up of the Company, either voluntarily or involuntarily, the holder of each share of Series A convertible preferred stock and each share of Series B convertible preferred stock are entitled to receive, prior to and in preference to any distributions to the holders of common stock, an amount equal to $0.5174 and $1.52 per share, respectively. The liquidation preference of a particular series will not be applicable if the Series A preferred stock will receive more than $2.33 per share and the Series B preferred stock will receive more than $3.04 per share.</w:t>
      </w:r>
    </w:p>
    <w:p>
      <w:pPr>
        <w:spacing w:after="0" w:line="178"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Registration Rights</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788" w:right="3519" w:hanging="267"/>
        <w:spacing w:after="0" w:line="274" w:lineRule="auto"/>
        <w:rPr>
          <w:sz w:val="20"/>
          <w:szCs w:val="20"/>
          <w:color w:val="auto"/>
        </w:rPr>
      </w:pPr>
      <w:r>
        <w:rPr>
          <w:rFonts w:ascii="Courier New" w:cs="Courier New" w:eastAsia="Courier New" w:hAnsi="Courier New"/>
          <w:sz w:val="14"/>
          <w:szCs w:val="14"/>
          <w:color w:val="auto"/>
        </w:rPr>
        <w:t>The holders of Series A and Series B convertible preferred stock have demand "piggyback" registration rights.</w:t>
      </w:r>
    </w:p>
    <w:p>
      <w:pPr>
        <w:spacing w:after="0" w:line="152" w:lineRule="exact"/>
        <w:rPr>
          <w:sz w:val="20"/>
          <w:szCs w:val="20"/>
          <w:color w:val="auto"/>
        </w:rPr>
      </w:pPr>
    </w:p>
    <w:p>
      <w:pPr>
        <w:ind w:left="628" w:hanging="628"/>
        <w:spacing w:after="0"/>
        <w:tabs>
          <w:tab w:leader="none" w:pos="62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1997 Stock Option Plan</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528" w:right="3079" w:hanging="279"/>
        <w:spacing w:after="0" w:line="242" w:lineRule="auto"/>
        <w:tabs>
          <w:tab w:leader="none" w:pos="1508" w:val="left"/>
        </w:tabs>
        <w:rPr>
          <w:sz w:val="20"/>
          <w:szCs w:val="20"/>
          <w:color w:val="auto"/>
        </w:rPr>
      </w:pPr>
      <w:r>
        <w:rPr>
          <w:rFonts w:ascii="Courier New" w:cs="Courier New" w:eastAsia="Courier New" w:hAnsi="Courier New"/>
          <w:sz w:val="15"/>
          <w:szCs w:val="15"/>
          <w:color w:val="auto"/>
        </w:rPr>
        <w:t>In</w:t>
        <w:tab/>
        <w:t>April 1997, the Company established a stock option plan (the "1997 Plan") to increase its ability to attract and retain key employees, consultants and directors. Options granted are nonqualified stock options, which may be granted at less than the fair market value of the common stock on the date of grant. All options are granted at the discretion of the Board of Directors. The maximum number of shares that may be granted under the 1997 Plan is 3,200,000, except that upon establishment of the 1998 Stock Option Plan (see below), the remaining 525,000 ungranted options under the 1997 Plan can no longer be granted. Options granted generally become exercisable over a period of two years from the date of grant except that 450,000 options granted vested immediately. Outstanding options expire ten years after the date of grant.</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7"/>
          </w:cols>
          <w:pgMar w:left="232" w:top="28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left="1260" w:right="3079" w:hanging="279"/>
        <w:spacing w:after="0" w:line="242" w:lineRule="auto"/>
        <w:tabs>
          <w:tab w:leader="none" w:pos="1240" w:val="left"/>
        </w:tabs>
        <w:rPr>
          <w:sz w:val="20"/>
          <w:szCs w:val="20"/>
          <w:color w:val="auto"/>
        </w:rPr>
      </w:pPr>
      <w:r>
        <w:rPr>
          <w:rFonts w:ascii="Courier New" w:cs="Courier New" w:eastAsia="Courier New" w:hAnsi="Courier New"/>
          <w:sz w:val="15"/>
          <w:szCs w:val="15"/>
          <w:color w:val="auto"/>
        </w:rPr>
        <w:t>In</w:t>
        <w:tab/>
        <w:t>June 1998, the Company cancelled and re-granted 1,125,000 options for which the exercise price of the options being cancelled were significantly in excess of the estimated fair value of the underlying common stock. The replacement options were granted with an exercise price equal to the estimated fair value of the underlying common stock.</w:t>
      </w:r>
    </w:p>
    <w:p>
      <w:pPr>
        <w:spacing w:after="0" w:line="176" w:lineRule="exact"/>
        <w:rPr>
          <w:sz w:val="20"/>
          <w:szCs w:val="20"/>
          <w:color w:val="auto"/>
        </w:rPr>
      </w:pPr>
    </w:p>
    <w:p>
      <w:pPr>
        <w:ind w:left="1260" w:right="3079" w:hanging="279"/>
        <w:spacing w:after="0" w:line="242" w:lineRule="auto"/>
        <w:tabs>
          <w:tab w:leader="none" w:pos="1240" w:val="left"/>
        </w:tabs>
        <w:rPr>
          <w:sz w:val="20"/>
          <w:szCs w:val="20"/>
          <w:color w:val="auto"/>
        </w:rPr>
      </w:pPr>
      <w:r>
        <w:rPr>
          <w:rFonts w:ascii="Courier New" w:cs="Courier New" w:eastAsia="Courier New" w:hAnsi="Courier New"/>
          <w:sz w:val="15"/>
          <w:szCs w:val="15"/>
          <w:color w:val="auto"/>
        </w:rPr>
        <w:t>In</w:t>
        <w:tab/>
        <w:t>June 1998, the Company also extended the vesting period for 1,100,000 options that were fully vested with an exercise price of $0.001 per share. Under the new vesting schedule, one-third of the options vested immediately, one-third vested on September 30, 1998, and one-third will vest on June 30, 2000. The Company accounted for this event as a cancellation and re-grant of these options. The Company recorded deferred compensation expense totaling $64,900 for the difference between the exercise price and the estimated fair value of the underlying common stock which is being amortized over the revised vesting period. As a result, the Company recorded compensation expense of approximately $48,898 in 1998 and $10,669 in 1999 related to these options.</w:t>
      </w:r>
    </w:p>
    <w:p>
      <w:pPr>
        <w:spacing w:after="0" w:line="179"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1998 Stock Option Plan</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260" w:right="3079" w:hanging="279"/>
        <w:spacing w:after="0" w:line="242" w:lineRule="auto"/>
        <w:tabs>
          <w:tab w:leader="none" w:pos="1240" w:val="left"/>
        </w:tabs>
        <w:rPr>
          <w:sz w:val="20"/>
          <w:szCs w:val="20"/>
          <w:color w:val="auto"/>
        </w:rPr>
      </w:pPr>
      <w:r>
        <w:rPr>
          <w:rFonts w:ascii="Courier New" w:cs="Courier New" w:eastAsia="Courier New" w:hAnsi="Courier New"/>
          <w:sz w:val="15"/>
          <w:szCs w:val="15"/>
          <w:color w:val="auto"/>
        </w:rPr>
        <w:t>In</w:t>
        <w:tab/>
        <w:t>June 1998, the Company established a stock option plan (the "1998 Plan") to increase its ability to attract and retain key employees, consultants and directors. Options granted may be either incentive stock options, which are granted at not less than the fair market value of the common stock on the date of grant (as determined under the plan), or nonqualified stock options, which may be granted at less than the fair market value of the common stock on the date of grant. All options are granted at the discretion of the Board of Directors. The maximum number of shares that may be granted under the 1998 Plan is 6,000,000. Options granted generally become exercisable over a period of five years from the date of grant except that 200,000 options granted vest over two years and 650,000 options granted vest over four years. Outstanding options expire ten years after the date of grant.</w:t>
      </w:r>
    </w:p>
    <w:p>
      <w:pPr>
        <w:spacing w:after="0" w:line="18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9959"/>
          </w:cols>
          <w:pgMar w:left="50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Other information concerning all stock options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Price</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Average</w:t>
            </w:r>
          </w:p>
        </w:tc>
        <w:tc>
          <w:tcPr>
            <w:tcW w:w="1000" w:type="dxa"/>
            <w:vAlign w:val="bottom"/>
          </w:tcPr>
          <w:p>
            <w:pPr>
              <w:spacing w:after="0"/>
              <w:rPr>
                <w:sz w:val="14"/>
                <w:szCs w:val="14"/>
                <w:color w:val="auto"/>
              </w:rPr>
            </w:pP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 of</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per</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Exercise</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Expiration</w:t>
            </w: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Shares</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Price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516"/>
        </w:trPr>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Plan Inception - April</w:t>
            </w:r>
          </w:p>
        </w:tc>
        <w:tc>
          <w:tcPr>
            <w:tcW w:w="11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granted</w:t>
            </w:r>
          </w:p>
        </w:tc>
        <w:tc>
          <w:tcPr>
            <w:tcW w:w="116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2,450,000</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$0.001-0.06</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$ 0.02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2007-2008</w:t>
            </w:r>
          </w:p>
        </w:tc>
      </w:tr>
      <w:tr>
        <w:trPr>
          <w:trHeight w:val="172"/>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exercised</w:t>
            </w: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cancelled</w:t>
            </w: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 December 31, 1997</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2,450,000</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$0.001-0.06</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$ 0.02</w:t>
            </w:r>
          </w:p>
        </w:tc>
        <w:tc>
          <w:tcPr>
            <w:tcW w:w="1000" w:type="dxa"/>
            <w:vAlign w:val="bottom"/>
          </w:tcPr>
          <w:p>
            <w:pPr>
              <w:spacing w:after="0"/>
              <w:rPr>
                <w:sz w:val="14"/>
                <w:szCs w:val="14"/>
                <w:color w:val="auto"/>
              </w:rPr>
            </w:pPr>
          </w:p>
        </w:tc>
      </w:tr>
      <w:tr>
        <w:trPr>
          <w:trHeight w:val="344"/>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granted</w:t>
            </w:r>
          </w:p>
        </w:tc>
        <w:tc>
          <w:tcPr>
            <w:tcW w:w="116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4,787,000</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$0.001-0.06</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$ 0.04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2007-2008</w:t>
            </w:r>
          </w:p>
        </w:tc>
      </w:tr>
      <w:tr>
        <w:trPr>
          <w:trHeight w:val="172"/>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exercised</w:t>
            </w: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cancelled</w:t>
            </w:r>
          </w:p>
        </w:tc>
        <w:tc>
          <w:tcPr>
            <w:tcW w:w="116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(2,265,000)</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$0.001-0.06</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$ 0.16</w:t>
            </w:r>
          </w:p>
        </w:tc>
        <w:tc>
          <w:tcPr>
            <w:tcW w:w="1000" w:type="dxa"/>
            <w:vAlign w:val="bottom"/>
          </w:tcPr>
          <w:p>
            <w:pPr>
              <w:spacing w:after="0"/>
              <w:rPr>
                <w:sz w:val="14"/>
                <w:szCs w:val="14"/>
                <w:color w:val="auto"/>
              </w:rPr>
            </w:pP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 December 31, 1998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4,972,000</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$0.001-0.06</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$ 0.04</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2007-2008</w:t>
            </w:r>
          </w:p>
        </w:tc>
      </w:tr>
      <w:tr>
        <w:trPr>
          <w:trHeight w:val="344"/>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granted</w:t>
            </w:r>
          </w:p>
        </w:tc>
        <w:tc>
          <w:tcPr>
            <w:tcW w:w="116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1,906,500</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$0.06-0.56</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$ 0.24</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2009</w:t>
            </w:r>
          </w:p>
        </w:tc>
      </w:tr>
      <w:tr>
        <w:trPr>
          <w:trHeight w:val="172"/>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exercised</w:t>
            </w:r>
          </w:p>
        </w:tc>
        <w:tc>
          <w:tcPr>
            <w:tcW w:w="116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(1,186,834)</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$0.06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$ 0.014</w:t>
            </w:r>
          </w:p>
        </w:tc>
        <w:tc>
          <w:tcPr>
            <w:tcW w:w="1000" w:type="dxa"/>
            <w:vAlign w:val="bottom"/>
          </w:tcPr>
          <w:p>
            <w:pPr>
              <w:spacing w:after="0"/>
              <w:rPr>
                <w:sz w:val="14"/>
                <w:szCs w:val="14"/>
                <w:color w:val="auto"/>
              </w:rPr>
            </w:pPr>
          </w:p>
        </w:tc>
      </w:tr>
      <w:tr>
        <w:trPr>
          <w:trHeight w:val="172"/>
        </w:trPr>
        <w:tc>
          <w:tcPr>
            <w:tcW w:w="2000" w:type="dxa"/>
            <w:vAlign w:val="bottom"/>
          </w:tcPr>
          <w:p>
            <w:pPr>
              <w:ind w:left="440"/>
              <w:spacing w:after="0"/>
              <w:rPr>
                <w:sz w:val="20"/>
                <w:szCs w:val="20"/>
                <w:color w:val="auto"/>
              </w:rPr>
            </w:pPr>
            <w:r>
              <w:rPr>
                <w:rFonts w:ascii="Courier New" w:cs="Courier New" w:eastAsia="Courier New" w:hAnsi="Courier New"/>
                <w:sz w:val="15"/>
                <w:szCs w:val="15"/>
                <w:color w:val="auto"/>
              </w:rPr>
              <w:t>Options cancelled</w:t>
            </w:r>
          </w:p>
        </w:tc>
        <w:tc>
          <w:tcPr>
            <w:tcW w:w="116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(578,500)</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$0.001-0.32</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$ 0.05</w:t>
            </w:r>
          </w:p>
        </w:tc>
        <w:tc>
          <w:tcPr>
            <w:tcW w:w="1000" w:type="dxa"/>
            <w:vAlign w:val="bottom"/>
          </w:tcPr>
          <w:p>
            <w:pPr>
              <w:spacing w:after="0"/>
              <w:rPr>
                <w:sz w:val="14"/>
                <w:szCs w:val="14"/>
                <w:color w:val="auto"/>
              </w:rPr>
            </w:pP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44"/>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Outstanding - December 31, 1999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5,113,166</w:t>
            </w:r>
          </w:p>
        </w:tc>
        <w:tc>
          <w:tcPr>
            <w:tcW w:w="1380" w:type="dxa"/>
            <w:vAlign w:val="bottom"/>
          </w:tcPr>
          <w:p>
            <w:pPr>
              <w:spacing w:after="0"/>
              <w:rPr>
                <w:sz w:val="24"/>
                <w:szCs w:val="2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$ 0.12</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2007-2009</w:t>
            </w: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44"/>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Exercisable - December 31, 1999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1,946,041</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88"/>
        </w:trPr>
        <w:tc>
          <w:tcPr>
            <w:tcW w:w="3160" w:type="dxa"/>
            <w:vAlign w:val="bottom"/>
            <w:gridSpan w:val="2"/>
          </w:tcPr>
          <w:p>
            <w:pPr>
              <w:ind w:left="980"/>
              <w:spacing w:after="0"/>
              <w:rPr>
                <w:sz w:val="20"/>
                <w:szCs w:val="20"/>
                <w:color w:val="auto"/>
              </w:rPr>
            </w:pPr>
            <w:r>
              <w:rPr>
                <w:rFonts w:ascii="Courier New" w:cs="Courier New" w:eastAsia="Courier New" w:hAnsi="Courier New"/>
                <w:sz w:val="15"/>
                <w:szCs w:val="15"/>
                <w:color w:val="auto"/>
                <w:w w:val="99"/>
              </w:rPr>
              <w:t>Stock-Based Compensation</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3160" w:type="dxa"/>
            <w:vAlign w:val="bottom"/>
            <w:gridSpan w:val="2"/>
          </w:tcPr>
          <w:p>
            <w:pPr>
              <w:ind w:left="980"/>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44"/>
        </w:trPr>
        <w:tc>
          <w:tcPr>
            <w:tcW w:w="6780" w:type="dxa"/>
            <w:vAlign w:val="bottom"/>
            <w:gridSpan w:val="5"/>
          </w:tcPr>
          <w:p>
            <w:pPr>
              <w:jc w:val="right"/>
              <w:ind w:right="185"/>
              <w:spacing w:after="0"/>
              <w:rPr>
                <w:sz w:val="20"/>
                <w:szCs w:val="20"/>
                <w:color w:val="auto"/>
              </w:rPr>
            </w:pPr>
            <w:r>
              <w:rPr>
                <w:rFonts w:ascii="Courier New" w:cs="Courier New" w:eastAsia="Courier New" w:hAnsi="Courier New"/>
                <w:sz w:val="15"/>
                <w:szCs w:val="15"/>
                <w:color w:val="auto"/>
              </w:rPr>
              <w:t>Using the intrinsic value method under APB 25, compensation</w:t>
            </w:r>
          </w:p>
        </w:tc>
        <w:tc>
          <w:tcPr>
            <w:tcW w:w="1000" w:type="dxa"/>
            <w:vAlign w:val="bottom"/>
          </w:tcPr>
          <w:p>
            <w:pPr>
              <w:spacing w:after="0"/>
              <w:rPr>
                <w:sz w:val="24"/>
                <w:szCs w:val="24"/>
                <w:color w:val="auto"/>
              </w:rPr>
            </w:pPr>
          </w:p>
        </w:tc>
      </w:tr>
      <w:tr>
        <w:trPr>
          <w:trHeight w:val="172"/>
        </w:trPr>
        <w:tc>
          <w:tcPr>
            <w:tcW w:w="6780" w:type="dxa"/>
            <w:vAlign w:val="bottom"/>
            <w:gridSpan w:val="5"/>
          </w:tcPr>
          <w:p>
            <w:pPr>
              <w:ind w:left="1520"/>
              <w:spacing w:after="0"/>
              <w:rPr>
                <w:sz w:val="20"/>
                <w:szCs w:val="20"/>
                <w:color w:val="auto"/>
              </w:rPr>
            </w:pPr>
            <w:r>
              <w:rPr>
                <w:rFonts w:ascii="Courier New" w:cs="Courier New" w:eastAsia="Courier New" w:hAnsi="Courier New"/>
                <w:sz w:val="15"/>
                <w:szCs w:val="15"/>
                <w:color w:val="auto"/>
                <w:w w:val="98"/>
              </w:rPr>
              <w:t>related to stock options granted to employees with exercise</w:t>
            </w:r>
          </w:p>
        </w:tc>
        <w:tc>
          <w:tcPr>
            <w:tcW w:w="1000" w:type="dxa"/>
            <w:vAlign w:val="bottom"/>
          </w:tcPr>
          <w:p>
            <w:pPr>
              <w:spacing w:after="0"/>
              <w:rPr>
                <w:sz w:val="14"/>
                <w:szCs w:val="14"/>
                <w:color w:val="auto"/>
              </w:rPr>
            </w:pPr>
          </w:p>
        </w:tc>
      </w:tr>
    </w:tbl>
    <w:p>
      <w:pPr>
        <w:spacing w:after="0" w:line="4" w:lineRule="exact"/>
        <w:rPr>
          <w:sz w:val="20"/>
          <w:szCs w:val="20"/>
          <w:color w:val="auto"/>
        </w:rPr>
      </w:pPr>
    </w:p>
    <w:p>
      <w:pPr>
        <w:ind w:left="1520" w:right="3079"/>
        <w:spacing w:after="0" w:line="242" w:lineRule="auto"/>
        <w:rPr>
          <w:sz w:val="20"/>
          <w:szCs w:val="20"/>
          <w:color w:val="auto"/>
        </w:rPr>
      </w:pPr>
      <w:r>
        <w:rPr>
          <w:rFonts w:ascii="Courier New" w:cs="Courier New" w:eastAsia="Courier New" w:hAnsi="Courier New"/>
          <w:sz w:val="15"/>
          <w:szCs w:val="15"/>
          <w:color w:val="auto"/>
        </w:rPr>
        <w:t>prices at less than the deemed fair value for financial reporting purposes totaled $112,200, $64,900 and $344,612 in 1997, 1998 and 1999, respectively. Compensation expense recognized on these stock options totaled $112,200, $48,898 and $7,952 in 1997, 1998 and 1999, respectively, and is included in selling, general and administrative expenses in the accompanying consolidated statements of operations. The unamortized balance of compensation related to these stock options totaling $16,002 and $341,993 at December 31, 1998 and 1999, respectively, is included as a separate component of stockholders' equity in the accompanying consolidated balance sheets.</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8" w:lineRule="exact"/>
        <w:rPr>
          <w:sz w:val="20"/>
          <w:szCs w:val="20"/>
          <w:color w:val="auto"/>
        </w:rPr>
      </w:pPr>
    </w:p>
    <w:p>
      <w:pPr>
        <w:ind w:left="1260" w:right="3079" w:hanging="267"/>
        <w:spacing w:after="0" w:line="260" w:lineRule="auto"/>
        <w:rPr>
          <w:sz w:val="20"/>
          <w:szCs w:val="20"/>
          <w:color w:val="auto"/>
        </w:rPr>
      </w:pPr>
      <w:r>
        <w:rPr>
          <w:rFonts w:ascii="Courier New" w:cs="Courier New" w:eastAsia="Courier New" w:hAnsi="Courier New"/>
          <w:sz w:val="14"/>
          <w:szCs w:val="14"/>
          <w:color w:val="auto"/>
        </w:rPr>
        <w:t>The Company accounts for stock options granted to non-employees under SFAS No. 123 and Emerging Issues Task Force ("EITF") No. 96-18. In January 1999, the Company granted 50,000 options to an outside consultant in exchange for services to be rendered over a five-year period. The options are exercisable at $0.06 per share and vest 20% on March 31, 1999, 20% on April 26, 2000 and 5% each quarter thereafter. The Company initially measured the estimated fair value of these options at the grant date using the Black-Scholes valuation model with the following assumptions--risk-free interest rate of 5.25%, estimated volatility of 0.89, no dividend yield and an expected life of five years. Under SFAS No. 123 and EITF 96-18, the Company accounts for these options as a variable award and re-measures the estimated fair value of these stock options at each balance sheet date. Accordingly, compensation expense is adjusted at each balance sheet date for any change in the estimated fair value of the stock options. At December 31, 1999, compensation related to this stock option grant totaled $357,675. Compensation expense recognized on these stock options totaled $65,574 in 1999 and is included in selling, general and administrative expenses in the accompanying consolidated statements of operations. The unamortized balance of compensation related to these stock options totaling $292,101 at December 31, 1999, is included as a separate component of stockholders' equity in the accompanying consolidated balance sheets. The estimated fair value of these options at the date of grant was $0.04 per share.</w:t>
      </w:r>
    </w:p>
    <w:p>
      <w:pPr>
        <w:spacing w:after="0" w:line="349" w:lineRule="exact"/>
        <w:rPr>
          <w:sz w:val="20"/>
          <w:szCs w:val="20"/>
          <w:color w:val="auto"/>
        </w:rPr>
      </w:pPr>
    </w:p>
    <w:p>
      <w:pPr>
        <w:ind w:left="1260" w:right="3079" w:hanging="279"/>
        <w:spacing w:after="0" w:line="242" w:lineRule="auto"/>
        <w:tabs>
          <w:tab w:leader="none" w:pos="1240" w:val="left"/>
        </w:tabs>
        <w:rPr>
          <w:sz w:val="20"/>
          <w:szCs w:val="20"/>
          <w:color w:val="auto"/>
        </w:rPr>
      </w:pPr>
      <w:r>
        <w:rPr>
          <w:rFonts w:ascii="Courier New" w:cs="Courier New" w:eastAsia="Courier New" w:hAnsi="Courier New"/>
          <w:sz w:val="15"/>
          <w:szCs w:val="15"/>
          <w:color w:val="auto"/>
        </w:rPr>
        <w:t>In</w:t>
        <w:tab/>
        <w:t>June 1997, the Company granted an aggregate of 150,000 stock options to two outside consultants in exchange for past services rendered and for services to be rendered through September 1997. The options are exercisable at $0.001 per share and vested immediately upon issuance. The Company initially measured the estimated fair value of these options at the grant date using the Black-Scholes valuation model with the following assumptions--risk-free interest rate of 6.52%, estimated volatility of 0.70, no dividend yield and an expected life of three years. Under SFAS No. 123 and EITF 96-18, the Company accounted for these options as a variable award and re-measured the estimated fair value of these stock options upon completion of the services in September 1997. Compensation expense recognized on these stock options totaled $56,100 in 1997 and is included in selling, general and administrative expenses in the accompanying consolidated statements of operations. The estimated fair value of these options at the date of grant was $0.374 per share.</w:t>
      </w:r>
    </w:p>
    <w:p>
      <w:pPr>
        <w:spacing w:after="0" w:line="184" w:lineRule="exact"/>
        <w:rPr>
          <w:sz w:val="20"/>
          <w:szCs w:val="20"/>
          <w:color w:val="auto"/>
        </w:rPr>
      </w:pPr>
    </w:p>
    <w:p>
      <w:pPr>
        <w:ind w:left="1260" w:right="3259" w:hanging="267"/>
        <w:spacing w:after="0" w:line="242" w:lineRule="auto"/>
        <w:rPr>
          <w:sz w:val="20"/>
          <w:szCs w:val="20"/>
          <w:color w:val="auto"/>
        </w:rPr>
      </w:pPr>
      <w:r>
        <w:rPr>
          <w:rFonts w:ascii="Courier New" w:cs="Courier New" w:eastAsia="Courier New" w:hAnsi="Courier New"/>
          <w:sz w:val="15"/>
          <w:szCs w:val="15"/>
          <w:color w:val="auto"/>
        </w:rPr>
        <w:t>Had compensation expense for all stock option grants been determined based on the fair value at the date of grant consistent with SFAS 123, the reported net loss would have increased by $122, $7,378 and $35,454 in 1997, 1998 and 1999, respectively. The reported net loss per share would not have changed in 1998 but would have increased to $(1.44) in 1999. This pro forma compensation expense may not be representative of that to be expected in future years.</w:t>
      </w:r>
    </w:p>
    <w:p>
      <w:pPr>
        <w:spacing w:after="0" w:line="177" w:lineRule="exact"/>
        <w:rPr>
          <w:sz w:val="20"/>
          <w:szCs w:val="20"/>
          <w:color w:val="auto"/>
        </w:rPr>
      </w:pPr>
    </w:p>
    <w:p>
      <w:pPr>
        <w:ind w:left="1260" w:right="3079" w:hanging="267"/>
        <w:spacing w:after="0" w:line="242" w:lineRule="auto"/>
        <w:rPr>
          <w:sz w:val="20"/>
          <w:szCs w:val="20"/>
          <w:color w:val="auto"/>
        </w:rPr>
      </w:pPr>
      <w:r>
        <w:rPr>
          <w:rFonts w:ascii="Courier New" w:cs="Courier New" w:eastAsia="Courier New" w:hAnsi="Courier New"/>
          <w:sz w:val="15"/>
          <w:szCs w:val="15"/>
          <w:color w:val="auto"/>
        </w:rPr>
        <w:t>The pro forma fair value of options was estimated at the date of grant using the minimum value option valuation method under SFAS 123 with the following assumptions: Weighted average risk-free interest rate of 5.12%; dividend yield of 0%; and expected life of options of five years. Option valuation models require the input of highly subjective assumptions. Because changes in subjective input assumptions can materially affect the fair value estimate, in management's opinion, the existing model does not necessarily provide a reliable single measure of the fair value of the Company's stock options.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9959"/>
          </w:cols>
          <w:pgMar w:left="500" w:top="289"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BLUEGILL TECHNOLOGIES, INC.</w:t>
      </w:r>
    </w:p>
    <w:p>
      <w:pPr>
        <w:spacing w:after="0" w:line="346"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46" w:lineRule="exact"/>
        <w:rPr>
          <w:sz w:val="20"/>
          <w:szCs w:val="20"/>
          <w:color w:val="auto"/>
        </w:rPr>
      </w:pPr>
    </w:p>
    <w:p>
      <w:pPr>
        <w:ind w:left="628" w:hanging="628"/>
        <w:spacing w:after="0"/>
        <w:tabs>
          <w:tab w:leader="none" w:pos="62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6" w:lineRule="exact"/>
        <w:rPr>
          <w:sz w:val="20"/>
          <w:szCs w:val="20"/>
          <w:color w:val="auto"/>
        </w:rPr>
      </w:pPr>
    </w:p>
    <w:p>
      <w:pPr>
        <w:ind w:left="1248" w:right="3079" w:hanging="267"/>
        <w:spacing w:after="0" w:line="242" w:lineRule="auto"/>
        <w:rPr>
          <w:sz w:val="20"/>
          <w:szCs w:val="20"/>
          <w:color w:val="auto"/>
        </w:rPr>
      </w:pPr>
      <w:r>
        <w:rPr>
          <w:rFonts w:ascii="Courier New" w:cs="Courier New" w:eastAsia="Courier New" w:hAnsi="Courier New"/>
          <w:sz w:val="15"/>
          <w:szCs w:val="15"/>
          <w:color w:val="auto"/>
        </w:rPr>
        <w:t>The holder of the note payable, who subsequently became a stockholder of the Company in 1998, provided consulting services to the Company in 1998. Payments for these consulting services totaled approximately $35,000 in 1998.</w:t>
      </w:r>
    </w:p>
    <w:p>
      <w:pPr>
        <w:spacing w:after="0" w:line="173" w:lineRule="exact"/>
        <w:rPr>
          <w:sz w:val="20"/>
          <w:szCs w:val="20"/>
          <w:color w:val="auto"/>
        </w:rPr>
      </w:pPr>
    </w:p>
    <w:p>
      <w:pPr>
        <w:ind w:left="628" w:hanging="628"/>
        <w:spacing w:after="0"/>
        <w:tabs>
          <w:tab w:leader="none" w:pos="6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6" w:lineRule="exact"/>
        <w:rPr>
          <w:sz w:val="20"/>
          <w:szCs w:val="20"/>
          <w:color w:val="auto"/>
        </w:rPr>
      </w:pPr>
    </w:p>
    <w:p>
      <w:pPr>
        <w:ind w:left="1248" w:right="3079" w:hanging="267"/>
        <w:spacing w:after="0" w:line="242" w:lineRule="auto"/>
        <w:rPr>
          <w:sz w:val="20"/>
          <w:szCs w:val="20"/>
          <w:color w:val="auto"/>
        </w:rPr>
      </w:pPr>
      <w:r>
        <w:rPr>
          <w:rFonts w:ascii="Courier New" w:cs="Courier New" w:eastAsia="Courier New" w:hAnsi="Courier New"/>
          <w:sz w:val="15"/>
          <w:szCs w:val="15"/>
          <w:color w:val="auto"/>
        </w:rPr>
        <w:t>The Company leases its office space under operating lease agreements, which expire at various dates through July 2001. Total rent expense was approximately $12,000, $33,000 and $423,000 in 1997, 1998 and 1999, respectively. Minimum future rental payments under noncancellable operating lease agreements as of December 31, 1999, are as follows:</w:t>
      </w:r>
    </w:p>
    <w:p>
      <w:pPr>
        <w:spacing w:after="0" w:line="174" w:lineRule="exact"/>
        <w:rPr>
          <w:sz w:val="20"/>
          <w:szCs w:val="20"/>
          <w:color w:val="auto"/>
        </w:rPr>
      </w:pPr>
    </w:p>
    <w:tbl>
      <w:tblPr>
        <w:tblLayout w:type="fixed"/>
        <w:tblInd w:w="2688" w:type="dxa"/>
        <w:tblCellMar>
          <w:top w:w="0" w:type="dxa"/>
          <w:left w:w="0" w:type="dxa"/>
          <w:bottom w:w="0" w:type="dxa"/>
          <w:right w:w="0" w:type="dxa"/>
        </w:tblCellMar>
      </w:tblPr>
      <w:tr>
        <w:trPr>
          <w:trHeight w:val="170"/>
        </w:trPr>
        <w:tc>
          <w:tcPr>
            <w:tcW w:w="18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436,786</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442,198</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430,466</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431,664</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107,916</w:t>
            </w:r>
          </w:p>
        </w:tc>
      </w:tr>
      <w:tr>
        <w:trPr>
          <w:trHeight w:val="172"/>
        </w:trPr>
        <w:tc>
          <w:tcPr>
            <w:tcW w:w="182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 w:lineRule="exact"/>
        <w:rPr>
          <w:sz w:val="20"/>
          <w:szCs w:val="20"/>
          <w:color w:val="auto"/>
        </w:rPr>
      </w:pPr>
    </w:p>
    <w:p>
      <w:pPr>
        <w:ind w:left="5448"/>
        <w:spacing w:after="0"/>
        <w:rPr>
          <w:sz w:val="20"/>
          <w:szCs w:val="20"/>
          <w:color w:val="auto"/>
        </w:rPr>
      </w:pPr>
      <w:r>
        <w:rPr>
          <w:rFonts w:ascii="Courier New" w:cs="Courier New" w:eastAsia="Courier New" w:hAnsi="Courier New"/>
          <w:sz w:val="15"/>
          <w:szCs w:val="15"/>
          <w:color w:val="auto"/>
        </w:rPr>
        <w:t>$ 1,849,030</w:t>
      </w:r>
    </w:p>
    <w:p>
      <w:pPr>
        <w:spacing w:after="0" w:line="2" w:lineRule="exact"/>
        <w:rPr>
          <w:sz w:val="20"/>
          <w:szCs w:val="20"/>
          <w:color w:val="auto"/>
        </w:rPr>
      </w:pPr>
    </w:p>
    <w:p>
      <w:pPr>
        <w:ind w:left="54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7"/>
          </w:cols>
          <w:pgMar w:left="232"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MSFDC,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Redmond, Washington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MSFDC, L.L.C. and subsidiaries, a development stage company (the Company), as of July 2, 1999, and July 3, 1998, and the related consolidated statements of operations, members' capital deficiency, and cash flows for the year ended July 2, 1999, and the periods from June 18, 1997 (inception) to July 3, 1998, and from June 18, 1997 (inception) to July 2,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as of July 2, 1999, and July 3, 1998, and the results of its operations and its cash flows for the year ended July 2, 1999, and for the periods from June 18, 1997 (inception) to July 3, 1998, and from June 18, 1997 (inception) to July 2, 1999, in conformity with generally accepted accounting principles.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 LLP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22, 1999 (February 15, 2000, as to Note 4)</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22</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MSFDC, L.L.C. AND SUBSIDIARIES</w:t>
      </w:r>
    </w:p>
    <w:p>
      <w:pPr>
        <w:spacing w:after="0" w:line="2" w:lineRule="exact"/>
        <w:rPr>
          <w:sz w:val="20"/>
          <w:szCs w:val="20"/>
          <w:color w:val="auto"/>
        </w:rPr>
      </w:pPr>
    </w:p>
    <w:p>
      <w:pPr>
        <w:ind w:left="188" w:hanging="188"/>
        <w:spacing w:after="0"/>
        <w:tabs>
          <w:tab w:leader="none" w:pos="18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December 31,</w:t>
            </w:r>
          </w:p>
        </w:tc>
        <w:tc>
          <w:tcPr>
            <w:tcW w:w="32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July 2,</w:t>
            </w:r>
          </w:p>
        </w:tc>
        <w:tc>
          <w:tcPr>
            <w:tcW w:w="3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July 3,</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(unaudited)</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16"/>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$ 19,837,565</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$ 51,113,749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Equipment</w:t>
            </w:r>
          </w:p>
        </w:tc>
        <w:tc>
          <w:tcPr>
            <w:tcW w:w="30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4,679,620</w:t>
            </w:r>
          </w:p>
        </w:tc>
        <w:tc>
          <w:tcPr>
            <w:tcW w:w="3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3,924,418</w:t>
            </w:r>
          </w:p>
        </w:tc>
        <w:tc>
          <w:tcPr>
            <w:tcW w:w="36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2,004,261</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Accumulated depreciation</w:t>
            </w:r>
          </w:p>
        </w:tc>
        <w:tc>
          <w:tcPr>
            <w:tcW w:w="30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(3,234,582)</w:t>
            </w:r>
          </w:p>
        </w:tc>
        <w:tc>
          <w:tcPr>
            <w:tcW w:w="32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(2,213,876)</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(343,409)</w:t>
            </w:r>
          </w:p>
        </w:tc>
      </w:tr>
      <w:tr>
        <w:trPr>
          <w:trHeight w:val="172"/>
        </w:trPr>
        <w:tc>
          <w:tcPr>
            <w:tcW w:w="5320" w:type="dxa"/>
            <w:vAlign w:val="bottom"/>
          </w:tcPr>
          <w:p>
            <w:pPr>
              <w:spacing w:after="0"/>
              <w:rPr>
                <w:sz w:val="14"/>
                <w:szCs w:val="14"/>
                <w:color w:val="auto"/>
              </w:rPr>
            </w:pP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ind w:left="2140"/>
              <w:spacing w:after="0"/>
              <w:rPr>
                <w:sz w:val="20"/>
                <w:szCs w:val="20"/>
                <w:color w:val="auto"/>
              </w:rPr>
            </w:pPr>
            <w:r>
              <w:rPr>
                <w:rFonts w:ascii="Courier New" w:cs="Courier New" w:eastAsia="Courier New" w:hAnsi="Courier New"/>
                <w:sz w:val="15"/>
                <w:szCs w:val="15"/>
                <w:color w:val="auto"/>
              </w:rPr>
              <w:t>Total property and equipment</w:t>
            </w:r>
          </w:p>
        </w:tc>
        <w:tc>
          <w:tcPr>
            <w:tcW w:w="300" w:type="dxa"/>
            <w:vAlign w:val="bottom"/>
          </w:tcPr>
          <w:p>
            <w:pPr>
              <w:spacing w:after="0"/>
              <w:rPr>
                <w:sz w:val="24"/>
                <w:szCs w:val="2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1,445,038</w:t>
            </w:r>
          </w:p>
        </w:tc>
        <w:tc>
          <w:tcPr>
            <w:tcW w:w="32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1,710,542</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1,660,852</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CAPITALIZED SOFTWARE</w:t>
            </w:r>
          </w:p>
        </w:tc>
        <w:tc>
          <w:tcPr>
            <w:tcW w:w="300" w:type="dxa"/>
            <w:vAlign w:val="bottom"/>
          </w:tcPr>
          <w:p>
            <w:pPr>
              <w:spacing w:after="0"/>
              <w:rPr>
                <w:sz w:val="24"/>
                <w:szCs w:val="2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9,438,708</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5320" w:type="dxa"/>
            <w:vAlign w:val="bottom"/>
          </w:tcPr>
          <w:p>
            <w:pPr>
              <w:spacing w:after="0"/>
              <w:rPr>
                <w:sz w:val="14"/>
                <w:szCs w:val="14"/>
                <w:color w:val="auto"/>
              </w:rPr>
            </w:pP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$ 30,721,311</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$ 52,824,291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1,660,852</w:t>
            </w:r>
          </w:p>
        </w:tc>
      </w:tr>
      <w:tr>
        <w:trPr>
          <w:trHeight w:val="172"/>
        </w:trPr>
        <w:tc>
          <w:tcPr>
            <w:tcW w:w="5320" w:type="dxa"/>
            <w:vAlign w:val="bottom"/>
          </w:tcPr>
          <w:p>
            <w:pPr>
              <w:spacing w:after="0"/>
              <w:rPr>
                <w:sz w:val="14"/>
                <w:szCs w:val="14"/>
                <w:color w:val="auto"/>
              </w:rPr>
            </w:pP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LIABILITIES AND MEMBERS'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CAPITAL DEFICIENCY</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53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Checks drawn in excess of bank balances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57,830</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 (See Note 3)</w:t>
            </w:r>
          </w:p>
        </w:tc>
        <w:tc>
          <w:tcPr>
            <w:tcW w:w="30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12,180,931</w:t>
            </w:r>
          </w:p>
        </w:tc>
        <w:tc>
          <w:tcPr>
            <w:tcW w:w="3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16,289,271</w:t>
            </w:r>
          </w:p>
        </w:tc>
        <w:tc>
          <w:tcPr>
            <w:tcW w:w="36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6,095,216</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Accrued liabilities</w:t>
            </w:r>
          </w:p>
        </w:tc>
        <w:tc>
          <w:tcPr>
            <w:tcW w:w="30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1,246,504</w:t>
            </w:r>
          </w:p>
        </w:tc>
        <w:tc>
          <w:tcPr>
            <w:tcW w:w="32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592,192</w:t>
            </w:r>
          </w:p>
        </w:tc>
        <w:tc>
          <w:tcPr>
            <w:tcW w:w="36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361,261</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Unearned revenue</w:t>
            </w:r>
          </w:p>
        </w:tc>
        <w:tc>
          <w:tcPr>
            <w:tcW w:w="300" w:type="dxa"/>
            <w:vAlign w:val="bottom"/>
          </w:tcPr>
          <w:p>
            <w:pPr>
              <w:spacing w:after="0"/>
              <w:rPr>
                <w:sz w:val="14"/>
                <w:szCs w:val="1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250,000</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13,677,435</w:t>
            </w:r>
          </w:p>
        </w:tc>
        <w:tc>
          <w:tcPr>
            <w:tcW w:w="32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16,881,463</w:t>
            </w:r>
          </w:p>
        </w:tc>
        <w:tc>
          <w:tcPr>
            <w:tcW w:w="360" w:type="dxa"/>
            <w:vAlign w:val="bottom"/>
          </w:tcPr>
          <w:p>
            <w:pPr>
              <w:spacing w:after="0"/>
              <w:rPr>
                <w:sz w:val="24"/>
                <w:szCs w:val="2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6,514,307</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24"/>
                <w:szCs w:val="24"/>
                <w:color w:val="auto"/>
              </w:rPr>
            </w:pPr>
          </w:p>
        </w:tc>
        <w:tc>
          <w:tcPr>
            <w:tcW w:w="13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43,060,952</w:t>
            </w:r>
          </w:p>
        </w:tc>
        <w:tc>
          <w:tcPr>
            <w:tcW w:w="32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45,936,458</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MEMBERS' CAPITAL DEFICIENCY:</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Membership interest - MS member</w:t>
            </w:r>
          </w:p>
        </w:tc>
        <w:tc>
          <w:tcPr>
            <w:tcW w:w="30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(13,008,538)</w:t>
            </w:r>
          </w:p>
        </w:tc>
        <w:tc>
          <w:tcPr>
            <w:tcW w:w="32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(4,996,815)</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(2,426,694)</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Membership interest - FDC member</w:t>
            </w:r>
          </w:p>
        </w:tc>
        <w:tc>
          <w:tcPr>
            <w:tcW w:w="300" w:type="dxa"/>
            <w:vAlign w:val="bottom"/>
          </w:tcPr>
          <w:p>
            <w:pPr>
              <w:spacing w:after="0"/>
              <w:rPr>
                <w:sz w:val="14"/>
                <w:szCs w:val="1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(13,008,538)</w:t>
            </w:r>
          </w:p>
        </w:tc>
        <w:tc>
          <w:tcPr>
            <w:tcW w:w="32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(4,996,815)</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(2,426,761)</w:t>
            </w:r>
          </w:p>
        </w:tc>
      </w:tr>
      <w:tr>
        <w:trPr>
          <w:trHeight w:val="172"/>
        </w:trPr>
        <w:tc>
          <w:tcPr>
            <w:tcW w:w="5320" w:type="dxa"/>
            <w:vAlign w:val="bottom"/>
          </w:tcPr>
          <w:p>
            <w:pPr>
              <w:spacing w:after="0"/>
              <w:rPr>
                <w:sz w:val="14"/>
                <w:szCs w:val="14"/>
                <w:color w:val="auto"/>
              </w:rPr>
            </w:pP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ind w:left="2140"/>
              <w:spacing w:after="0"/>
              <w:rPr>
                <w:sz w:val="20"/>
                <w:szCs w:val="20"/>
                <w:color w:val="auto"/>
              </w:rPr>
            </w:pPr>
            <w:r>
              <w:rPr>
                <w:rFonts w:ascii="Courier New" w:cs="Courier New" w:eastAsia="Courier New" w:hAnsi="Courier New"/>
                <w:sz w:val="15"/>
                <w:szCs w:val="15"/>
                <w:color w:val="auto"/>
              </w:rPr>
              <w:t>Total members' capital deficiency</w:t>
            </w:r>
          </w:p>
        </w:tc>
        <w:tc>
          <w:tcPr>
            <w:tcW w:w="300" w:type="dxa"/>
            <w:vAlign w:val="bottom"/>
          </w:tcPr>
          <w:p>
            <w:pPr>
              <w:spacing w:after="0"/>
              <w:rPr>
                <w:sz w:val="24"/>
                <w:szCs w:val="24"/>
                <w:color w:val="auto"/>
              </w:rPr>
            </w:pP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(26,017,076)</w:t>
            </w:r>
          </w:p>
        </w:tc>
        <w:tc>
          <w:tcPr>
            <w:tcW w:w="320" w:type="dxa"/>
            <w:vAlign w:val="bottom"/>
          </w:tcPr>
          <w:p>
            <w:pPr>
              <w:spacing w:after="0"/>
              <w:rPr>
                <w:sz w:val="24"/>
                <w:szCs w:val="2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(9,993,630)</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(4,853,455)</w:t>
            </w:r>
          </w:p>
        </w:tc>
      </w:tr>
      <w:tr>
        <w:trPr>
          <w:trHeight w:val="172"/>
        </w:trPr>
        <w:tc>
          <w:tcPr>
            <w:tcW w:w="5320" w:type="dxa"/>
            <w:vAlign w:val="bottom"/>
          </w:tcPr>
          <w:p>
            <w:pPr>
              <w:spacing w:after="0"/>
              <w:rPr>
                <w:sz w:val="14"/>
                <w:szCs w:val="14"/>
                <w:color w:val="auto"/>
              </w:rPr>
            </w:pP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$ 30,721,311</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$ 52,824,291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1,660,852</w:t>
            </w:r>
          </w:p>
        </w:tc>
      </w:tr>
      <w:tr>
        <w:trPr>
          <w:trHeight w:val="172"/>
        </w:trPr>
        <w:tc>
          <w:tcPr>
            <w:tcW w:w="5320" w:type="dxa"/>
            <w:vAlign w:val="bottom"/>
          </w:tcPr>
          <w:p>
            <w:pPr>
              <w:spacing w:after="0"/>
              <w:rPr>
                <w:sz w:val="14"/>
                <w:szCs w:val="14"/>
                <w:color w:val="auto"/>
              </w:rPr>
            </w:pPr>
          </w:p>
        </w:tc>
        <w:tc>
          <w:tcPr>
            <w:tcW w:w="164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7"/>
          </w:cols>
          <w:pgMar w:left="232" w:top="289" w:right="1440" w:bottom="1440" w:gutter="0" w:footer="0" w:header="0"/>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23</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MSFDC, L.L.C. AND SUBSIDIARIES</w:t>
      </w:r>
    </w:p>
    <w:p>
      <w:pPr>
        <w:spacing w:after="0" w:line="2" w:lineRule="exact"/>
        <w:rPr>
          <w:sz w:val="20"/>
          <w:szCs w:val="20"/>
          <w:color w:val="auto"/>
        </w:rPr>
      </w:pPr>
    </w:p>
    <w:p>
      <w:pPr>
        <w:ind w:left="188" w:hanging="188"/>
        <w:spacing w:after="0"/>
        <w:tabs>
          <w:tab w:leader="none" w:pos="18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Six months</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7"/>
              </w:rPr>
              <w:t>Year ended</w:t>
            </w: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Inception to</w:t>
            </w:r>
          </w:p>
        </w:tc>
        <w:tc>
          <w:tcPr>
            <w:tcW w:w="16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Inception to</w:t>
            </w:r>
          </w:p>
        </w:tc>
        <w:tc>
          <w:tcPr>
            <w:tcW w:w="1380" w:type="dxa"/>
            <w:vAlign w:val="bottom"/>
            <w:gridSpan w:val="2"/>
          </w:tcPr>
          <w:p>
            <w:pPr>
              <w:jc w:val="center"/>
              <w:ind w:left="65"/>
              <w:spacing w:after="0"/>
              <w:rPr>
                <w:sz w:val="20"/>
                <w:szCs w:val="20"/>
                <w:color w:val="auto"/>
              </w:rPr>
            </w:pPr>
            <w:r>
              <w:rPr>
                <w:rFonts w:ascii="Courier New" w:cs="Courier New" w:eastAsia="Courier New" w:hAnsi="Courier New"/>
                <w:sz w:val="15"/>
                <w:szCs w:val="15"/>
                <w:color w:val="auto"/>
                <w:w w:val="99"/>
              </w:rPr>
              <w:t>December 31,</w:t>
            </w:r>
          </w:p>
        </w:tc>
      </w:tr>
      <w:tr>
        <w:trPr>
          <w:trHeight w:val="172"/>
        </w:trPr>
        <w:tc>
          <w:tcPr>
            <w:tcW w:w="50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July 2, 1999</w:t>
            </w: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July 3, 1998</w:t>
            </w:r>
          </w:p>
        </w:tc>
        <w:tc>
          <w:tcPr>
            <w:tcW w:w="162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July 2, 1999</w:t>
            </w:r>
          </w:p>
        </w:tc>
        <w:tc>
          <w:tcPr>
            <w:tcW w:w="300" w:type="dxa"/>
            <w:vAlign w:val="bottom"/>
          </w:tcPr>
          <w:p>
            <w:pPr>
              <w:spacing w:after="0"/>
              <w:rPr>
                <w:sz w:val="14"/>
                <w:szCs w:val="14"/>
                <w:color w:val="auto"/>
              </w:rPr>
            </w:pPr>
          </w:p>
        </w:tc>
        <w:tc>
          <w:tcPr>
            <w:tcW w:w="108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1999</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516"/>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3,060</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000" w:type="dxa"/>
            <w:vAlign w:val="bottom"/>
          </w:tcPr>
          <w:p>
            <w:pPr>
              <w:ind w:left="520"/>
              <w:spacing w:after="0"/>
              <w:rPr>
                <w:sz w:val="20"/>
                <w:szCs w:val="20"/>
                <w:color w:val="auto"/>
              </w:rPr>
            </w:pPr>
            <w:r>
              <w:rPr>
                <w:rFonts w:ascii="Courier New" w:cs="Courier New" w:eastAsia="Courier New" w:hAnsi="Courier New"/>
                <w:sz w:val="15"/>
                <w:szCs w:val="15"/>
                <w:color w:val="auto"/>
              </w:rPr>
              <w:t>Product development (See Note 3)</w:t>
            </w:r>
          </w:p>
        </w:tc>
        <w:tc>
          <w:tcPr>
            <w:tcW w:w="18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26,559,520</w:t>
            </w:r>
          </w:p>
        </w:tc>
        <w:tc>
          <w:tcPr>
            <w:tcW w:w="360" w:type="dxa"/>
            <w:vAlign w:val="bottom"/>
          </w:tcPr>
          <w:p>
            <w:pPr>
              <w:spacing w:after="0"/>
              <w:rPr>
                <w:sz w:val="14"/>
                <w:szCs w:val="14"/>
                <w:color w:val="auto"/>
              </w:rPr>
            </w:pP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10,032,522</w:t>
            </w:r>
          </w:p>
        </w:tc>
        <w:tc>
          <w:tcPr>
            <w:tcW w:w="3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36,592,042</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1,520,976</w:t>
            </w:r>
          </w:p>
        </w:tc>
      </w:tr>
      <w:tr>
        <w:trPr>
          <w:trHeight w:val="172"/>
        </w:trPr>
        <w:tc>
          <w:tcPr>
            <w:tcW w:w="500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 administrative (See Note 3)</w:t>
            </w:r>
          </w:p>
        </w:tc>
        <w:tc>
          <w:tcPr>
            <w:tcW w:w="18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18,637,762</w:t>
            </w:r>
          </w:p>
        </w:tc>
        <w:tc>
          <w:tcPr>
            <w:tcW w:w="360" w:type="dxa"/>
            <w:vAlign w:val="bottom"/>
          </w:tcPr>
          <w:p>
            <w:pPr>
              <w:spacing w:after="0"/>
              <w:rPr>
                <w:sz w:val="14"/>
                <w:szCs w:val="14"/>
                <w:color w:val="auto"/>
              </w:rPr>
            </w:pP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5,839,118</w:t>
            </w:r>
          </w:p>
        </w:tc>
        <w:tc>
          <w:tcPr>
            <w:tcW w:w="36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24,476,880</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18,292,485</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ind w:left="2140"/>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45,197,282</w:t>
            </w:r>
          </w:p>
        </w:tc>
        <w:tc>
          <w:tcPr>
            <w:tcW w:w="360" w:type="dxa"/>
            <w:vAlign w:val="bottom"/>
          </w:tcPr>
          <w:p>
            <w:pPr>
              <w:spacing w:after="0"/>
              <w:rPr>
                <w:sz w:val="24"/>
                <w:szCs w:val="24"/>
                <w:color w:val="auto"/>
              </w:rPr>
            </w:pP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15,871,640</w:t>
            </w:r>
          </w:p>
        </w:tc>
        <w:tc>
          <w:tcPr>
            <w:tcW w:w="36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61,068,922</w:t>
            </w:r>
          </w:p>
        </w:tc>
        <w:tc>
          <w:tcPr>
            <w:tcW w:w="30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19,813,461</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80" w:type="dxa"/>
            <w:vAlign w:val="bottom"/>
          </w:tcPr>
          <w:p>
            <w:pPr>
              <w:spacing w:after="0"/>
              <w:rPr>
                <w:sz w:val="24"/>
                <w:szCs w:val="2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(463,632)</w:t>
            </w:r>
          </w:p>
        </w:tc>
        <w:tc>
          <w:tcPr>
            <w:tcW w:w="360" w:type="dxa"/>
            <w:vAlign w:val="bottom"/>
          </w:tcPr>
          <w:p>
            <w:pPr>
              <w:spacing w:after="0"/>
              <w:rPr>
                <w:sz w:val="24"/>
                <w:szCs w:val="24"/>
                <w:color w:val="auto"/>
              </w:rPr>
            </w:pP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(18,118)</w:t>
            </w:r>
          </w:p>
        </w:tc>
        <w:tc>
          <w:tcPr>
            <w:tcW w:w="360" w:type="dxa"/>
            <w:vAlign w:val="bottom"/>
          </w:tcPr>
          <w:p>
            <w:pPr>
              <w:spacing w:after="0"/>
              <w:rPr>
                <w:sz w:val="24"/>
                <w:szCs w:val="2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(481,750)</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(911,449)</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ind w:left="2140"/>
              <w:spacing w:after="0"/>
              <w:rPr>
                <w:sz w:val="20"/>
                <w:szCs w:val="20"/>
                <w:color w:val="auto"/>
              </w:rPr>
            </w:pPr>
            <w:r>
              <w:rPr>
                <w:rFonts w:ascii="Courier New" w:cs="Courier New" w:eastAsia="Courier New" w:hAnsi="Courier New"/>
                <w:sz w:val="15"/>
                <w:szCs w:val="15"/>
                <w:color w:val="auto"/>
              </w:rPr>
              <w:t>Loss before minority interest</w:t>
            </w:r>
          </w:p>
        </w:tc>
        <w:tc>
          <w:tcPr>
            <w:tcW w:w="18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44,733,650</w:t>
            </w:r>
          </w:p>
        </w:tc>
        <w:tc>
          <w:tcPr>
            <w:tcW w:w="360" w:type="dxa"/>
            <w:vAlign w:val="bottom"/>
          </w:tcPr>
          <w:p>
            <w:pPr>
              <w:spacing w:after="0"/>
              <w:rPr>
                <w:sz w:val="24"/>
                <w:szCs w:val="24"/>
                <w:color w:val="auto"/>
              </w:rPr>
            </w:pPr>
          </w:p>
        </w:tc>
        <w:tc>
          <w:tcPr>
            <w:tcW w:w="12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15,853,522</w:t>
            </w:r>
          </w:p>
        </w:tc>
        <w:tc>
          <w:tcPr>
            <w:tcW w:w="360" w:type="dxa"/>
            <w:vAlign w:val="bottom"/>
          </w:tcPr>
          <w:p>
            <w:pPr>
              <w:spacing w:after="0"/>
              <w:rPr>
                <w:sz w:val="24"/>
                <w:szCs w:val="2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60,587,172</w:t>
            </w:r>
          </w:p>
        </w:tc>
        <w:tc>
          <w:tcPr>
            <w:tcW w:w="30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18,898,952</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24"/>
                <w:szCs w:val="2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(2,063,542)</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(2,063,542)</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(2,875,506)</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42,670,108</w:t>
            </w:r>
          </w:p>
        </w:tc>
        <w:tc>
          <w:tcPr>
            <w:tcW w:w="16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$ 15,853,522</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$ 58,523,630</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$ 16,023,446</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Six months</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Inception to</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December 31,</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1998</w:t>
            </w:r>
          </w:p>
        </w:tc>
        <w:tc>
          <w:tcPr>
            <w:tcW w:w="30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(unaudited)</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(unaudited)</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3,060</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000" w:type="dxa"/>
            <w:vAlign w:val="bottom"/>
          </w:tcPr>
          <w:p>
            <w:pPr>
              <w:ind w:left="520"/>
              <w:spacing w:after="0"/>
              <w:rPr>
                <w:sz w:val="20"/>
                <w:szCs w:val="20"/>
                <w:color w:val="auto"/>
              </w:rPr>
            </w:pPr>
            <w:r>
              <w:rPr>
                <w:rFonts w:ascii="Courier New" w:cs="Courier New" w:eastAsia="Courier New" w:hAnsi="Courier New"/>
                <w:sz w:val="15"/>
                <w:szCs w:val="15"/>
                <w:color w:val="auto"/>
              </w:rPr>
              <w:t>Product development (See Note 3)</w:t>
            </w:r>
          </w:p>
        </w:tc>
        <w:tc>
          <w:tcPr>
            <w:tcW w:w="18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11,901,143</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38,113,018</w:t>
            </w:r>
          </w:p>
        </w:tc>
      </w:tr>
      <w:tr>
        <w:trPr>
          <w:trHeight w:val="172"/>
        </w:trPr>
        <w:tc>
          <w:tcPr>
            <w:tcW w:w="500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 administrative (See Note 3)</w:t>
            </w:r>
          </w:p>
        </w:tc>
        <w:tc>
          <w:tcPr>
            <w:tcW w:w="18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7,282,878</w:t>
            </w:r>
          </w:p>
        </w:tc>
        <w:tc>
          <w:tcPr>
            <w:tcW w:w="30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42,769,365</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ind w:left="2140"/>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19,184,021</w:t>
            </w:r>
          </w:p>
        </w:tc>
        <w:tc>
          <w:tcPr>
            <w:tcW w:w="30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80,882,383</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EXPENSE</w:t>
            </w:r>
          </w:p>
        </w:tc>
        <w:tc>
          <w:tcPr>
            <w:tcW w:w="180" w:type="dxa"/>
            <w:vAlign w:val="bottom"/>
          </w:tcPr>
          <w:p>
            <w:pPr>
              <w:spacing w:after="0"/>
              <w:rPr>
                <w:sz w:val="24"/>
                <w:szCs w:val="2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(22,832)</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(1,393,199)</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ind w:left="2140"/>
              <w:spacing w:after="0"/>
              <w:rPr>
                <w:sz w:val="20"/>
                <w:szCs w:val="20"/>
                <w:color w:val="auto"/>
              </w:rPr>
            </w:pPr>
            <w:r>
              <w:rPr>
                <w:rFonts w:ascii="Courier New" w:cs="Courier New" w:eastAsia="Courier New" w:hAnsi="Courier New"/>
                <w:sz w:val="15"/>
                <w:szCs w:val="15"/>
                <w:color w:val="auto"/>
              </w:rPr>
              <w:t>Loss before minority interest</w:t>
            </w:r>
          </w:p>
        </w:tc>
        <w:tc>
          <w:tcPr>
            <w:tcW w:w="18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19,161,189</w:t>
            </w:r>
          </w:p>
        </w:tc>
        <w:tc>
          <w:tcPr>
            <w:tcW w:w="300" w:type="dxa"/>
            <w:vAlign w:val="bottom"/>
          </w:tcPr>
          <w:p>
            <w:pPr>
              <w:spacing w:after="0"/>
              <w:rPr>
                <w:sz w:val="24"/>
                <w:szCs w:val="2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79,486,124</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(4,939,048)</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$ 19,161,189</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$ 74,547,076</w:t>
            </w:r>
          </w:p>
        </w:tc>
      </w:tr>
      <w:tr>
        <w:trPr>
          <w:trHeight w:val="172"/>
        </w:trPr>
        <w:tc>
          <w:tcPr>
            <w:tcW w:w="5000" w:type="dxa"/>
            <w:vAlign w:val="bottom"/>
          </w:tcPr>
          <w:p>
            <w:pPr>
              <w:spacing w:after="0"/>
              <w:rPr>
                <w:sz w:val="14"/>
                <w:szCs w:val="14"/>
                <w:color w:val="auto"/>
              </w:rPr>
            </w:pPr>
          </w:p>
        </w:tc>
        <w:tc>
          <w:tcPr>
            <w:tcW w:w="14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1088"/>
          </w:cols>
          <w:pgMar w:left="232" w:top="289" w:right="579"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MSFDC, L.L.C. AND SUBSIDIARIES</w:t>
      </w:r>
    </w:p>
    <w:p>
      <w:pPr>
        <w:spacing w:after="0" w:line="2"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STATEMENTS OF MEMBERS' CAPITAL DEFICIENCY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MS MEMBER</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FDC MEMBER</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5,500,067</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5,500,000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$ 11,000,067</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(7,926,761)</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(7,926,761)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(15,853,522)</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July 3, 1998</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(2,426,694)</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(2,426,761)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(4,853,455)</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18,764,933</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18,765,000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37,529,933</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(21,335,054)</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(21,335,054)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(42,670,108)</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July 2, 1999</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(4,996,815)</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(4,996,815)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(9,993,630)</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 contributions (unaudited)</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loss (unaudited)</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(8,011,723)</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(8,011,723)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December 31, 1999 (unaudited)</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$(13,008,538)</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$(13,008,538)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$(26,017,076)</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INCEPTION TO JULY 2, 1999</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$ 24,265,000</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$ 24,265,000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$ 48,530,000</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(29,261,815)</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(29,261,815)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(58,523,630)</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July 2, 1999</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(4,996,815)</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(4,996,815)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(9,993,630)</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INCEPTION TO DECEMBER 31, 1999</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 contributions (unaudited)</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$ 24,265,000</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$ 24,265,000</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$ 48,530,000</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loss (unaudited)</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(37,273,538)</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(37,273,538)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(74,547,076)</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Balance, December 31, 1999 (unaudited)</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$(13,008,538)</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$(13,008,538)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$(26,017,076)</w:t>
            </w:r>
          </w:p>
        </w:tc>
      </w:tr>
      <w:tr>
        <w:trPr>
          <w:trHeight w:val="172"/>
        </w:trPr>
        <w:tc>
          <w:tcPr>
            <w:tcW w:w="36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7"/>
          </w:cols>
          <w:pgMar w:left="232" w:top="289" w:right="1440" w:bottom="1440" w:gutter="0" w:footer="0" w:header="0"/>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25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MSFDC, L.L.C. AND SUBSIDIARIES</w:t>
      </w:r>
    </w:p>
    <w:p>
      <w:pPr>
        <w:spacing w:after="0" w:line="2"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Six months</w:t>
            </w:r>
          </w:p>
        </w:tc>
      </w:tr>
      <w:tr>
        <w:trPr>
          <w:trHeight w:val="172"/>
        </w:trPr>
        <w:tc>
          <w:tcPr>
            <w:tcW w:w="5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ind w:left="500"/>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Year ended</w:t>
            </w:r>
          </w:p>
        </w:tc>
        <w:tc>
          <w:tcPr>
            <w:tcW w:w="162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Inception to</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Inception to</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32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July 2, 1999</w:t>
            </w:r>
          </w:p>
        </w:tc>
        <w:tc>
          <w:tcPr>
            <w:tcW w:w="1620" w:type="dxa"/>
            <w:vAlign w:val="bottom"/>
            <w:gridSpan w:val="2"/>
          </w:tcPr>
          <w:p>
            <w:pPr>
              <w:jc w:val="center"/>
              <w:ind w:right="25"/>
              <w:spacing w:after="0"/>
              <w:rPr>
                <w:sz w:val="20"/>
                <w:szCs w:val="20"/>
                <w:color w:val="auto"/>
              </w:rPr>
            </w:pPr>
            <w:r>
              <w:rPr>
                <w:rFonts w:ascii="Courier New" w:cs="Courier New" w:eastAsia="Courier New" w:hAnsi="Courier New"/>
                <w:sz w:val="15"/>
                <w:szCs w:val="15"/>
                <w:color w:val="auto"/>
                <w:w w:val="99"/>
              </w:rPr>
              <w:t>July 3, 1998</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July 2, 1999</w:t>
            </w:r>
          </w:p>
        </w:tc>
        <w:tc>
          <w:tcPr>
            <w:tcW w:w="1380" w:type="dxa"/>
            <w:vAlign w:val="bottom"/>
          </w:tcPr>
          <w:p>
            <w:pPr>
              <w:ind w:left="500"/>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32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$(42,670,108)</w:t>
            </w: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$(15,853,522)</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$(58,523,630)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Adjustments to reconcile net loss to net</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600"/>
              <w:spacing w:after="0"/>
              <w:rPr>
                <w:sz w:val="20"/>
                <w:szCs w:val="20"/>
                <w:color w:val="auto"/>
              </w:rPr>
            </w:pPr>
            <w:r>
              <w:rPr>
                <w:rFonts w:ascii="Courier New" w:cs="Courier New" w:eastAsia="Courier New" w:hAnsi="Courier New"/>
                <w:sz w:val="15"/>
                <w:szCs w:val="15"/>
                <w:color w:val="auto"/>
              </w:rPr>
              <w:t>cash used by operating activities:</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060"/>
              <w:spacing w:after="0"/>
              <w:rPr>
                <w:sz w:val="20"/>
                <w:szCs w:val="20"/>
                <w:color w:val="auto"/>
              </w:rPr>
            </w:pPr>
            <w:r>
              <w:rPr>
                <w:rFonts w:ascii="Courier New" w:cs="Courier New" w:eastAsia="Courier New" w:hAnsi="Courier New"/>
                <w:sz w:val="15"/>
                <w:szCs w:val="15"/>
                <w:color w:val="auto"/>
              </w:rPr>
              <w:t>Depreciation</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1,870,467</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343,409</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2,213,876</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1,020,706</w:t>
            </w:r>
          </w:p>
        </w:tc>
      </w:tr>
      <w:tr>
        <w:trPr>
          <w:trHeight w:val="172"/>
        </w:trPr>
        <w:tc>
          <w:tcPr>
            <w:tcW w:w="5320" w:type="dxa"/>
            <w:vAlign w:val="bottom"/>
          </w:tcPr>
          <w:p>
            <w:pPr>
              <w:ind w:left="1060"/>
              <w:spacing w:after="0"/>
              <w:rPr>
                <w:sz w:val="20"/>
                <w:szCs w:val="20"/>
                <w:color w:val="auto"/>
              </w:rPr>
            </w:pPr>
            <w:r>
              <w:rPr>
                <w:rFonts w:ascii="Courier New" w:cs="Courier New" w:eastAsia="Courier New" w:hAnsi="Courier New"/>
                <w:sz w:val="15"/>
                <w:szCs w:val="15"/>
                <w:color w:val="auto"/>
              </w:rPr>
              <w:t>Minority interest share of loss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(2,063,542)</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(2,063,542)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(2,875,506)</w:t>
            </w:r>
          </w:p>
        </w:tc>
      </w:tr>
      <w:tr>
        <w:trPr>
          <w:trHeight w:val="172"/>
        </w:trPr>
        <w:tc>
          <w:tcPr>
            <w:tcW w:w="5320" w:type="dxa"/>
            <w:vAlign w:val="bottom"/>
          </w:tcPr>
          <w:p>
            <w:pPr>
              <w:ind w:left="1060"/>
              <w:spacing w:after="0"/>
              <w:rPr>
                <w:sz w:val="20"/>
                <w:szCs w:val="20"/>
                <w:color w:val="auto"/>
              </w:rPr>
            </w:pPr>
            <w:r>
              <w:rPr>
                <w:rFonts w:ascii="Courier New" w:cs="Courier New" w:eastAsia="Courier New" w:hAnsi="Courier New"/>
                <w:sz w:val="15"/>
                <w:szCs w:val="15"/>
                <w:color w:val="auto"/>
              </w:rPr>
              <w:t>Cash provided (used) by changes in</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2140"/>
              <w:spacing w:after="0"/>
              <w:rPr>
                <w:sz w:val="20"/>
                <w:szCs w:val="20"/>
                <w:color w:val="auto"/>
              </w:rPr>
            </w:pPr>
            <w:r>
              <w:rPr>
                <w:rFonts w:ascii="Courier New" w:cs="Courier New" w:eastAsia="Courier New" w:hAnsi="Courier New"/>
                <w:sz w:val="15"/>
                <w:szCs w:val="15"/>
                <w:color w:val="auto"/>
              </w:rPr>
              <w:t>operating assets and liabilities:</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600"/>
              <w:spacing w:after="0"/>
              <w:rPr>
                <w:sz w:val="20"/>
                <w:szCs w:val="20"/>
                <w:color w:val="auto"/>
              </w:rPr>
            </w:pPr>
            <w:r>
              <w:rPr>
                <w:rFonts w:ascii="Courier New" w:cs="Courier New" w:eastAsia="Courier New" w:hAnsi="Courier New"/>
                <w:sz w:val="15"/>
                <w:szCs w:val="15"/>
                <w:color w:val="auto"/>
              </w:rPr>
              <w:t>Checks drawn in excess of</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2140"/>
              <w:spacing w:after="0"/>
              <w:rPr>
                <w:sz w:val="20"/>
                <w:szCs w:val="20"/>
                <w:color w:val="auto"/>
              </w:rPr>
            </w:pPr>
            <w:r>
              <w:rPr>
                <w:rFonts w:ascii="Courier New" w:cs="Courier New" w:eastAsia="Courier New" w:hAnsi="Courier New"/>
                <w:sz w:val="15"/>
                <w:szCs w:val="15"/>
                <w:color w:val="auto"/>
              </w:rPr>
              <w:t>bank balance</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(57,830)</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57,830</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600"/>
              <w:spacing w:after="0"/>
              <w:rPr>
                <w:sz w:val="20"/>
                <w:szCs w:val="20"/>
                <w:color w:val="auto"/>
              </w:rPr>
            </w:pPr>
            <w:r>
              <w:rPr>
                <w:rFonts w:ascii="Courier New" w:cs="Courier New" w:eastAsia="Courier New" w:hAnsi="Courier New"/>
                <w:sz w:val="15"/>
                <w:szCs w:val="15"/>
                <w:color w:val="auto"/>
              </w:rPr>
              <w:t>Accounts payable and accrued</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2140"/>
              <w:spacing w:after="0"/>
              <w:rPr>
                <w:sz w:val="20"/>
                <w:szCs w:val="20"/>
                <w:color w:val="auto"/>
              </w:rPr>
            </w:pPr>
            <w:r>
              <w:rPr>
                <w:rFonts w:ascii="Courier New" w:cs="Courier New" w:eastAsia="Courier New" w:hAnsi="Courier New"/>
                <w:sz w:val="15"/>
                <w:szCs w:val="15"/>
                <w:color w:val="auto"/>
              </w:rPr>
              <w:t>liabilities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10,424,986</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6,456,477</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16,881,463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(3,454,028)</w:t>
            </w:r>
          </w:p>
        </w:tc>
      </w:tr>
      <w:tr>
        <w:trPr>
          <w:trHeight w:val="172"/>
        </w:trPr>
        <w:tc>
          <w:tcPr>
            <w:tcW w:w="5320" w:type="dxa"/>
            <w:vAlign w:val="bottom"/>
          </w:tcPr>
          <w:p>
            <w:pPr>
              <w:ind w:left="1600"/>
              <w:spacing w:after="0"/>
              <w:rPr>
                <w:sz w:val="20"/>
                <w:szCs w:val="20"/>
                <w:color w:val="auto"/>
              </w:rPr>
            </w:pPr>
            <w:r>
              <w:rPr>
                <w:rFonts w:ascii="Courier New" w:cs="Courier New" w:eastAsia="Courier New" w:hAnsi="Courier New"/>
                <w:sz w:val="15"/>
                <w:szCs w:val="15"/>
                <w:color w:val="auto"/>
              </w:rPr>
              <w:t>Unearned revenue</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Net cash used by operating activities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(32,496,027)</w:t>
            </w: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(8,995,806)</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(41,491,833)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(21,082,274)</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Acquisition of equipment</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(1,920,157)</w:t>
            </w: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(2,004,261)</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(3,924,418)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(755,202)</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Capitalized software</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(9,438,708)</w:t>
            </w: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Net cash used by investing activities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(1,920,157)</w:t>
            </w: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(2,004,261)</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(3,924,418)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(10,193,910)</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Member capital contributions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37,529,933</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11,000,067</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48,530,000</w:t>
            </w: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Capital contribution from minority interest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48,000,000</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48,000,000</w:t>
            </w: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85,529,933</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11,000,067</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96,530,000</w:t>
            </w: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CASH EQUIVALENTS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51,113,749</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51,113,749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(31,276,184)</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Beginning of period</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51,113,749</w:t>
            </w: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End of period</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$ 51,113,749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$ 51,113,749</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$ 19,837,565</w:t>
            </w: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860"/>
        </w:trPr>
        <w:tc>
          <w:tcPr>
            <w:tcW w:w="5320" w:type="dxa"/>
            <w:vAlign w:val="bottom"/>
          </w:tcPr>
          <w:p>
            <w:pPr>
              <w:spacing w:after="0"/>
              <w:rPr>
                <w:sz w:val="24"/>
                <w:szCs w:val="2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Six months</w:t>
            </w:r>
          </w:p>
        </w:tc>
        <w:tc>
          <w:tcPr>
            <w:tcW w:w="32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Inception</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ended</w:t>
            </w:r>
          </w:p>
        </w:tc>
        <w:tc>
          <w:tcPr>
            <w:tcW w:w="320" w:type="dxa"/>
            <w:vAlign w:val="bottom"/>
          </w:tcPr>
          <w:p>
            <w:pPr>
              <w:spacing w:after="0"/>
              <w:rPr>
                <w:sz w:val="14"/>
                <w:szCs w:val="14"/>
                <w:color w:val="auto"/>
              </w:rPr>
            </w:pPr>
          </w:p>
        </w:tc>
        <w:tc>
          <w:tcPr>
            <w:tcW w:w="130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to</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December 31,</w:t>
            </w:r>
          </w:p>
        </w:tc>
        <w:tc>
          <w:tcPr>
            <w:tcW w:w="32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1999</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ind w:left="30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Net loss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$(19,161,189)</w:t>
            </w:r>
          </w:p>
        </w:tc>
        <w:tc>
          <w:tcPr>
            <w:tcW w:w="16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$(74,547,076)</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Adjustments to reconcile net loss to net</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600"/>
              <w:spacing w:after="0"/>
              <w:rPr>
                <w:sz w:val="20"/>
                <w:szCs w:val="20"/>
                <w:color w:val="auto"/>
              </w:rPr>
            </w:pPr>
            <w:r>
              <w:rPr>
                <w:rFonts w:ascii="Courier New" w:cs="Courier New" w:eastAsia="Courier New" w:hAnsi="Courier New"/>
                <w:sz w:val="15"/>
                <w:szCs w:val="15"/>
                <w:color w:val="auto"/>
              </w:rPr>
              <w:t>cash used by operating activities:</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060"/>
              <w:spacing w:after="0"/>
              <w:rPr>
                <w:sz w:val="20"/>
                <w:szCs w:val="20"/>
                <w:color w:val="auto"/>
              </w:rPr>
            </w:pPr>
            <w:r>
              <w:rPr>
                <w:rFonts w:ascii="Courier New" w:cs="Courier New" w:eastAsia="Courier New" w:hAnsi="Courier New"/>
                <w:sz w:val="15"/>
                <w:szCs w:val="15"/>
                <w:color w:val="auto"/>
              </w:rPr>
              <w:t>Depreciation</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785,507</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3,234,582</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060"/>
              <w:spacing w:after="0"/>
              <w:rPr>
                <w:sz w:val="20"/>
                <w:szCs w:val="20"/>
                <w:color w:val="auto"/>
              </w:rPr>
            </w:pPr>
            <w:r>
              <w:rPr>
                <w:rFonts w:ascii="Courier New" w:cs="Courier New" w:eastAsia="Courier New" w:hAnsi="Courier New"/>
                <w:sz w:val="15"/>
                <w:szCs w:val="15"/>
                <w:color w:val="auto"/>
              </w:rPr>
              <w:t>Minority interest share of loss</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(4,939,048)</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060"/>
              <w:spacing w:after="0"/>
              <w:rPr>
                <w:sz w:val="20"/>
                <w:szCs w:val="20"/>
                <w:color w:val="auto"/>
              </w:rPr>
            </w:pPr>
            <w:r>
              <w:rPr>
                <w:rFonts w:ascii="Courier New" w:cs="Courier New" w:eastAsia="Courier New" w:hAnsi="Courier New"/>
                <w:sz w:val="15"/>
                <w:szCs w:val="15"/>
                <w:color w:val="auto"/>
              </w:rPr>
              <w:t>Cash provided (used) by changes in</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2140"/>
              <w:spacing w:after="0"/>
              <w:rPr>
                <w:sz w:val="20"/>
                <w:szCs w:val="20"/>
                <w:color w:val="auto"/>
              </w:rPr>
            </w:pPr>
            <w:r>
              <w:rPr>
                <w:rFonts w:ascii="Courier New" w:cs="Courier New" w:eastAsia="Courier New" w:hAnsi="Courier New"/>
                <w:sz w:val="15"/>
                <w:szCs w:val="15"/>
                <w:color w:val="auto"/>
              </w:rPr>
              <w:t>operating assets and liabilities:</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600"/>
              <w:spacing w:after="0"/>
              <w:rPr>
                <w:sz w:val="20"/>
                <w:szCs w:val="20"/>
                <w:color w:val="auto"/>
              </w:rPr>
            </w:pPr>
            <w:r>
              <w:rPr>
                <w:rFonts w:ascii="Courier New" w:cs="Courier New" w:eastAsia="Courier New" w:hAnsi="Courier New"/>
                <w:sz w:val="15"/>
                <w:szCs w:val="15"/>
                <w:color w:val="auto"/>
              </w:rPr>
              <w:t>Checks drawn in excess of</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2140"/>
              <w:spacing w:after="0"/>
              <w:rPr>
                <w:sz w:val="20"/>
                <w:szCs w:val="20"/>
                <w:color w:val="auto"/>
              </w:rPr>
            </w:pPr>
            <w:r>
              <w:rPr>
                <w:rFonts w:ascii="Courier New" w:cs="Courier New" w:eastAsia="Courier New" w:hAnsi="Courier New"/>
                <w:sz w:val="15"/>
                <w:szCs w:val="15"/>
                <w:color w:val="auto"/>
              </w:rPr>
              <w:t>bank balance</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(57,830)</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600"/>
              <w:spacing w:after="0"/>
              <w:rPr>
                <w:sz w:val="20"/>
                <w:szCs w:val="20"/>
                <w:color w:val="auto"/>
              </w:rPr>
            </w:pPr>
            <w:r>
              <w:rPr>
                <w:rFonts w:ascii="Courier New" w:cs="Courier New" w:eastAsia="Courier New" w:hAnsi="Courier New"/>
                <w:sz w:val="15"/>
                <w:szCs w:val="15"/>
                <w:color w:val="auto"/>
              </w:rPr>
              <w:t>Accounts payable and accrued</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2140"/>
              <w:spacing w:after="0"/>
              <w:rPr>
                <w:sz w:val="20"/>
                <w:szCs w:val="20"/>
                <w:color w:val="auto"/>
              </w:rPr>
            </w:pPr>
            <w:r>
              <w:rPr>
                <w:rFonts w:ascii="Courier New" w:cs="Courier New" w:eastAsia="Courier New" w:hAnsi="Courier New"/>
                <w:sz w:val="15"/>
                <w:szCs w:val="15"/>
                <w:color w:val="auto"/>
              </w:rPr>
              <w:t>liabilities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3,065,303</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13,427,435</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1600"/>
              <w:spacing w:after="0"/>
              <w:rPr>
                <w:sz w:val="20"/>
                <w:szCs w:val="20"/>
                <w:color w:val="auto"/>
              </w:rPr>
            </w:pPr>
            <w:r>
              <w:rPr>
                <w:rFonts w:ascii="Courier New" w:cs="Courier New" w:eastAsia="Courier New" w:hAnsi="Courier New"/>
                <w:sz w:val="15"/>
                <w:szCs w:val="15"/>
                <w:color w:val="auto"/>
              </w:rPr>
              <w:t>Unearned revenue</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250,000</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Net cash used by operating activities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(15,368,209)</w:t>
            </w: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(62,574,107)</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Acquisition of equipment</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(639,964)</w:t>
            </w: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(4,679,620)</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Capitalized software</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(9,438,708)</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440"/>
              <w:spacing w:after="0"/>
              <w:rPr>
                <w:sz w:val="20"/>
                <w:szCs w:val="20"/>
                <w:color w:val="auto"/>
              </w:rPr>
            </w:pPr>
            <w:r>
              <w:rPr>
                <w:rFonts w:ascii="Courier New" w:cs="Courier New" w:eastAsia="Courier New" w:hAnsi="Courier New"/>
                <w:sz w:val="15"/>
                <w:szCs w:val="15"/>
                <w:color w:val="auto"/>
              </w:rPr>
              <w:t>Net cash used by investing activities</w:t>
            </w:r>
          </w:p>
        </w:tc>
        <w:tc>
          <w:tcPr>
            <w:tcW w:w="1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(639,964)</w:t>
            </w: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(14,118,328)</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Member capital contributions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16,579,933</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48,530,000</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Capital contribution from minority interest</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48,000,000</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16,579,933</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96,530,000</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5320" w:type="dxa"/>
            <w:vAlign w:val="bottom"/>
          </w:tcPr>
          <w:p>
            <w:pPr>
              <w:ind w:left="520"/>
              <w:spacing w:after="0"/>
              <w:rPr>
                <w:sz w:val="20"/>
                <w:szCs w:val="20"/>
                <w:color w:val="auto"/>
              </w:rPr>
            </w:pPr>
            <w:r>
              <w:rPr>
                <w:rFonts w:ascii="Courier New" w:cs="Courier New" w:eastAsia="Courier New" w:hAnsi="Courier New"/>
                <w:sz w:val="15"/>
                <w:szCs w:val="15"/>
                <w:color w:val="auto"/>
              </w:rPr>
              <w:t>CASH EQUIVALENTS</w:t>
            </w:r>
          </w:p>
        </w:tc>
        <w:tc>
          <w:tcPr>
            <w:tcW w:w="1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571,760</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19,837,565</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AND CASH EQUIVALENTS:</w:t>
      </w:r>
    </w:p>
    <w:p>
      <w:pPr>
        <w:sectPr>
          <w:pgSz w:w="11900" w:h="16838" w:orient="portrait"/>
          <w:cols w:equalWidth="0" w:num="1">
            <w:col w:w="11528"/>
          </w:cols>
          <w:pgMar w:left="232" w:top="289" w:right="139" w:bottom="0" w:gutter="0" w:footer="0" w:header="0"/>
        </w:sectPr>
      </w:pPr>
    </w:p>
    <w:bookmarkStart w:id="26" w:name="page27"/>
    <w:bookmarkEnd w:id="26"/>
    <w:p>
      <w:pPr>
        <w:ind w:left="520"/>
        <w:spacing w:after="0"/>
        <w:rPr>
          <w:sz w:val="20"/>
          <w:szCs w:val="20"/>
          <w:color w:val="auto"/>
        </w:rPr>
      </w:pPr>
      <w:r>
        <w:rPr>
          <w:rFonts w:ascii="Courier New" w:cs="Courier New" w:eastAsia="Courier New" w:hAnsi="Courier New"/>
          <w:sz w:val="14"/>
          <w:szCs w:val="14"/>
          <w:color w:val="auto"/>
        </w:rPr>
        <w:t>Beginning of period</w:t>
      </w:r>
    </w:p>
    <w:p>
      <w:pPr>
        <w:sectPr>
          <w:pgSz w:w="11900" w:h="16838" w:orient="portrait"/>
          <w:cols w:equalWidth="0" w:num="1">
            <w:col w:w="10219"/>
          </w:cols>
          <w:pgMar w:left="240" w:top="141" w:right="1440" w:bottom="1440" w:gutter="0" w:footer="0" w:header="0"/>
        </w:sectPr>
      </w:pPr>
    </w:p>
    <w:p>
      <w:pPr>
        <w:spacing w:after="0" w:line="18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End of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571,760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$ 19,837,565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820" w:space="720"/>
            <w:col w:w="1080" w:space="520"/>
            <w:col w:w="3079"/>
          </w:cols>
          <w:pgMar w:left="240" w:top="141"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141" w:right="1440" w:bottom="1440" w:gutter="0" w:footer="0" w:header="0"/>
          <w:type w:val="continuous"/>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26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MSFDC, L.L.C. AND SUBSIDIARIES</w:t>
      </w:r>
    </w:p>
    <w:p>
      <w:pPr>
        <w:spacing w:after="0" w:line="2" w:lineRule="exact"/>
        <w:rPr>
          <w:sz w:val="20"/>
          <w:szCs w:val="20"/>
          <w:color w:val="auto"/>
        </w:rPr>
      </w:pPr>
    </w:p>
    <w:p>
      <w:pPr>
        <w:ind w:left="188" w:hanging="188"/>
        <w:spacing w:after="0"/>
        <w:tabs>
          <w:tab w:leader="none" w:pos="18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5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1: ORGANIZATION AND DESCRIPTION OF BUSINESS</w:t>
      </w:r>
    </w:p>
    <w:p>
      <w:pPr>
        <w:spacing w:after="0" w:line="176" w:lineRule="exact"/>
        <w:rPr>
          <w:sz w:val="20"/>
          <w:szCs w:val="20"/>
          <w:color w:val="auto"/>
        </w:rPr>
      </w:pPr>
    </w:p>
    <w:p>
      <w:pPr>
        <w:ind w:left="448" w:right="3259"/>
        <w:spacing w:after="0" w:line="242" w:lineRule="auto"/>
        <w:rPr>
          <w:sz w:val="20"/>
          <w:szCs w:val="20"/>
          <w:color w:val="auto"/>
        </w:rPr>
      </w:pPr>
      <w:r>
        <w:rPr>
          <w:rFonts w:ascii="Courier New" w:cs="Courier New" w:eastAsia="Courier New" w:hAnsi="Courier New"/>
          <w:sz w:val="15"/>
          <w:szCs w:val="15"/>
          <w:color w:val="auto"/>
        </w:rPr>
        <w:t>DESCRIPTION OF BUSINESS: The purpose of the business is to provide electronic statement presentment and electronic remittance services to consumers and businesses using the Internet. The business has been in the development stage and commenced commercial operations in July 1999.</w:t>
      </w:r>
    </w:p>
    <w:p>
      <w:pPr>
        <w:spacing w:after="0" w:line="175"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ORGANIZATION: MSFDC, L.L.C. is a Delaware limited liability company and was formed pursuant to the Limited Liability Company Agreement of MSFDC, L.L.C. dated as of June 18, 1997 (inception) (the LLC Agreement). The members of MSFDC, L.L.C. are MS II, L.L.C., a Delaware limited liability company (the MS member), and First Data L.L.C., a Delaware limited liability company (the FDC member). The MS member is a wholly owned subsidiary of Microsoft Corporation (MS). The FDC member is a wholly owned subsidiary of First Data Corporation (FDC).</w:t>
      </w:r>
    </w:p>
    <w:p>
      <w:pPr>
        <w:spacing w:after="0" w:line="177" w:lineRule="exact"/>
        <w:rPr>
          <w:sz w:val="20"/>
          <w:szCs w:val="20"/>
          <w:color w:val="auto"/>
        </w:rPr>
      </w:pPr>
    </w:p>
    <w:p>
      <w:pPr>
        <w:ind w:left="448" w:right="3159"/>
        <w:spacing w:after="0" w:line="242" w:lineRule="auto"/>
        <w:rPr>
          <w:sz w:val="20"/>
          <w:szCs w:val="20"/>
          <w:color w:val="auto"/>
        </w:rPr>
      </w:pPr>
      <w:r>
        <w:rPr>
          <w:rFonts w:ascii="Courier New" w:cs="Courier New" w:eastAsia="Courier New" w:hAnsi="Courier New"/>
          <w:sz w:val="15"/>
          <w:szCs w:val="15"/>
          <w:color w:val="auto"/>
        </w:rPr>
        <w:t>In September 1998, MSFDC, L.L.C. entered into an arrangement whereby the electronic bill presentment and payment service business in the United States previously under development by MSFDC, L.L.C. was contributed to a newly formed entity, Newco L.L.C. (TransPoint). The members of TransPoint are MSFDC, L.L.C. and Citicorp Electronic Commerce Inc. (the Citicorp member). The Citicorp member of TransPoint is a wholly owned subsidiary of Citicorp. In connection with this new arrangement, two additional entities were formed: New MSFDC, L.L.C. (TransPoint Technologies and Services) and Jointco L.L.C. (TransPoint Accounting). The Citicorp member interest in TransPoint Technologies and Services and TransPoint is 25% and 5%, respectively, with MSFDC, L.L.C. holding the remaining interests. TransPoint Technologies and Services and TransPoint each hold 50% capital interests in TransPoint Accounting. These three new entities are collectively referred to as the TransPoint limited liability companies.</w:t>
      </w:r>
    </w:p>
    <w:p>
      <w:pPr>
        <w:spacing w:after="0" w:line="182" w:lineRule="exact"/>
        <w:rPr>
          <w:sz w:val="20"/>
          <w:szCs w:val="20"/>
          <w:color w:val="auto"/>
        </w:rPr>
      </w:pPr>
    </w:p>
    <w:p>
      <w:pPr>
        <w:ind w:left="448" w:right="3079"/>
        <w:spacing w:after="0" w:line="263" w:lineRule="auto"/>
        <w:rPr>
          <w:sz w:val="20"/>
          <w:szCs w:val="20"/>
          <w:color w:val="auto"/>
        </w:rPr>
      </w:pPr>
      <w:r>
        <w:rPr>
          <w:rFonts w:ascii="Courier New" w:cs="Courier New" w:eastAsia="Courier New" w:hAnsi="Courier New"/>
          <w:sz w:val="14"/>
          <w:szCs w:val="14"/>
          <w:color w:val="auto"/>
        </w:rPr>
        <w:t>The TransPoint limited liability companies collectively have rights to all future domestic revenues generated by the electronic bill presentment and payment service previously under development by MSFDC, L.L.C. The MS and FDC members have established a new limited partnership, MSFDC International L.P., to account for the future international revenues and related costs.</w:t>
      </w:r>
    </w:p>
    <w:p>
      <w:pPr>
        <w:spacing w:after="0" w:line="163"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CONTRIBUTIONS: Upon formation of MSFDC, L.L.C. in 1997, the MS member contributed $50,000 in cash. First Data Resources, Inc. contributed $40,000 in cash, and Integrated Payment Systems, Inc. contributed $10,000 as initial capital contributions. Immediately following the initial capital contribution, Integrated Payment Systems, Inc. transferred its membership interest to First Data Resources, Inc. These interests were then transferred to First Data L.L.C.</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connection with the formation of the new TransPoint limited liability</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companies, Citicorp contributed $48,000,000 in cash as its initial</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contribution and MSFDC, L.L.C. contributed $37,529,933. MSFDC, L.L.C. and</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Citicorp member also made nonmonetary contributions to the TransPoint</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limited liability companies with a stated value of $446,250,000 and</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$30,750,000, respectively. The MSFDC, L.L.C. nonmonetary contribution was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the form of software development, goodwill, and tangible and intangible</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assets. The Citicorp member nonmonetary contribution represented an option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to obtain a license of software and intangible assets and no value has been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ascribed to this contribution in the accompanying consolidated financial</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statements.</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4"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LOSS AND CASH FLOW ALLOCATIONS: The allocation of profit and loss and cash flow of MSFDC, L.L.C. and the TransPoint limited liability companies is defined in the respective limited liability company agreements. These agreements generally result in a sharing of ongoing capital contribution requirements and profit and loss based on initial membership interests. Cash distributions are to be made annually in an amount equal to the assumed tax liability of the entities, or if greater, excess cash flow. For financial reporting purposes, losses from the TransPoint limited liability companies have been allocated to MSFDC, L.L.C. and the Citicorp member based on their respective capital account interests of 85% and 15%, respectively. Citicorp loss allocations commenced upon the date of their capital contribution in April 1999.</w:t>
      </w:r>
    </w:p>
    <w:p>
      <w:pPr>
        <w:spacing w:after="0" w:line="180"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UNAUDITED INTERIM FINANCIAL STATEMENTS: The interim financial information contained herein is unaudited but, in the opinion of management, reflects all adjustments which are necessary for a fair presentation of the financial position, results of operations, and cash flows for the periods presented. All such adjustments are of a normal, recurring nature. Results of operations for interim periods presented herein are not necessarily indicative of results of operations for the entire year.</w:t>
      </w:r>
    </w:p>
    <w:p>
      <w:pPr>
        <w:spacing w:after="0" w:line="349"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The unaudited interim financial statements of MSFDC L.L.C. include the accounts of MSFDC International, L.P., which was formed in April 1999. The accounts of MSFDC International, L.P. have been combined with those of MSFDC L.L.C. due to common ownership, and because the entity is being acquired under the same transaction as MSFDC L.L.C. (See Note 4).</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SUMMARY OF SIGNIFICANT ACCOUNTING POLICIES</w:t>
      </w:r>
    </w:p>
    <w:p>
      <w:pPr>
        <w:spacing w:after="0" w:line="176" w:lineRule="exact"/>
        <w:rPr>
          <w:sz w:val="20"/>
          <w:szCs w:val="20"/>
          <w:color w:val="auto"/>
        </w:rPr>
      </w:pPr>
    </w:p>
    <w:p>
      <w:pPr>
        <w:ind w:left="440" w:right="3259"/>
        <w:spacing w:after="0" w:line="241" w:lineRule="auto"/>
        <w:rPr>
          <w:sz w:val="20"/>
          <w:szCs w:val="20"/>
          <w:color w:val="auto"/>
        </w:rPr>
      </w:pPr>
      <w:r>
        <w:rPr>
          <w:rFonts w:ascii="Courier New" w:cs="Courier New" w:eastAsia="Courier New" w:hAnsi="Courier New"/>
          <w:sz w:val="15"/>
          <w:szCs w:val="15"/>
          <w:color w:val="auto"/>
        </w:rPr>
        <w:t>CONSOLIDATION: The financial statements include all majority and wholly owned subsidiaries (collectively, the Company). Intercompany balances and transactions have been eliminated in consolidation.</w:t>
      </w:r>
    </w:p>
    <w:p>
      <w:pPr>
        <w:spacing w:after="0" w:line="176" w:lineRule="exact"/>
        <w:rPr>
          <w:sz w:val="20"/>
          <w:szCs w:val="20"/>
          <w:color w:val="auto"/>
        </w:rPr>
      </w:pPr>
    </w:p>
    <w:p>
      <w:pPr>
        <w:jc w:val="both"/>
        <w:ind w:left="440" w:right="3159"/>
        <w:spacing w:after="0" w:line="241" w:lineRule="auto"/>
        <w:rPr>
          <w:sz w:val="20"/>
          <w:szCs w:val="20"/>
          <w:color w:val="auto"/>
        </w:rPr>
      </w:pPr>
      <w:r>
        <w:rPr>
          <w:rFonts w:ascii="Courier New" w:cs="Courier New" w:eastAsia="Courier New" w:hAnsi="Courier New"/>
          <w:sz w:val="15"/>
          <w:szCs w:val="15"/>
          <w:color w:val="auto"/>
        </w:rPr>
        <w:t>MINORITY INTEREST: Citicorp's capital contributions and share of losses in the TransPoint limited liability companies has been recorded as a minority interest.</w:t>
      </w:r>
    </w:p>
    <w:p>
      <w:pPr>
        <w:spacing w:after="0" w:line="176" w:lineRule="exact"/>
        <w:rPr>
          <w:sz w:val="20"/>
          <w:szCs w:val="20"/>
          <w:color w:val="auto"/>
        </w:rPr>
      </w:pPr>
    </w:p>
    <w:p>
      <w:pPr>
        <w:ind w:left="440" w:right="3259"/>
        <w:spacing w:after="0" w:line="242"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reported amounts and related disclosures. Actual results could differ from those estimates.</w:t>
      </w:r>
    </w:p>
    <w:p>
      <w:pPr>
        <w:spacing w:after="0" w:line="175"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PROPERTY AND EQUIPMENT: Property and equipment is carried at cost, less accumulated depreciation, and consists primarily of computers and related technical equipment. Depreciation is provided utilizing the straight-line method over the estimated useful lives of the assets, which range from one year to 3 years.</w:t>
      </w:r>
    </w:p>
    <w:p>
      <w:pPr>
        <w:spacing w:after="0" w:line="175"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The carrying value of equipment is reviewed periodically for impairment. If the carrying amount of the asset is not recoverable, the asset is considered to be impaired and the value is adjusted to the estimated fair value.</w:t>
      </w:r>
    </w:p>
    <w:p>
      <w:pPr>
        <w:spacing w:after="0" w:line="175" w:lineRule="exact"/>
        <w:rPr>
          <w:sz w:val="20"/>
          <w:szCs w:val="20"/>
          <w:color w:val="auto"/>
        </w:rPr>
      </w:pPr>
    </w:p>
    <w:p>
      <w:pPr>
        <w:ind w:left="440" w:right="3259"/>
        <w:spacing w:after="0" w:line="265" w:lineRule="auto"/>
        <w:rPr>
          <w:sz w:val="20"/>
          <w:szCs w:val="20"/>
          <w:color w:val="auto"/>
        </w:rPr>
      </w:pPr>
      <w:r>
        <w:rPr>
          <w:rFonts w:ascii="Courier New" w:cs="Courier New" w:eastAsia="Courier New" w:hAnsi="Courier New"/>
          <w:sz w:val="14"/>
          <w:szCs w:val="14"/>
          <w:color w:val="auto"/>
        </w:rPr>
        <w:t>INCOME TAXES: As a limited liability company, the Company is treated as a partnership for federal and state income tax purposes and its income or loss is taxable directly to its members. Accordingly, the accompanying financial statements do not include any income tax provisions.</w:t>
      </w:r>
    </w:p>
    <w:p>
      <w:pPr>
        <w:spacing w:after="0" w:line="332" w:lineRule="exact"/>
        <w:rPr>
          <w:sz w:val="20"/>
          <w:szCs w:val="20"/>
          <w:color w:val="auto"/>
        </w:rPr>
      </w:pPr>
    </w:p>
    <w:p>
      <w:pPr>
        <w:ind w:left="440" w:right="3259"/>
        <w:spacing w:after="0" w:line="242" w:lineRule="auto"/>
        <w:rPr>
          <w:sz w:val="20"/>
          <w:szCs w:val="20"/>
          <w:color w:val="auto"/>
        </w:rPr>
      </w:pPr>
      <w:r>
        <w:rPr>
          <w:rFonts w:ascii="Courier New" w:cs="Courier New" w:eastAsia="Courier New" w:hAnsi="Courier New"/>
          <w:sz w:val="15"/>
          <w:szCs w:val="15"/>
          <w:color w:val="auto"/>
        </w:rPr>
        <w:t>PRODUCT DEVELOPMENT: Product development costs are expensed as incurred. Statement of Financial Accounting Standards (SFAS) No. 86, Accounting for the Costs of Computer Software to be Sold, Leased or Otherwise Marketed, does not materially affect the Company.</w:t>
      </w:r>
    </w:p>
    <w:p>
      <w:pPr>
        <w:spacing w:after="0" w:line="175" w:lineRule="exact"/>
        <w:rPr>
          <w:sz w:val="20"/>
          <w:szCs w:val="20"/>
          <w:color w:val="auto"/>
        </w:rPr>
      </w:pPr>
    </w:p>
    <w:p>
      <w:pPr>
        <w:ind w:left="440" w:right="3259"/>
        <w:spacing w:after="0" w:line="260" w:lineRule="auto"/>
        <w:rPr>
          <w:sz w:val="20"/>
          <w:szCs w:val="20"/>
          <w:color w:val="auto"/>
        </w:rPr>
      </w:pPr>
      <w:r>
        <w:rPr>
          <w:rFonts w:ascii="Courier New" w:cs="Courier New" w:eastAsia="Courier New" w:hAnsi="Courier New"/>
          <w:sz w:val="14"/>
          <w:szCs w:val="14"/>
          <w:color w:val="auto"/>
        </w:rPr>
        <w:t>RECENT ACCOUNTING PRONOUNCEMENT: In March 1998, the American Institute of Certified Public Accountants (AICPA) issued Statement of Position (SOP)</w:t>
      </w:r>
    </w:p>
    <w:p>
      <w:pPr>
        <w:ind w:left="440" w:right="3159"/>
        <w:spacing w:after="0" w:line="242" w:lineRule="auto"/>
        <w:rPr>
          <w:sz w:val="20"/>
          <w:szCs w:val="20"/>
          <w:color w:val="auto"/>
        </w:rPr>
      </w:pPr>
      <w:r>
        <w:rPr>
          <w:rFonts w:ascii="Courier New" w:cs="Courier New" w:eastAsia="Courier New" w:hAnsi="Courier New"/>
          <w:sz w:val="15"/>
          <w:szCs w:val="15"/>
          <w:color w:val="auto"/>
        </w:rPr>
        <w:t>98-1, "Accounting for the Costs of Computer Software Developed or Obtained for Internal Use." SOP 98-1 requires capitalization and amortization of costs relating to internal-use software, and was adopted by the Company beginning July 3, 1999. The adoption of SOP 98-1 resulted in the capitalization of approximately $9.4 million in costs through December 31, 1999 (unaudited). Capitalized costs include direct labor and related overhead for software developed by the Company and the cost of software purchased from third parties.</w:t>
      </w:r>
    </w:p>
    <w:p>
      <w:pPr>
        <w:spacing w:after="0" w:line="177"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As of December 31, 1999, the Company has not yet commenced amortization of any of its capitalized software costs as the software is not ready for its intended use. Amortization of capitalized software costs will be calculated using the straight-line method commencing when the software is ready for its intended use. Quarterly, the Company reviews and measures any impairment in accordance with the provisions of SFAS No. 121, "Accounting for the Impairment of Long-Lived Assets and for Long-Lived Assets to Be Disposed Of."</w:t>
      </w:r>
    </w:p>
    <w:p>
      <w:pPr>
        <w:sectPr>
          <w:pgSz w:w="11900" w:h="16838" w:orient="portrait"/>
          <w:cols w:equalWidth="0" w:num="1">
            <w:col w:w="10219"/>
          </w:cols>
          <w:pgMar w:left="240" w:top="289" w:right="1440" w:bottom="687" w:gutter="0" w:footer="0" w:header="0"/>
        </w:sectPr>
      </w:pPr>
    </w:p>
    <w:p>
      <w:pPr>
        <w:spacing w:after="0" w:line="34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19"/>
          </w:cols>
          <w:pgMar w:left="240" w:top="289" w:right="1440" w:bottom="687"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RELATED PARTY TRANSACTIONS AND COMMITMENTS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COSTS AND REIMBURSEMENTS: The MS member and the FDC member</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provide certain operational services, some of which are reimbursed by the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Company. Selling, general, and administrative expenses related to these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services provided by the MS member and the FDC member for the year ended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July 2, 1999, totaled $2,248,000 and $11,601,000, respectively, and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$7,338,000 and $7,080,000, respectively, for the period from June 18, 1997</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(inception) to July 3, 1998.</w:t>
      </w:r>
    </w:p>
    <w:p>
      <w:pPr>
        <w:spacing w:after="0" w:line="176" w:lineRule="exact"/>
        <w:rPr>
          <w:sz w:val="20"/>
          <w:szCs w:val="20"/>
          <w:color w:val="auto"/>
        </w:rPr>
      </w:pPr>
    </w:p>
    <w:p>
      <w:pPr>
        <w:ind w:left="440" w:right="3259"/>
        <w:spacing w:after="0" w:line="242" w:lineRule="auto"/>
        <w:rPr>
          <w:sz w:val="20"/>
          <w:szCs w:val="20"/>
          <w:color w:val="auto"/>
        </w:rPr>
      </w:pPr>
      <w:r>
        <w:rPr>
          <w:rFonts w:ascii="Courier New" w:cs="Courier New" w:eastAsia="Courier New" w:hAnsi="Courier New"/>
          <w:sz w:val="15"/>
          <w:szCs w:val="15"/>
          <w:color w:val="auto"/>
        </w:rPr>
        <w:t>Services related to selling, general, and administrative expenses for the six-month periods ended December 31, 1999 and 1998 (unaudited) totaled $10,461,000 and $895,000, respectively, for the MS member and $2,798,000 and $5,809,000, respectively, for the FDC member.</w:t>
      </w:r>
    </w:p>
    <w:p>
      <w:pPr>
        <w:spacing w:after="0" w:line="175" w:lineRule="exact"/>
        <w:rPr>
          <w:sz w:val="20"/>
          <w:szCs w:val="20"/>
          <w:color w:val="auto"/>
        </w:rPr>
      </w:pPr>
    </w:p>
    <w:p>
      <w:pPr>
        <w:ind w:left="440" w:right="3259"/>
        <w:spacing w:after="0" w:line="242" w:lineRule="auto"/>
        <w:rPr>
          <w:sz w:val="20"/>
          <w:szCs w:val="20"/>
          <w:color w:val="auto"/>
        </w:rPr>
      </w:pPr>
      <w:r>
        <w:rPr>
          <w:rFonts w:ascii="Courier New" w:cs="Courier New" w:eastAsia="Courier New" w:hAnsi="Courier New"/>
          <w:sz w:val="15"/>
          <w:szCs w:val="15"/>
          <w:color w:val="auto"/>
        </w:rPr>
        <w:t>RESEARCH AND DEVELOPMENT COSTS AND REIMBURSEMENTS: The MS member and the FDC member perform certain research and development activities, some of which are reimbursed by the Company. Research and development expenses related to these activities performed by the MS member and the FDC member for the year ended July 2, 1999, and the period from June 18, 1997 (inception) to July 3, 1998, totaled $18,886,000 and $4,279,000, respectively, and $6,502,000 and $3,155,000, respectively.</w:t>
      </w:r>
    </w:p>
    <w:p>
      <w:pPr>
        <w:spacing w:after="0" w:line="177"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Research and development costs for the six-month periods ended December 31, 1999 and 1998 (unaudited) totaled $10,522,000 and $-0-, respectively, for the MS member and $8,422,000 and $2,022,000, respectively, for the FDC member. Of research and development costs incurred during the six-month period ended December 31, 1999, $9,439,000 (unaudited) was capitalized under SOP 98-1 as software developed for internal use.</w:t>
      </w:r>
    </w:p>
    <w:p>
      <w:pPr>
        <w:spacing w:after="0" w:line="176" w:lineRule="exact"/>
        <w:rPr>
          <w:sz w:val="20"/>
          <w:szCs w:val="20"/>
          <w:color w:val="auto"/>
        </w:rPr>
      </w:pPr>
    </w:p>
    <w:p>
      <w:pPr>
        <w:ind w:left="440" w:right="3259"/>
        <w:spacing w:after="0" w:line="242" w:lineRule="auto"/>
        <w:rPr>
          <w:sz w:val="20"/>
          <w:szCs w:val="20"/>
          <w:color w:val="auto"/>
        </w:rPr>
      </w:pPr>
      <w:r>
        <w:rPr>
          <w:rFonts w:ascii="Courier New" w:cs="Courier New" w:eastAsia="Courier New" w:hAnsi="Courier New"/>
          <w:sz w:val="15"/>
          <w:szCs w:val="15"/>
          <w:color w:val="auto"/>
        </w:rPr>
        <w:t>ACCOUNTS PAYABLE: Accounts payable includes $11,722,000 and $4,407,000 to the MS member and the FDC member, respectively, as of July 2, 1999, and $2,569,000 and $2,582,000 to the MS member and the FDC member, respectively, as of July 3, 1998.</w:t>
      </w:r>
    </w:p>
    <w:p>
      <w:pPr>
        <w:spacing w:after="0" w:line="175"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Accounts payable as of December 31, 1999 (unaudited) includes $11,352,000 and $956,000 for the MS member and FDC member,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SUBSEQUENT EVENT</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On February 15, 2000, the Company entered into an agreement to be acquired. Under the terms of the agreement, the members have agreed to fund the Company with $100 million in cash before the closing of the transaction.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34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AS OF DECEMBER 31, 1999</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4"/>
          </w:tcPr>
          <w:p>
            <w:pPr>
              <w:jc w:val="right"/>
              <w:ind w:right="825"/>
              <w:spacing w:after="0"/>
              <w:rPr>
                <w:sz w:val="20"/>
                <w:szCs w:val="20"/>
                <w:color w:val="auto"/>
              </w:rPr>
            </w:pPr>
            <w:r>
              <w:rPr>
                <w:rFonts w:ascii="Courier New" w:cs="Courier New" w:eastAsia="Courier New" w:hAnsi="Courier New"/>
                <w:sz w:val="15"/>
                <w:szCs w:val="15"/>
                <w:color w:val="auto"/>
              </w:rPr>
              <w:t>HISTORICAL AMOUNTS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6"/>
                <w:szCs w:val="6"/>
                <w:color w:val="auto"/>
                <w:w w:val="78"/>
              </w:rPr>
              <w:t>----------------------------------</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 FORMA</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CHECKFREE</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BLUEGILL</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TRANSPOINT</w:t>
            </w: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ADJUSTMENTS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Cash and cash equivalents.................</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$ 152,779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17,040</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$ 19,837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289,656</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Investments...............................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17,015</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17,015</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receivable, net..................</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46,780</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1,804</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48,584</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Prepaid expenses and other assets.........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11,863</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12,011</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8,324</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8,324</w:t>
            </w: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236,761</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18,992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19,837</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100,000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375,590</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Property and equipment, net..................</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80,416</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1,265</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1,445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83,126</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Capitalized software, net....................</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21,584</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9,439</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202,061</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221,184</w:t>
            </w:r>
          </w:p>
        </w:tc>
      </w:tr>
      <w:tr>
        <w:trPr>
          <w:trHeight w:val="172"/>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(11,900)</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Goodwill, net................................</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30,559</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1,059,312</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1,089,871</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Other intangible assets, net.................</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12,795</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576,800</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589,595</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Investments..................................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31,663</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31,663</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Deferred income taxes........................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31,095</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31,095</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Other noncurrent assets......................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12,855</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12,857</w:t>
            </w: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$ 457,728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20,259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$ 30,721</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$1,926,273</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$2,434,981</w:t>
            </w: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2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1,234</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$ 12,181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22,094</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Line of credit............................</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556</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556</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Accrued liabilities.......................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37,494</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1,246</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3,855</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44,764</w:t>
            </w:r>
          </w:p>
        </w:tc>
      </w:tr>
      <w:tr>
        <w:trPr>
          <w:trHeight w:val="172"/>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88,341</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88,341</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Current portion of long-term obligations..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5,069</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5,069</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Deferred revenue..........................</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25,840</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250</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26,762</w:t>
            </w: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current liabilities...............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77,082</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13,677</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93,396</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187,586</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Accrued rent and other.......................</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4,862</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4,862</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 less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current portion............................</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906</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Convertible subordinated notes...............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172,500</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Minority interest............................</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43,061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(43,061)</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Deferred income taxes........................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222,081</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222,081</w:t>
            </w: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255,350</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3,431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56,738</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272,416</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587,935</w:t>
            </w:r>
          </w:p>
        </w:tc>
      </w:tr>
      <w:tr>
        <w:trPr>
          <w:trHeight w:val="344"/>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Redeemable preferred stock...................</w:t>
            </w:r>
          </w:p>
        </w:tc>
        <w:tc>
          <w:tcPr>
            <w:tcW w:w="320" w:type="dxa"/>
            <w:vAlign w:val="bottom"/>
          </w:tcPr>
          <w:p>
            <w:pPr>
              <w:spacing w:after="0"/>
              <w:rPr>
                <w:sz w:val="24"/>
                <w:szCs w:val="2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25,963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(25,963)</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Common stock..............................</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726</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Additional paid-in capital................</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504,058</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1,698</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1,655,868</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2,160,424</w:t>
            </w:r>
          </w:p>
        </w:tc>
      </w:tr>
      <w:tr>
        <w:trPr>
          <w:trHeight w:val="172"/>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(1,200)</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(299)</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Member's capital deficiency...............</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(26,017)</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26,017</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Accumulated deficit.......................</w:t>
            </w:r>
          </w:p>
        </w:tc>
        <w:tc>
          <w:tcPr>
            <w:tcW w:w="32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(301,905)</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(10,207)</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10,207</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(313,805)</w:t>
            </w:r>
          </w:p>
        </w:tc>
      </w:tr>
      <w:tr>
        <w:trPr>
          <w:trHeight w:val="172"/>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(11,900)</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Total stockholders' equity..............</w:t>
            </w:r>
          </w:p>
        </w:tc>
        <w:tc>
          <w:tcPr>
            <w:tcW w:w="32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202,378</w:t>
            </w:r>
          </w:p>
        </w:tc>
        <w:tc>
          <w:tcPr>
            <w:tcW w:w="18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(9,135)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(26,017)</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1,679,820</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1,847,046</w:t>
            </w: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Total liabilities and stockholders'</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equity..............................</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$ 457,728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20,259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$ 30,721</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$1,926,273</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$2,434,981</w:t>
            </w:r>
          </w:p>
        </w:tc>
      </w:tr>
      <w:tr>
        <w:trPr>
          <w:trHeight w:val="172"/>
        </w:trPr>
        <w:tc>
          <w:tcPr>
            <w:tcW w:w="42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PF-1</w:t>
      </w:r>
    </w:p>
    <w:p>
      <w:pPr>
        <w:sectPr>
          <w:pgSz w:w="11900" w:h="16838" w:orient="portrait"/>
          <w:cols w:equalWidth="0" w:num="1">
            <w:col w:w="10360"/>
          </w:cols>
          <w:pgMar w:left="240" w:top="289" w:right="129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FOR THE YEAR ENDED JUNE 30, 1999</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CHECKFREE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BLUEGILL</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TRANSPOINT</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16"/>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Processing and servicing..................</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201,059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$ 201,059</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License fees..............................</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15,975</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2,517</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18,492</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Maintenance fees..........................</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17,746</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17,794</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15,351</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925</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16,276</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250,131</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3,490</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253,621</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Cost of processing, servicing and support.</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146,704</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3,062</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150,735</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21,085</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1,457</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26,560</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49,102</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Sales and marketing.......................</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32,354</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2,318</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11,302</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45,974</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31,466</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2,045</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2,404</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35,915</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24,630</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1,870</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432,714</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459,320</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2,201</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2,201</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expenses.......................</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258,440</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6,895</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45,198</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432,714</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743,247</w:t>
            </w: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gain on dispositions of assets........</w:t>
            </w:r>
          </w:p>
        </w:tc>
        <w:tc>
          <w:tcPr>
            <w:tcW w:w="26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4,576</w:t>
            </w:r>
          </w:p>
        </w:tc>
        <w:tc>
          <w:tcPr>
            <w:tcW w:w="18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4,576</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from operations.........................</w:t>
            </w:r>
          </w:p>
        </w:tc>
        <w:tc>
          <w:tcPr>
            <w:tcW w:w="2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(3,733)</w:t>
            </w:r>
          </w:p>
        </w:tc>
        <w:tc>
          <w:tcPr>
            <w:tcW w:w="18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(3,405)</w:t>
            </w:r>
          </w:p>
        </w:tc>
        <w:tc>
          <w:tcPr>
            <w:tcW w:w="280" w:type="dxa"/>
            <w:vAlign w:val="bottom"/>
          </w:tcPr>
          <w:p>
            <w:pPr>
              <w:spacing w:after="0"/>
              <w:rPr>
                <w:sz w:val="14"/>
                <w:szCs w:val="1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(45,198)</w:t>
            </w: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(432,714)</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(485,050)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2,064</w:t>
            </w:r>
          </w:p>
        </w:tc>
        <w:tc>
          <w:tcPr>
            <w:tcW w:w="320" w:type="dxa"/>
            <w:vAlign w:val="bottom"/>
          </w:tcPr>
          <w:p>
            <w:pPr>
              <w:spacing w:after="0"/>
              <w:rPr>
                <w:sz w:val="14"/>
                <w:szCs w:val="14"/>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(2,064) (5)</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net.............................</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2,181</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194</w:t>
            </w:r>
          </w:p>
        </w:tc>
        <w:tc>
          <w:tcPr>
            <w:tcW w:w="280" w:type="dxa"/>
            <w:vAlign w:val="bottom"/>
          </w:tcPr>
          <w:p>
            <w:pPr>
              <w:spacing w:after="0"/>
              <w:rPr>
                <w:sz w:val="14"/>
                <w:szCs w:val="14"/>
                <w:color w:val="auto"/>
              </w:rPr>
            </w:pPr>
          </w:p>
        </w:tc>
        <w:tc>
          <w:tcPr>
            <w:tcW w:w="8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w:t>
            </w: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2,839</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before income taxes.....................</w:t>
            </w:r>
          </w:p>
        </w:tc>
        <w:tc>
          <w:tcPr>
            <w:tcW w:w="26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(1,552)</w:t>
            </w:r>
          </w:p>
        </w:tc>
        <w:tc>
          <w:tcPr>
            <w:tcW w:w="180" w:type="dxa"/>
            <w:vAlign w:val="bottom"/>
          </w:tcPr>
          <w:p>
            <w:pPr>
              <w:spacing w:after="0"/>
              <w:rPr>
                <w:sz w:val="24"/>
                <w:szCs w:val="2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(3,211)</w:t>
            </w:r>
          </w:p>
        </w:tc>
        <w:tc>
          <w:tcPr>
            <w:tcW w:w="280" w:type="dxa"/>
            <w:vAlign w:val="bottom"/>
          </w:tcPr>
          <w:p>
            <w:pPr>
              <w:spacing w:after="0"/>
              <w:rPr>
                <w:sz w:val="24"/>
                <w:szCs w:val="24"/>
                <w:color w:val="auto"/>
              </w:rPr>
            </w:pP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(42,670)</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6"/>
              </w:rPr>
              <w:t>(434,778)</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(482,211)</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tax benefit...........................</w:t>
            </w:r>
          </w:p>
        </w:tc>
        <w:tc>
          <w:tcPr>
            <w:tcW w:w="26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(12,009)</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(88,341) (4)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(100,350)</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(3,211)</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(42,670)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$(346,437)</w:t>
            </w:r>
          </w:p>
        </w:tc>
        <w:tc>
          <w:tcPr>
            <w:tcW w:w="4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$(381,861)</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52,444</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20,205</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72,649</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56,529</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16,120</w:t>
            </w:r>
          </w:p>
        </w:tc>
        <w:tc>
          <w:tcPr>
            <w:tcW w:w="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72,649</w:t>
            </w:r>
          </w:p>
        </w:tc>
      </w:tr>
      <w:tr>
        <w:trPr>
          <w:trHeight w:val="172"/>
        </w:trPr>
        <w:tc>
          <w:tcPr>
            <w:tcW w:w="42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PF-2</w:t>
      </w:r>
    </w:p>
    <w:p>
      <w:pPr>
        <w:sectPr>
          <w:pgSz w:w="11900" w:h="16838" w:orient="portrait"/>
          <w:cols w:equalWidth="0" w:num="1">
            <w:col w:w="10360"/>
          </w:cols>
          <w:pgMar w:left="240" w:top="289" w:right="1299"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18"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FOR THE SIX MONTHS ENDED DECEMBER 31, 1999</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6"/>
                <w:szCs w:val="6"/>
                <w:color w:val="auto"/>
                <w:w w:val="80"/>
              </w:rPr>
              <w: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CHECKFREE</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BLUEGILL</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TRANSPOINT</w:t>
            </w:r>
          </w:p>
        </w:tc>
        <w:tc>
          <w:tcPr>
            <w:tcW w:w="180" w:type="dxa"/>
            <w:vAlign w:val="bottom"/>
          </w:tcPr>
          <w:p>
            <w:pPr>
              <w:spacing w:after="0"/>
              <w:rPr>
                <w:sz w:val="14"/>
                <w:szCs w:val="14"/>
                <w:color w:val="auto"/>
              </w:rPr>
            </w:pP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ADJUSTMENTS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Processing and servicing..................</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120,931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120,934</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License fees..............................</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6,197</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2,231</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6,428</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Maintenance fees..........................</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8,956</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9,180</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5,905</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622</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6,527</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revenues.......................</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141,989</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3,077</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145,069</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Cost of processing, servicing and support.</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86,899</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789</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7,616</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95,304</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15,110</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1,226</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1,521</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17,857</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Sales and marketing.......................</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18,577</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3,132</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7,799</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29,508</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General and administrative................</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19,287</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3,193</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1,267</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23,747</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14,756</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1,610</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193,857</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(4)</w:t>
            </w: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210,370</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expenses.......................</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154,629</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8,487</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19,813</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193,857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376,786</w:t>
            </w:r>
          </w:p>
        </w:tc>
      </w:tr>
      <w:tr>
        <w:trPr>
          <w:trHeight w:val="344"/>
        </w:trPr>
        <w:tc>
          <w:tcPr>
            <w:tcW w:w="42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Net gain on dispositions of assets</w:t>
            </w:r>
          </w:p>
        </w:tc>
        <w:tc>
          <w:tcPr>
            <w:tcW w:w="26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6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(12,640)</w:t>
            </w:r>
          </w:p>
        </w:tc>
        <w:tc>
          <w:tcPr>
            <w:tcW w:w="12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(5,410)</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(19,810)</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(193,857)</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(231,717)</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2,876</w:t>
            </w:r>
          </w:p>
        </w:tc>
        <w:tc>
          <w:tcPr>
            <w:tcW w:w="180" w:type="dxa"/>
            <w:vAlign w:val="bottom"/>
          </w:tcPr>
          <w:p>
            <w:pPr>
              <w:spacing w:after="0"/>
              <w:rPr>
                <w:sz w:val="14"/>
                <w:szCs w:val="14"/>
                <w:color w:val="auto"/>
              </w:rPr>
            </w:pP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(2,876) (5)</w:t>
            </w: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net.............................</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143</w:t>
            </w:r>
          </w:p>
        </w:tc>
        <w:tc>
          <w:tcPr>
            <w:tcW w:w="12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911</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1,451</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before income taxes.....................</w:t>
            </w:r>
          </w:p>
        </w:tc>
        <w:tc>
          <w:tcPr>
            <w:tcW w:w="26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(12,497)</w:t>
            </w:r>
          </w:p>
        </w:tc>
        <w:tc>
          <w:tcPr>
            <w:tcW w:w="12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(5,013)</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(16,023)</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(196,733)</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(230,266)</w:t>
            </w: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tax benefit...........................</w:t>
            </w:r>
          </w:p>
        </w:tc>
        <w:tc>
          <w:tcPr>
            <w:tcW w:w="260" w:type="dxa"/>
            <w:vAlign w:val="bottom"/>
          </w:tcPr>
          <w:p>
            <w:pPr>
              <w:spacing w:after="0"/>
              <w:rPr>
                <w:sz w:val="24"/>
                <w:szCs w:val="2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(4,592)</w:t>
            </w:r>
          </w:p>
        </w:tc>
        <w:tc>
          <w:tcPr>
            <w:tcW w:w="12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(35,170) (4)</w:t>
            </w:r>
          </w:p>
        </w:tc>
        <w:tc>
          <w:tcPr>
            <w:tcW w:w="220" w:type="dxa"/>
            <w:vAlign w:val="bottom"/>
          </w:tcPr>
          <w:p>
            <w:pPr>
              <w:spacing w:after="0"/>
              <w:rPr>
                <w:sz w:val="24"/>
                <w:szCs w:val="2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(39,762)</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(7,905)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(16,023)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(161,563)</w:t>
            </w:r>
          </w:p>
        </w:tc>
        <w:tc>
          <w:tcPr>
            <w:tcW w:w="36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(190,504)</w:t>
            </w:r>
          </w:p>
        </w:tc>
      </w:tr>
      <w:tr>
        <w:trPr>
          <w:trHeight w:val="172"/>
        </w:trPr>
        <w:tc>
          <w:tcPr>
            <w:tcW w:w="4200" w:type="dxa"/>
            <w:vAlign w:val="bottom"/>
          </w:tcPr>
          <w:p>
            <w:pPr>
              <w:spacing w:after="0"/>
              <w:rPr>
                <w:sz w:val="14"/>
                <w:szCs w:val="14"/>
                <w:color w:val="auto"/>
              </w:rPr>
            </w:pPr>
          </w:p>
        </w:tc>
        <w:tc>
          <w:tcPr>
            <w:tcW w:w="4920" w:type="dxa"/>
            <w:vAlign w:val="bottom"/>
            <w:gridSpan w:val="8"/>
          </w:tcPr>
          <w:p>
            <w:pPr>
              <w:ind w:left="180"/>
              <w:spacing w:after="0"/>
              <w:rPr>
                <w:sz w:val="20"/>
                <w:szCs w:val="20"/>
                <w:color w:val="auto"/>
              </w:rPr>
            </w:pPr>
            <w:r>
              <w:rPr>
                <w:rFonts w:ascii="Courier New" w:cs="Courier New" w:eastAsia="Courier New" w:hAnsi="Courier New"/>
                <w:sz w:val="15"/>
                <w:szCs w:val="15"/>
                <w:color w:val="auto"/>
                <w:w w:val="98"/>
              </w:rPr>
              <w:t>============ =========== ============ ===============</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(2.64)</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20,205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w:t>
            </w: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72,228</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(0.15)</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(2.64)</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52,023</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20,205</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88"/>
              </w:rPr>
              <w:t>(1)</w:t>
            </w:r>
          </w:p>
        </w:tc>
        <w:tc>
          <w:tcPr>
            <w:tcW w:w="22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72,228</w:t>
            </w:r>
          </w:p>
        </w:tc>
      </w:tr>
      <w:tr>
        <w:trPr>
          <w:trHeight w:val="172"/>
        </w:trPr>
        <w:tc>
          <w:tcPr>
            <w:tcW w:w="42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c>
          <w:tcPr>
            <w:tcW w:w="3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PF-3</w:t>
      </w:r>
    </w:p>
    <w:p>
      <w:pPr>
        <w:sectPr>
          <w:pgSz w:w="11900" w:h="16838" w:orient="portrait"/>
          <w:cols w:equalWidth="0" w:num="1">
            <w:col w:w="10720"/>
          </w:cols>
          <w:pgMar w:left="240" w:top="289" w:right="939"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176" w:lineRule="exact"/>
        <w:rPr>
          <w:sz w:val="20"/>
          <w:szCs w:val="20"/>
          <w:color w:val="auto"/>
        </w:rPr>
      </w:pPr>
    </w:p>
    <w:p>
      <w:pPr>
        <w:ind w:right="3079" w:firstLine="439"/>
        <w:spacing w:after="0" w:line="242" w:lineRule="auto"/>
        <w:tabs>
          <w:tab w:leader="none" w:pos="71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options and related direct acquisition expenses as the total purchase price for the net assets of BlueGill and TransPoint, and the elimination of BlueGill's redeemable preferred stock and stockholders' equity and the revaluation of TransPoint's capitalized software costs and the elimination of TransPoint's minority interest and member's capital deficiency. The fair market values of intangible assets are preliminary estimates based on independent appraisals and current facts and circumstances. The final value of intangible assets will change with any change in the final purchase price of either BlueGill or TransPoint or both and any resulting change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326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(in thousands)</w:t>
            </w:r>
          </w:p>
        </w:tc>
      </w:tr>
      <w:tr>
        <w:trPr>
          <w:trHeight w:val="688"/>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Cash.............................................</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100,000</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Capitalized software, net........................</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202,061</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Goodwill, net....................................</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1,059,312</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Other intangible assets, net.....................</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576,800</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BlueGill redeemable preferred stock..............</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25,963</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BlueGill common stock............................</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BlueGill additional paid in capital..............</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1,698</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TransPoint minority interest.....................</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43,061</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CheckFree common stock......................</w:t>
            </w:r>
          </w:p>
        </w:tc>
        <w:tc>
          <w:tcPr>
            <w:tcW w:w="182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202</w:t>
            </w: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CheckFree additional paid in capital........</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1,657,566</w:t>
            </w: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BlueGill accumulated deficit................</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10,207</w:t>
            </w: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BlueGill other equity.......................</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632</w:t>
            </w: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TransPoint member's capital deficiency......</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26,017</w:t>
            </w: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Current deferred income tax liability.......</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88,341</w:t>
            </w: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Long-term deferred income tax liability.....</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222,081</w:t>
            </w:r>
          </w:p>
        </w:tc>
      </w:tr>
      <w:tr>
        <w:trPr>
          <w:trHeight w:val="172"/>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Accrued acquisition expenses................</w:t>
            </w: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3,855</w:t>
            </w:r>
          </w:p>
        </w:tc>
      </w:tr>
      <w:tr>
        <w:trPr>
          <w:trHeight w:val="172"/>
        </w:trPr>
        <w:tc>
          <w:tcPr>
            <w:tcW w:w="4800" w:type="dxa"/>
            <w:vAlign w:val="bottom"/>
          </w:tcPr>
          <w:p>
            <w:pPr>
              <w:spacing w:after="0"/>
              <w:rPr>
                <w:sz w:val="14"/>
                <w:szCs w:val="14"/>
                <w:color w:val="auto"/>
              </w:rPr>
            </w:pP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480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8"/>
              </w:rPr>
              <w:t>Totals...........................................</w:t>
            </w:r>
          </w:p>
        </w:tc>
        <w:tc>
          <w:tcPr>
            <w:tcW w:w="18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$ 2,008,901</w:t>
            </w:r>
          </w:p>
        </w:tc>
        <w:tc>
          <w:tcPr>
            <w:tcW w:w="280" w:type="dxa"/>
            <w:vAlign w:val="bottom"/>
          </w:tcPr>
          <w:p>
            <w:pPr>
              <w:spacing w:after="0"/>
              <w:rPr>
                <w:sz w:val="24"/>
                <w:szCs w:val="2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$2,008,901</w:t>
            </w:r>
          </w:p>
        </w:tc>
      </w:tr>
      <w:tr>
        <w:trPr>
          <w:trHeight w:val="172"/>
        </w:trPr>
        <w:tc>
          <w:tcPr>
            <w:tcW w:w="4800" w:type="dxa"/>
            <w:vAlign w:val="bottom"/>
          </w:tcPr>
          <w:p>
            <w:pPr>
              <w:spacing w:after="0"/>
              <w:rPr>
                <w:sz w:val="14"/>
                <w:szCs w:val="14"/>
                <w:color w:val="auto"/>
              </w:rPr>
            </w:pP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bl>
    <w:p>
      <w:pPr>
        <w:spacing w:after="0" w:line="348"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The following chart indicates the components of the estimated purchase prices of the acquisitions inherent in the adjusting entry:</w:t>
      </w:r>
    </w:p>
    <w:p>
      <w:pPr>
        <w:sectPr>
          <w:pgSz w:w="11900" w:h="16838" w:orient="portrait"/>
          <w:cols w:equalWidth="0" w:num="1">
            <w:col w:w="10219"/>
          </w:cols>
          <w:pgMar w:left="240" w:top="289" w:right="1440" w:bottom="8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60"/>
        <w:spacing w:after="0"/>
        <w:rPr>
          <w:sz w:val="20"/>
          <w:szCs w:val="20"/>
          <w:color w:val="auto"/>
        </w:rPr>
      </w:pPr>
      <w:r>
        <w:rPr>
          <w:rFonts w:ascii="Courier New" w:cs="Courier New" w:eastAsia="Courier New" w:hAnsi="Courier New"/>
          <w:sz w:val="15"/>
          <w:szCs w:val="15"/>
          <w:color w:val="auto"/>
        </w:rPr>
        <w:t>BLUEGILL</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ACQUISITION</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TRANSPOINT</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ACQUISITION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COMBINED</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3">
            <w:col w:w="6440" w:space="340"/>
            <w:col w:w="1360" w:space="340"/>
            <w:col w:w="1739"/>
          </w:cols>
          <w:pgMar w:left="240" w:top="289" w:right="1440" w:bottom="85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CheckFree common stock..........................</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CheckFree options...................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TransPoint cash infusion........................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Estimated direct acquisition costs..............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298,244</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9,441</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530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$1,350,083</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(100,000)</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3,325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$1,684,327</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9,441</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(100,000)</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3,855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4">
            <w:col w:w="4460" w:space="720"/>
            <w:col w:w="1260" w:space="340"/>
            <w:col w:w="1360" w:space="340"/>
            <w:col w:w="1739"/>
          </w:cols>
          <w:pgMar w:left="240" w:top="289" w:right="1440" w:bottom="85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estimated purchase price.............</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308,215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$1,253,408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$1,561,623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4460" w:space="720"/>
            <w:col w:w="1260" w:space="340"/>
            <w:col w:w="1360" w:space="340"/>
            <w:col w:w="1739"/>
          </w:cols>
          <w:pgMar w:left="240" w:top="289" w:right="1440" w:bottom="850" w:gutter="0" w:footer="0" w:header="0"/>
          <w:type w:val="continuous"/>
        </w:sectPr>
      </w:pPr>
    </w:p>
    <w:p>
      <w:pPr>
        <w:spacing w:after="0" w:line="148"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combined estimated purchase price will be issued in exchange for the net assets of BlueGill and TransPoint on their respective closing dates.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purchase price of BlueGill reflects the assumed issuance of 3,205,128 shares of our common stock at $93.05 per share which is the average closing price of our stock for the three trading days preceding and the three trading days following the announcement of the acquisition.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 changes in the risk-free rate and volatility of our stock between the date of this information statement/prospectus and the closing of the merger.</w:t>
      </w:r>
    </w:p>
    <w:p>
      <w:pPr>
        <w:spacing w:after="0" w:line="1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PF-4</w:t>
      </w:r>
    </w:p>
    <w:p>
      <w:pPr>
        <w:sectPr>
          <w:pgSz w:w="11900" w:h="16838" w:orient="portrait"/>
          <w:cols w:equalWidth="0" w:num="1">
            <w:col w:w="10219"/>
          </w:cols>
          <w:pgMar w:left="240" w:top="289" w:right="1440" w:bottom="85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purchase price of TransPoint reflects the assumed issuance of 17,000,000 shares of our common stock at $79.42 per share, which is the average end of day price of our stock for the three trading days preceding and the three days following the announcement of the acquisition. Under the terms of the merger and contribution agreement, TransPoint is to be funded with $100 million in cash immediately prior to the closing of the transaction.</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following table provides the preliminary allocation of the purchase price inherent in the adjusting entry: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thousands)</w:t>
            </w:r>
          </w:p>
        </w:tc>
        <w:tc>
          <w:tcPr>
            <w:tcW w:w="152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BLUEGILL</w:t>
            </w:r>
          </w:p>
        </w:tc>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TRANSPOINT</w:t>
            </w:r>
          </w:p>
        </w:tc>
        <w:tc>
          <w:tcPr>
            <w:tcW w:w="152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ACQUISITION</w:t>
            </w:r>
          </w:p>
        </w:tc>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ACQUISITION</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500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In process research and development................</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11,900</w:t>
            </w:r>
          </w:p>
        </w:tc>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11,900</w:t>
            </w:r>
          </w:p>
        </w:tc>
      </w:tr>
      <w:tr>
        <w:trPr>
          <w:trHeight w:val="172"/>
        </w:trPr>
        <w:tc>
          <w:tcPr>
            <w:tcW w:w="5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Current technologies and products..................</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14,600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185,000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199,600</w:t>
            </w:r>
          </w:p>
        </w:tc>
      </w:tr>
      <w:tr>
        <w:trPr>
          <w:trHeight w:val="172"/>
        </w:trPr>
        <w:tc>
          <w:tcPr>
            <w:tcW w:w="500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Sub-total capitalized software, net..........</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26,500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185,000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211,500</w:t>
            </w:r>
          </w:p>
        </w:tc>
      </w:tr>
      <w:tr>
        <w:trPr>
          <w:trHeight w:val="344"/>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Goodwill, net......................................</w:t>
            </w:r>
          </w:p>
        </w:tc>
        <w:tc>
          <w:tcPr>
            <w:tcW w:w="540" w:type="dxa"/>
            <w:vAlign w:val="bottom"/>
          </w:tcPr>
          <w:p>
            <w:pPr>
              <w:spacing w:after="0"/>
              <w:rPr>
                <w:sz w:val="24"/>
                <w:szCs w:val="2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253,309</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806,003</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1,059,312</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Workforce in place..............................</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2,600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2,600</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Customer list...................................</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10,200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35,200</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Tradename.......................................</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14,800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43,800</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Strategic agreements............................</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494,000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494,000</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Covenants not to compete........................</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1,200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1,200</w:t>
            </w:r>
          </w:p>
        </w:tc>
      </w:tr>
      <w:tr>
        <w:trPr>
          <w:trHeight w:val="172"/>
        </w:trPr>
        <w:tc>
          <w:tcPr>
            <w:tcW w:w="500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Sub-total other intangible assets............</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28,800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548,000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576,800</w:t>
            </w:r>
          </w:p>
        </w:tc>
      </w:tr>
      <w:tr>
        <w:trPr>
          <w:trHeight w:val="344"/>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Deferred income taxes..............................</w:t>
            </w:r>
          </w:p>
        </w:tc>
        <w:tc>
          <w:tcPr>
            <w:tcW w:w="540" w:type="dxa"/>
            <w:vAlign w:val="bottom"/>
          </w:tcPr>
          <w:p>
            <w:pPr>
              <w:spacing w:after="0"/>
              <w:rPr>
                <w:sz w:val="24"/>
                <w:szCs w:val="2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(17,222)</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(293,200)</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(310,422)</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assets of respective company:</w:t>
            </w: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Cash and cash equivalents.......................</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17,040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19,838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36,878</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Property and equipment..........................</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1,265</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1,445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2,710</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Other, net......................................</w:t>
            </w:r>
          </w:p>
        </w:tc>
        <w:tc>
          <w:tcPr>
            <w:tcW w:w="54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(1,477)</w:t>
            </w:r>
          </w:p>
        </w:tc>
        <w:tc>
          <w:tcPr>
            <w:tcW w:w="17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(13,678)</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(15,155)</w:t>
            </w:r>
          </w:p>
        </w:tc>
      </w:tr>
      <w:tr>
        <w:trPr>
          <w:trHeight w:val="172"/>
        </w:trPr>
        <w:tc>
          <w:tcPr>
            <w:tcW w:w="500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Sub-total net assets.........................</w:t>
            </w:r>
          </w:p>
        </w:tc>
        <w:tc>
          <w:tcPr>
            <w:tcW w:w="54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16,828</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7,605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24,433</w:t>
            </w:r>
          </w:p>
        </w:tc>
      </w:tr>
      <w:tr>
        <w:trPr>
          <w:trHeight w:val="172"/>
        </w:trPr>
        <w:tc>
          <w:tcPr>
            <w:tcW w:w="500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Total purchase price...............................</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308,215</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$1,253,408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$1,561,623</w:t>
            </w:r>
          </w:p>
        </w:tc>
      </w:tr>
      <w:tr>
        <w:trPr>
          <w:trHeight w:val="172"/>
        </w:trPr>
        <w:tc>
          <w:tcPr>
            <w:tcW w:w="500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Details of specific technologies and the related useful lives of all intangible assets are described in the Notes to Unaudited Pro Forma Condensed Combining Financial Information for CheckFree and BlueGill on page PF-12 and CheckFree and TransPoint on page PF-22.</w:t>
      </w:r>
    </w:p>
    <w:p>
      <w:pPr>
        <w:spacing w:after="0" w:line="175" w:lineRule="exact"/>
        <w:rPr>
          <w:sz w:val="20"/>
          <w:szCs w:val="20"/>
          <w:color w:val="auto"/>
        </w:rPr>
      </w:pPr>
    </w:p>
    <w:p>
      <w:pPr>
        <w:ind w:right="3079" w:firstLine="439"/>
        <w:spacing w:after="0" w:line="262" w:lineRule="auto"/>
        <w:tabs>
          <w:tab w:leader="none" w:pos="716"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the balance of in-process research and development. As the amounts are non-deductible for federal and state tax purposes, there is no related income tax benefit resulting from the charge. Refer to Note B in the Notes to Unaudited Pro Forma Condensed Combining Financial Information for CheckFree and BlueGill on page PF-13 and CheckFree and TransPoint on page PF-23 for a detailed description of in-process research and development for the respective acquisition. The amount of in-process research and development is $11.9 million for BlueGill and $0 million for TransPoint.</w:t>
      </w:r>
    </w:p>
    <w:p>
      <w:pPr>
        <w:spacing w:after="0" w:line="200" w:lineRule="exact"/>
        <w:rPr>
          <w:sz w:val="20"/>
          <w:szCs w:val="20"/>
          <w:color w:val="auto"/>
        </w:rPr>
      </w:pPr>
    </w:p>
    <w:p>
      <w:pPr>
        <w:spacing w:after="0" w:line="305"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516"/>
        </w:trPr>
        <w:tc>
          <w:tcPr>
            <w:tcW w:w="37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Accumulated deficit..................</w:t>
            </w:r>
          </w:p>
        </w:tc>
        <w:tc>
          <w:tcPr>
            <w:tcW w:w="2500" w:type="dxa"/>
            <w:vAlign w:val="bottom"/>
          </w:tcPr>
          <w:p>
            <w:pPr>
              <w:jc w:val="right"/>
              <w:ind w:right="1345"/>
              <w:spacing w:after="0"/>
              <w:rPr>
                <w:sz w:val="20"/>
                <w:szCs w:val="20"/>
                <w:color w:val="auto"/>
              </w:rPr>
            </w:pPr>
            <w:r>
              <w:rPr>
                <w:rFonts w:ascii="Courier New" w:cs="Courier New" w:eastAsia="Courier New" w:hAnsi="Courier New"/>
                <w:sz w:val="15"/>
                <w:szCs w:val="15"/>
                <w:color w:val="auto"/>
              </w:rPr>
              <w:t>$11,900</w:t>
            </w:r>
          </w:p>
        </w:tc>
      </w:tr>
      <w:tr>
        <w:trPr>
          <w:trHeight w:val="172"/>
        </w:trPr>
        <w:tc>
          <w:tcPr>
            <w:tcW w:w="37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Capitalized software, net.......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$11,900</w:t>
            </w:r>
          </w:p>
        </w:tc>
      </w:tr>
    </w:tbl>
    <w:p>
      <w:pPr>
        <w:spacing w:after="0" w:line="348" w:lineRule="exact"/>
        <w:rPr>
          <w:sz w:val="20"/>
          <w:szCs w:val="20"/>
          <w:color w:val="auto"/>
        </w:rPr>
      </w:pPr>
    </w:p>
    <w:p>
      <w:pPr>
        <w:ind w:right="3439" w:firstLine="439"/>
        <w:spacing w:after="0"/>
        <w:tabs>
          <w:tab w:leader="none" w:pos="80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 of $525,000 and for TransPoint of $675,000.</w:t>
      </w:r>
    </w:p>
    <w:p>
      <w:pPr>
        <w:spacing w:after="0" w:line="200" w:lineRule="exact"/>
        <w:rPr>
          <w:sz w:val="20"/>
          <w:szCs w:val="20"/>
          <w:color w:val="auto"/>
        </w:rPr>
      </w:pPr>
    </w:p>
    <w:p>
      <w:pPr>
        <w:spacing w:after="0" w:line="318"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25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36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Additional paid-in capital..........</w:t>
            </w:r>
          </w:p>
        </w:tc>
        <w:tc>
          <w:tcPr>
            <w:tcW w:w="250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  1,200</w:t>
            </w:r>
          </w:p>
        </w:tc>
      </w:tr>
      <w:tr>
        <w:trPr>
          <w:trHeight w:val="172"/>
        </w:trPr>
        <w:tc>
          <w:tcPr>
            <w:tcW w:w="36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Accrued liabilities............</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  1,200</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32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PF-5</w:t>
      </w:r>
    </w:p>
    <w:p>
      <w:pPr>
        <w:sectPr>
          <w:pgSz w:w="11900" w:h="16838" w:orient="portrait"/>
          <w:cols w:equalWidth="0" w:num="1">
            <w:col w:w="10219"/>
          </w:cols>
          <w:pgMar w:left="240" w:top="289"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339" w:firstLine="439"/>
        <w:spacing w:after="0"/>
        <w:tabs>
          <w:tab w:leader="none" w:pos="71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4"/>
                <w:szCs w:val="14"/>
                <w:color w:val="auto"/>
              </w:rPr>
            </w:pPr>
          </w:p>
        </w:tc>
      </w:tr>
      <w:tr>
        <w:trPr>
          <w:trHeight w:val="344"/>
        </w:trPr>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4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BLUEGILL</w:t>
            </w: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TRANSPOINT</w:t>
            </w:r>
          </w:p>
        </w:tc>
        <w:tc>
          <w:tcPr>
            <w:tcW w:w="22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ADJUSTMENT</w:t>
            </w:r>
          </w:p>
        </w:tc>
      </w:tr>
      <w:tr>
        <w:trPr>
          <w:trHeight w:val="172"/>
        </w:trPr>
        <w:tc>
          <w:tcPr>
            <w:tcW w:w="442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0"/>
              </w:rPr>
              <w:t>--------------</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42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Depreciation and amortization...................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73,713</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$ 359,001</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$ 432,714</w:t>
            </w:r>
          </w:p>
        </w:tc>
        <w:tc>
          <w:tcPr>
            <w:tcW w:w="1000" w:type="dxa"/>
            <w:vAlign w:val="bottom"/>
          </w:tcPr>
          <w:p>
            <w:pPr>
              <w:spacing w:after="0"/>
              <w:rPr>
                <w:sz w:val="14"/>
                <w:szCs w:val="14"/>
                <w:color w:val="auto"/>
              </w:rPr>
            </w:pP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9,221</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79,120</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88,341</w:t>
            </w:r>
          </w:p>
        </w:tc>
        <w:tc>
          <w:tcPr>
            <w:tcW w:w="1000" w:type="dxa"/>
            <w:vAlign w:val="bottom"/>
          </w:tcPr>
          <w:p>
            <w:pPr>
              <w:spacing w:after="0"/>
              <w:rPr>
                <w:sz w:val="14"/>
                <w:szCs w:val="14"/>
                <w:color w:val="auto"/>
              </w:rPr>
            </w:pP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Capitalized software, 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4,145</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61,667</w:t>
            </w:r>
          </w:p>
        </w:tc>
        <w:tc>
          <w:tcPr>
            <w:tcW w:w="1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65,812</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Goodwill, 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50,662</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161,201</w:t>
            </w:r>
          </w:p>
        </w:tc>
        <w:tc>
          <w:tcPr>
            <w:tcW w:w="1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211,863</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intangible assets, 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18,906</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136,133</w:t>
            </w:r>
          </w:p>
        </w:tc>
        <w:tc>
          <w:tcPr>
            <w:tcW w:w="1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155,039</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tax benefit..........................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9,221</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79,120</w:t>
            </w:r>
          </w:p>
        </w:tc>
        <w:tc>
          <w:tcPr>
            <w:tcW w:w="1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88,341</w:t>
            </w:r>
          </w:p>
        </w:tc>
      </w:tr>
      <w:tr>
        <w:trPr>
          <w:trHeight w:val="172"/>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Total...........................................</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$ 521,055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$ 521,055</w:t>
            </w:r>
          </w:p>
        </w:tc>
      </w:tr>
      <w:tr>
        <w:trPr>
          <w:trHeight w:val="172"/>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Depreciation and amortization...................</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28,857</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$ 165,000</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$ 193,857</w:t>
            </w:r>
          </w:p>
        </w:tc>
        <w:tc>
          <w:tcPr>
            <w:tcW w:w="1000" w:type="dxa"/>
            <w:vAlign w:val="bottom"/>
          </w:tcPr>
          <w:p>
            <w:pPr>
              <w:spacing w:after="0"/>
              <w:rPr>
                <w:sz w:val="14"/>
                <w:szCs w:val="14"/>
                <w:color w:val="auto"/>
              </w:rPr>
            </w:pP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33,760</w:t>
            </w: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35,170</w:t>
            </w:r>
          </w:p>
        </w:tc>
        <w:tc>
          <w:tcPr>
            <w:tcW w:w="1000" w:type="dxa"/>
            <w:vAlign w:val="bottom"/>
          </w:tcPr>
          <w:p>
            <w:pPr>
              <w:spacing w:after="0"/>
              <w:rPr>
                <w:sz w:val="14"/>
                <w:szCs w:val="14"/>
                <w:color w:val="auto"/>
              </w:rPr>
            </w:pP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Capitalized software, 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1,453</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30,833</w:t>
            </w:r>
          </w:p>
        </w:tc>
        <w:tc>
          <w:tcPr>
            <w:tcW w:w="1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$ 32,286</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Goodwill, 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25,331</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80,600</w:t>
            </w:r>
          </w:p>
        </w:tc>
        <w:tc>
          <w:tcPr>
            <w:tcW w:w="1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intangible assets, 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2,073</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53,567</w:t>
            </w:r>
          </w:p>
        </w:tc>
        <w:tc>
          <w:tcPr>
            <w:tcW w:w="1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55,640</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tax benefit..........................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33,760</w:t>
            </w:r>
          </w:p>
        </w:tc>
        <w:tc>
          <w:tcPr>
            <w:tcW w:w="1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35,170</w:t>
            </w:r>
          </w:p>
        </w:tc>
      </w:tr>
      <w:tr>
        <w:trPr>
          <w:trHeight w:val="172"/>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Total...........................................</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$ 229,027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$ 229,027</w:t>
            </w:r>
          </w:p>
        </w:tc>
      </w:tr>
      <w:tr>
        <w:trPr>
          <w:trHeight w:val="172"/>
        </w:trPr>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5" w:lineRule="exact"/>
        <w:rPr>
          <w:sz w:val="20"/>
          <w:szCs w:val="20"/>
          <w:color w:val="auto"/>
        </w:rPr>
      </w:pPr>
    </w:p>
    <w:p>
      <w:pPr>
        <w:ind w:right="3159" w:firstLine="797"/>
        <w:spacing w:after="0" w:line="241" w:lineRule="auto"/>
        <w:tabs>
          <w:tab w:leader="none" w:pos="107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07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BlueGill's historical loss, TransPoint's historical loss and the combined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both BlueGill and TransPoint.</w:t>
      </w:r>
    </w:p>
    <w:p>
      <w:pPr>
        <w:spacing w:after="0" w:line="200" w:lineRule="exact"/>
        <w:rPr>
          <w:sz w:val="20"/>
          <w:szCs w:val="20"/>
          <w:color w:val="auto"/>
        </w:rPr>
      </w:pPr>
    </w:p>
    <w:p>
      <w:pPr>
        <w:spacing w:after="0" w:line="321"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CheckFree common shares issued for:</w:t>
            </w:r>
          </w:p>
        </w:tc>
        <w:tc>
          <w:tcPr>
            <w:tcW w:w="1800" w:type="dxa"/>
            <w:vAlign w:val="bottom"/>
          </w:tcPr>
          <w:p>
            <w:pPr>
              <w:spacing w:after="0"/>
              <w:rPr>
                <w:sz w:val="14"/>
                <w:szCs w:val="14"/>
                <w:color w:val="auto"/>
              </w:rPr>
            </w:pPr>
          </w:p>
        </w:tc>
      </w:tr>
      <w:tr>
        <w:trPr>
          <w:trHeight w:val="344"/>
        </w:trPr>
        <w:tc>
          <w:tcPr>
            <w:tcW w:w="5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TransPoint.....................................</w:t>
            </w:r>
          </w:p>
        </w:tc>
        <w:tc>
          <w:tcPr>
            <w:tcW w:w="1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17,000</w:t>
            </w:r>
          </w:p>
        </w:tc>
      </w:tr>
      <w:tr>
        <w:trPr>
          <w:trHeight w:val="172"/>
        </w:trPr>
        <w:tc>
          <w:tcPr>
            <w:tcW w:w="5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BlueGill.......................................</w:t>
            </w:r>
          </w:p>
        </w:tc>
        <w:tc>
          <w:tcPr>
            <w:tcW w:w="1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3,205</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1800" w:type="dxa"/>
            <w:vAlign w:val="bottom"/>
          </w:tcPr>
          <w:p>
            <w:pPr>
              <w:spacing w:after="0"/>
              <w:rPr>
                <w:sz w:val="14"/>
                <w:szCs w:val="14"/>
                <w:color w:val="auto"/>
              </w:rPr>
            </w:pPr>
          </w:p>
        </w:tc>
      </w:tr>
      <w:tr>
        <w:trPr>
          <w:trHeight w:val="172"/>
        </w:trPr>
        <w:tc>
          <w:tcPr>
            <w:tcW w:w="5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Options and warrants...........................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(4,085)</w:t>
            </w:r>
          </w:p>
        </w:tc>
      </w:tr>
      <w:tr>
        <w:trPr>
          <w:trHeight w:val="172"/>
        </w:trPr>
        <w:tc>
          <w:tcPr>
            <w:tcW w:w="5180" w:type="dxa"/>
            <w:vAlign w:val="bottom"/>
          </w:tcPr>
          <w:p>
            <w:pPr>
              <w:spacing w:after="0"/>
              <w:rPr>
                <w:sz w:val="14"/>
                <w:szCs w:val="14"/>
                <w:color w:val="auto"/>
              </w:rPr>
            </w:pPr>
          </w:p>
        </w:tc>
        <w:tc>
          <w:tcPr>
            <w:tcW w:w="1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Net adjustment to dilutive shares outstanding.......</w:t>
            </w:r>
          </w:p>
        </w:tc>
        <w:tc>
          <w:tcPr>
            <w:tcW w:w="1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16,120</w:t>
            </w:r>
          </w:p>
        </w:tc>
      </w:tr>
      <w:tr>
        <w:trPr>
          <w:trHeight w:val="172"/>
        </w:trPr>
        <w:tc>
          <w:tcPr>
            <w:tcW w:w="5180" w:type="dxa"/>
            <w:vAlign w:val="bottom"/>
          </w:tcPr>
          <w:p>
            <w:pPr>
              <w:spacing w:after="0"/>
              <w:rPr>
                <w:sz w:val="14"/>
                <w:szCs w:val="14"/>
                <w:color w:val="auto"/>
              </w:rPr>
            </w:pPr>
          </w:p>
        </w:tc>
        <w:tc>
          <w:tcPr>
            <w:tcW w:w="1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6" w:lineRule="exact"/>
        <w:rPr>
          <w:sz w:val="20"/>
          <w:szCs w:val="20"/>
          <w:color w:val="auto"/>
        </w:rPr>
      </w:pPr>
    </w:p>
    <w:p>
      <w:pPr>
        <w:ind w:left="800" w:right="3079" w:firstLine="447"/>
        <w:spacing w:after="0" w:line="262" w:lineRule="auto"/>
        <w:rPr>
          <w:sz w:val="20"/>
          <w:szCs w:val="20"/>
          <w:color w:val="auto"/>
        </w:rPr>
      </w:pPr>
      <w:r>
        <w:rPr>
          <w:rFonts w:ascii="Courier New" w:cs="Courier New" w:eastAsia="Courier New" w:hAnsi="Courier New"/>
          <w:sz w:val="14"/>
          <w:szCs w:val="14"/>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acquisitions of BlueGill and TransPoint; that the pro forma adjustments give appropriate effect to those assumptions; and that the pro forma adjustments are properly applied in the Unaudited Pro Forma Condensed Combining Balance Sheet and Statement of Operations.</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PF-6</w:t>
      </w:r>
    </w:p>
    <w:p>
      <w:pPr>
        <w:sectPr>
          <w:pgSz w:w="11900" w:h="16838" w:orient="portrait"/>
          <w:cols w:equalWidth="0" w:num="1">
            <w:col w:w="10219"/>
          </w:cols>
          <w:pgMar w:left="240" w:top="28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35</w:t>
      </w:r>
    </w:p>
    <w:p>
      <w:pPr>
        <w:spacing w:after="0" w:line="4" w:lineRule="exact"/>
        <w:rPr>
          <w:sz w:val="20"/>
          <w:szCs w:val="20"/>
          <w:color w:val="auto"/>
        </w:rPr>
      </w:pPr>
    </w:p>
    <w:p>
      <w:pPr>
        <w:ind w:left="540" w:right="3159" w:firstLine="447"/>
        <w:spacing w:after="0" w:line="242" w:lineRule="auto"/>
        <w:rPr>
          <w:sz w:val="20"/>
          <w:szCs w:val="20"/>
          <w:color w:val="auto"/>
        </w:rPr>
      </w:pPr>
      <w:r>
        <w:rPr>
          <w:rFonts w:ascii="Courier New" w:cs="Courier New" w:eastAsia="Courier New" w:hAnsi="Courier New"/>
          <w:sz w:val="15"/>
          <w:szCs w:val="15"/>
          <w:color w:val="auto"/>
        </w:rPr>
        <w:t>Note B: The Unaudited Pro Forma Condensed Combining Balance Sheet of CheckFree, BlueGill and TransPoint has been prepared as if the mergers were completed as of December 31, 1999 and were accounted for as purchases.</w:t>
      </w:r>
    </w:p>
    <w:p>
      <w:pPr>
        <w:spacing w:after="0" w:line="347" w:lineRule="exact"/>
        <w:rPr>
          <w:sz w:val="20"/>
          <w:szCs w:val="20"/>
          <w:color w:val="auto"/>
        </w:rPr>
      </w:pPr>
    </w:p>
    <w:p>
      <w:pPr>
        <w:ind w:left="540" w:right="3079" w:firstLine="447"/>
        <w:spacing w:after="0" w:line="261" w:lineRule="auto"/>
        <w:rPr>
          <w:sz w:val="20"/>
          <w:szCs w:val="20"/>
          <w:color w:val="auto"/>
        </w:rPr>
      </w:pPr>
      <w:r>
        <w:rPr>
          <w:rFonts w:ascii="Courier New" w:cs="Courier New" w:eastAsia="Courier New" w:hAnsi="Courier New"/>
          <w:sz w:val="14"/>
          <w:szCs w:val="14"/>
          <w:color w:val="auto"/>
        </w:rPr>
        <w:t>The number of CheckFree common shares to be issued in the BlueGill merger will depend on a number of factors as specified in Note F in the Notes to Unaudited Pro Forma Condensed Combining Information with BlueGill on page PF-16. We have assumed for purposes of these pro forma financial statements that 3,205,128 shares of CheckFree common stock will be issued with a fair market value of $93.05 per share. The excess of fair value over the strike price of options issued per the merger agreement carry a value of $9,441,000. We expect to incur $530,000 of direct acquisition costs. The total purchase price of $308,215,128 was allocated to the assets acquired and liabilities assumed based on BlueGill's December 31, 1999 balance sheet.</w:t>
      </w:r>
    </w:p>
    <w:p>
      <w:pPr>
        <w:spacing w:after="0" w:line="339" w:lineRule="exact"/>
        <w:rPr>
          <w:sz w:val="20"/>
          <w:szCs w:val="20"/>
          <w:color w:val="auto"/>
        </w:rPr>
      </w:pPr>
    </w:p>
    <w:p>
      <w:pPr>
        <w:ind w:left="540" w:right="3079" w:firstLine="447"/>
        <w:spacing w:after="0" w:line="242" w:lineRule="auto"/>
        <w:rPr>
          <w:sz w:val="20"/>
          <w:szCs w:val="20"/>
          <w:color w:val="auto"/>
        </w:rPr>
      </w:pPr>
      <w:r>
        <w:rPr>
          <w:rFonts w:ascii="Courier New" w:cs="Courier New" w:eastAsia="Courier New" w:hAnsi="Courier New"/>
          <w:sz w:val="15"/>
          <w:szCs w:val="15"/>
          <w:color w:val="auto"/>
        </w:rPr>
        <w:t>We will issue 17,000,000 shares of our common stock at an assumed value of $79.42 for the net assets of TransPoint. Under the merger and contribution agreement, TransPoint is to be funded with $100 million of cash immediately prior to the closing of the transaction. We expect to incur approximately $3,325,000 of direct acquisition costs. The total purchase price of $1,253,408,000 was allocated to assets acquired and liabilities assumed based on TransPoint's December 31, 1999 balance sheet.</w:t>
      </w:r>
    </w:p>
    <w:p>
      <w:pPr>
        <w:spacing w:after="0" w:line="177" w:lineRule="exact"/>
        <w:rPr>
          <w:sz w:val="20"/>
          <w:szCs w:val="20"/>
          <w:color w:val="auto"/>
        </w:rPr>
      </w:pPr>
    </w:p>
    <w:p>
      <w:pPr>
        <w:ind w:left="540" w:right="3079" w:firstLine="447"/>
        <w:spacing w:after="0" w:line="242" w:lineRule="auto"/>
        <w:rPr>
          <w:sz w:val="20"/>
          <w:szCs w:val="20"/>
          <w:color w:val="auto"/>
        </w:rPr>
      </w:pPr>
      <w:r>
        <w:rPr>
          <w:rFonts w:ascii="Courier New" w:cs="Courier New" w:eastAsia="Courier New" w:hAnsi="Courier New"/>
          <w:sz w:val="15"/>
          <w:szCs w:val="15"/>
          <w:color w:val="auto"/>
        </w:rPr>
        <w:t>The allocation of the BlueGill and TransPoint purchase prices among their related identifiable tangible and intangible assets and purchased in-process research and development is based on preliminary estimates of the fair market value of those assets. Final determination of the allocation of the purchase prices will be based on independent appraisals that we expect to have completed shortly after the respective mergers are consummated. For a detailed description of in-process research and development charges, see Note B for BlueGill on page PF-13 and Note B for TransPoint on page PF-23.</w:t>
      </w:r>
    </w:p>
    <w:p>
      <w:pPr>
        <w:spacing w:after="0" w:line="178" w:lineRule="exact"/>
        <w:rPr>
          <w:sz w:val="20"/>
          <w:szCs w:val="20"/>
          <w:color w:val="auto"/>
        </w:rPr>
      </w:pPr>
    </w:p>
    <w:p>
      <w:pPr>
        <w:ind w:left="540" w:right="3259" w:firstLine="447"/>
        <w:spacing w:after="0" w:line="242" w:lineRule="auto"/>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and the TransPoint statement of operations for the twelve months ended June 30, 1999. Our statement of operations for the six month period ended December 31, 1999 has been combined with the BlueGill statement of operations and the TransPoint statement of operations for the six months ended December 31, 1999. Actual statements of operations of CheckFree and BlueGill, and CheckFree and TransPoint will be combined from the effective date of the respective merger, with no retroactive restatement.</w:t>
      </w:r>
    </w:p>
    <w:p>
      <w:pPr>
        <w:spacing w:after="0" w:line="179" w:lineRule="exact"/>
        <w:rPr>
          <w:sz w:val="20"/>
          <w:szCs w:val="20"/>
          <w:color w:val="auto"/>
        </w:rPr>
      </w:pPr>
    </w:p>
    <w:p>
      <w:pPr>
        <w:ind w:left="540" w:right="3079" w:firstLine="447"/>
        <w:spacing w:after="0" w:line="242" w:lineRule="auto"/>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BlueGill and TransPoint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mergers taken place as of July 1, 1998.</w:t>
      </w:r>
    </w:p>
    <w:p>
      <w:pPr>
        <w:spacing w:after="0" w:line="177" w:lineRule="exact"/>
        <w:rPr>
          <w:sz w:val="20"/>
          <w:szCs w:val="20"/>
          <w:color w:val="auto"/>
        </w:rPr>
      </w:pPr>
    </w:p>
    <w:p>
      <w:pPr>
        <w:ind w:left="540" w:right="3079" w:firstLine="447"/>
        <w:spacing w:after="0" w:line="263" w:lineRule="auto"/>
        <w:rPr>
          <w:sz w:val="20"/>
          <w:szCs w:val="20"/>
          <w:color w:val="auto"/>
        </w:rPr>
      </w:pPr>
      <w:r>
        <w:rPr>
          <w:rFonts w:ascii="Courier New" w:cs="Courier New" w:eastAsia="Courier New" w:hAnsi="Courier New"/>
          <w:sz w:val="14"/>
          <w:szCs w:val="14"/>
          <w:color w:val="auto"/>
        </w:rPr>
        <w:t>Note E: The unaudited pro forma condensed combining statement of operations do not include a charge for the value of the estimated $11.9 million (no income tax effect) of purchased research and development arising from the merger with BlueGill, which will be expensed at acquisition, as such expense will have no continuing impact.</w:t>
      </w:r>
    </w:p>
    <w:p>
      <w:pPr>
        <w:spacing w:after="0" w:line="33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PF-7</w:t>
      </w:r>
    </w:p>
    <w:p>
      <w:pPr>
        <w:sectPr>
          <w:pgSz w:w="11900" w:h="16838" w:orient="portrait"/>
          <w:cols w:equalWidth="0" w:num="1">
            <w:col w:w="9959"/>
          </w:cols>
          <w:pgMar w:left="50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2"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2"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WITH BLUEGILL</w:t>
      </w:r>
    </w:p>
    <w:p>
      <w:pPr>
        <w:spacing w:after="0" w:line="2"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AS OF DECEMBER 31, 1999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60"/>
        </w:trPr>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HISTORICAL AMOUNTS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0"/>
              </w:rPr>
              <w: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CHECKFREE</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BLUEGILL</w:t>
            </w:r>
          </w:p>
        </w:tc>
        <w:tc>
          <w:tcPr>
            <w:tcW w:w="48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152,779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17,040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169,819</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Investments...............................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17,015</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17,015</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Accounts receivable, net..................</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46,780</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1,804</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48,584</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Prepaid expenses and other assets.........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11,863</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148</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12,011</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8,324</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8,324</w:t>
            </w: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 current assets.................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236,761</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18,992</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255,753</w:t>
            </w:r>
          </w:p>
        </w:tc>
      </w:tr>
      <w:tr>
        <w:trPr>
          <w:trHeight w:val="344"/>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Property and equipment, net..................</w:t>
            </w:r>
          </w:p>
        </w:tc>
        <w:tc>
          <w:tcPr>
            <w:tcW w:w="36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80,416</w:t>
            </w:r>
          </w:p>
        </w:tc>
        <w:tc>
          <w:tcPr>
            <w:tcW w:w="44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1,265</w:t>
            </w:r>
          </w:p>
        </w:tc>
        <w:tc>
          <w:tcPr>
            <w:tcW w:w="48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81,681</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Capitalized software, net....................</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21,584</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26,500</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36,184</w:t>
            </w:r>
          </w:p>
        </w:tc>
      </w:t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(11,900)</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14"/>
                <w:szCs w:val="14"/>
                <w:color w:val="auto"/>
              </w:rPr>
            </w:pP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Goodwill, net................................</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30,559</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253,309</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283,868</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Other intangible assets, net.................</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12,795</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28,800</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41,595</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Investments..................................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31,663</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31,663</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Deferred income taxes........................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31,095</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31,095</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Other noncurrent assets......................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12,855</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12,857</w:t>
            </w: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457,728</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20,259</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296,709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774,696</w:t>
            </w: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2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Accounts payable..........................</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8,679</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1,234</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9,913</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Line of credit............................</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556</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556</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37,494</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969</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530</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39,518</w:t>
            </w:r>
          </w:p>
        </w:tc>
      </w:t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525</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spacing w:after="0"/>
              <w:rPr>
                <w:sz w:val="14"/>
                <w:szCs w:val="14"/>
                <w:color w:val="auto"/>
              </w:rPr>
            </w:pP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9,221</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9,221</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Current portion of long-term obligations..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5,069</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5,069</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25,840</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672</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26,512</w:t>
            </w: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 current liabilities.............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77,082</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3,431</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10,276</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90,789</w:t>
            </w:r>
          </w:p>
        </w:tc>
      </w:tr>
      <w:tr>
        <w:trPr>
          <w:trHeight w:val="344"/>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Accrued rent and other.......................</w:t>
            </w:r>
          </w:p>
        </w:tc>
        <w:tc>
          <w:tcPr>
            <w:tcW w:w="36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4,862</w:t>
            </w:r>
          </w:p>
        </w:tc>
        <w:tc>
          <w:tcPr>
            <w:tcW w:w="44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4"/>
                <w:szCs w:val="2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4,862</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 less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current portion............................</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906</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Convertible subordinated notes...............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172,500</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Deferred income taxes........................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8,001</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8,001</w:t>
            </w: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 liabilities.....................</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255,350</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3,431</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18,277</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277,058</w:t>
            </w:r>
          </w:p>
        </w:tc>
      </w:tr>
      <w:tr>
        <w:trPr>
          <w:trHeight w:val="344"/>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Redeemable preferred stock...................</w:t>
            </w:r>
          </w:p>
        </w:tc>
        <w:tc>
          <w:tcPr>
            <w:tcW w:w="36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25,963</w:t>
            </w:r>
          </w:p>
        </w:tc>
        <w:tc>
          <w:tcPr>
            <w:tcW w:w="480" w:type="dxa"/>
            <w:vAlign w:val="bottom"/>
          </w:tcPr>
          <w:p>
            <w:pPr>
              <w:spacing w:after="0"/>
              <w:rPr>
                <w:sz w:val="24"/>
                <w:szCs w:val="2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(25,963)</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Common stock..............................</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26</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556</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504,058</w:t>
            </w:r>
          </w:p>
        </w:tc>
        <w:tc>
          <w:tcPr>
            <w:tcW w:w="44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1,698</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305,955</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811,186</w:t>
            </w:r>
          </w:p>
        </w:tc>
      </w:t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(525)</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spacing w:after="0"/>
              <w:rPr>
                <w:sz w:val="14"/>
                <w:szCs w:val="14"/>
                <w:color w:val="auto"/>
              </w:rPr>
            </w:pP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w:t>
            </w:r>
          </w:p>
        </w:tc>
        <w:tc>
          <w:tcPr>
            <w:tcW w:w="44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(632)</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632</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Accumulated deficit.......................</w:t>
            </w:r>
          </w:p>
        </w:tc>
        <w:tc>
          <w:tcPr>
            <w:tcW w:w="3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(301,905)</w:t>
            </w:r>
          </w:p>
        </w:tc>
        <w:tc>
          <w:tcPr>
            <w:tcW w:w="44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(10,207)</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10,207</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(313,805)</w:t>
            </w:r>
          </w:p>
        </w:tc>
      </w:tr>
      <w:tr>
        <w:trPr>
          <w:trHeight w:val="172"/>
        </w:trPr>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(11,900)</w:t>
            </w:r>
          </w:p>
        </w:tc>
        <w:tc>
          <w:tcPr>
            <w:tcW w:w="9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(2)</w:t>
            </w:r>
          </w:p>
        </w:tc>
        <w:tc>
          <w:tcPr>
            <w:tcW w:w="88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 stockholder's equity............</w:t>
            </w: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202,378</w:t>
            </w:r>
          </w:p>
        </w:tc>
        <w:tc>
          <w:tcPr>
            <w:tcW w:w="44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(9,135)</w:t>
            </w:r>
          </w:p>
        </w:tc>
        <w:tc>
          <w:tcPr>
            <w:tcW w:w="480" w:type="dxa"/>
            <w:vAlign w:val="bottom"/>
          </w:tcPr>
          <w:p>
            <w:pPr>
              <w:spacing w:after="0"/>
              <w:rPr>
                <w:sz w:val="14"/>
                <w:szCs w:val="14"/>
                <w:color w:val="auto"/>
              </w:rPr>
            </w:pP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304,395</w:t>
            </w:r>
          </w:p>
        </w:tc>
        <w:tc>
          <w:tcPr>
            <w:tcW w:w="9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497,638</w:t>
            </w: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Total liabilities and stockholders'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4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equity.........................</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457,728</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20,259</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296,709</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774,696</w:t>
            </w:r>
          </w:p>
        </w:tc>
      </w:tr>
      <w:tr>
        <w:trPr>
          <w:trHeight w:val="172"/>
        </w:trPr>
        <w:tc>
          <w:tcPr>
            <w:tcW w:w="428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PF-8</w:t>
      </w:r>
    </w:p>
    <w:p>
      <w:pPr>
        <w:sectPr>
          <w:pgSz w:w="11900" w:h="16838" w:orient="portrait"/>
          <w:cols w:equalWidth="0" w:num="1">
            <w:col w:w="10540"/>
          </w:cols>
          <w:pgMar w:left="240" w:top="289" w:right="1119"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WITH BLUEGILL</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FOR THE YEAR ENDED JUNE 30, 1999</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HISTORICAL AMOUNTS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5"/>
              </w:rPr>
              <w: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CHECKFREE</w:t>
            </w:r>
          </w:p>
        </w:tc>
        <w:tc>
          <w:tcPr>
            <w:tcW w:w="320" w:type="dxa"/>
            <w:vAlign w:val="bottom"/>
          </w:tcPr>
          <w:p>
            <w:pPr>
              <w:spacing w:after="0"/>
              <w:rPr>
                <w:sz w:val="14"/>
                <w:szCs w:val="14"/>
                <w:color w:val="auto"/>
              </w:rPr>
            </w:pP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BLUEGILL</w:t>
            </w:r>
          </w:p>
        </w:tc>
        <w:tc>
          <w:tcPr>
            <w:tcW w:w="30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6"/>
              </w:rPr>
              <w:t>ADJUSTMENTS</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Processing and servicing..................</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201,059</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201,059</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License fees..............................</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15,975</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2,517</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18,492</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Maintenance fees..........................</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17,746</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17,794</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15,351</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925</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16,276</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revenues.......................</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250,131</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3,490</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253,621</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Cost of processing, servicing and support.</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146,704</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969</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147,673</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21,085</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1,457</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22,542</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Sales and marketing.......................</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32,354</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2,318</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34,672</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31,466</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2,045</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33,511</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24,630</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73,713</w:t>
            </w:r>
          </w:p>
        </w:tc>
        <w:tc>
          <w:tcPr>
            <w:tcW w:w="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98,449</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2,201</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2,201</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expenses.......................</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258,440</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6,895</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73,713</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339,048</w:t>
            </w: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gain on dispositions of assets........</w:t>
            </w:r>
          </w:p>
        </w:tc>
        <w:tc>
          <w:tcPr>
            <w:tcW w:w="44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4,576</w:t>
            </w:r>
          </w:p>
        </w:tc>
        <w:tc>
          <w:tcPr>
            <w:tcW w:w="320" w:type="dxa"/>
            <w:vAlign w:val="bottom"/>
          </w:tcPr>
          <w:p>
            <w:pPr>
              <w:spacing w:after="0"/>
              <w:rPr>
                <w:sz w:val="24"/>
                <w:szCs w:val="2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4,576</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from operations.........................</w:t>
            </w:r>
          </w:p>
        </w:tc>
        <w:tc>
          <w:tcPr>
            <w:tcW w:w="4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(3,733)</w:t>
            </w:r>
          </w:p>
        </w:tc>
        <w:tc>
          <w:tcPr>
            <w:tcW w:w="32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(3,405)</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(73,713)</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(80,851)</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net.............................</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2,181</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194</w:t>
            </w: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2,375</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before income taxes.....................</w:t>
            </w:r>
          </w:p>
        </w:tc>
        <w:tc>
          <w:tcPr>
            <w:tcW w:w="4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(1,552)</w:t>
            </w:r>
          </w:p>
        </w:tc>
        <w:tc>
          <w:tcPr>
            <w:tcW w:w="320" w:type="dxa"/>
            <w:vAlign w:val="bottom"/>
          </w:tcPr>
          <w:p>
            <w:pPr>
              <w:spacing w:after="0"/>
              <w:rPr>
                <w:sz w:val="14"/>
                <w:szCs w:val="14"/>
                <w:color w:val="auto"/>
              </w:rPr>
            </w:pP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(3,211)</w:t>
            </w:r>
          </w:p>
        </w:tc>
        <w:tc>
          <w:tcPr>
            <w:tcW w:w="3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(73,713)</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(78,476)</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tax benefit...........................</w:t>
            </w:r>
          </w:p>
        </w:tc>
        <w:tc>
          <w:tcPr>
            <w:tcW w:w="44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(12,009)</w:t>
            </w:r>
          </w:p>
        </w:tc>
        <w:tc>
          <w:tcPr>
            <w:tcW w:w="320" w:type="dxa"/>
            <w:vAlign w:val="bottom"/>
          </w:tcPr>
          <w:p>
            <w:pPr>
              <w:spacing w:after="0"/>
              <w:rPr>
                <w:sz w:val="14"/>
                <w:szCs w:val="14"/>
                <w:color w:val="auto"/>
              </w:rPr>
            </w:pP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(9,221) (4)</w:t>
            </w: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(21,230)</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10,457</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(3,211)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(64,492)</w:t>
            </w:r>
          </w:p>
        </w:tc>
        <w:tc>
          <w:tcPr>
            <w:tcW w:w="520" w:type="dxa"/>
            <w:vAlign w:val="bottom"/>
          </w:tcPr>
          <w:p>
            <w:pPr>
              <w:spacing w:after="0"/>
              <w:rPr>
                <w:sz w:val="24"/>
                <w:szCs w:val="24"/>
                <w:color w:val="auto"/>
              </w:rPr>
            </w:pP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(57,246)</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0.20</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52,444</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3,205</w:t>
            </w:r>
          </w:p>
        </w:tc>
        <w:tc>
          <w:tcPr>
            <w:tcW w:w="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55,649</w:t>
            </w:r>
          </w:p>
        </w:tc>
      </w:tr>
      <w:tr>
        <w:trPr>
          <w:trHeight w:val="172"/>
        </w:trPr>
        <w:tc>
          <w:tcPr>
            <w:tcW w:w="420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w:t>
            </w:r>
          </w:p>
        </w:tc>
        <w:tc>
          <w:tcPr>
            <w:tcW w:w="44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56,529</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(880) (5)</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55,649</w:t>
            </w:r>
          </w:p>
        </w:tc>
      </w:tr>
      <w:tr>
        <w:trPr>
          <w:trHeight w:val="172"/>
        </w:trPr>
        <w:tc>
          <w:tcPr>
            <w:tcW w:w="4200" w:type="dxa"/>
            <w:vAlign w:val="bottom"/>
          </w:tcPr>
          <w:p>
            <w:pPr>
              <w:spacing w:after="0"/>
              <w:rPr>
                <w:sz w:val="14"/>
                <w:szCs w:val="14"/>
                <w:color w:val="auto"/>
              </w:rPr>
            </w:pPr>
          </w:p>
        </w:tc>
        <w:tc>
          <w:tcPr>
            <w:tcW w:w="16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PF-9</w:t>
      </w:r>
    </w:p>
    <w:p>
      <w:pPr>
        <w:sectPr>
          <w:pgSz w:w="11900" w:h="16838" w:orient="portrait"/>
          <w:cols w:equalWidth="0" w:num="1">
            <w:col w:w="10460"/>
          </w:cols>
          <w:pgMar w:left="240" w:top="289" w:right="1199"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34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2"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5"/>
          <w:szCs w:val="15"/>
          <w:color w:val="auto"/>
        </w:rPr>
        <w:t>WITH BLUEGILL</w:t>
      </w:r>
    </w:p>
    <w:p>
      <w:pPr>
        <w:spacing w:after="0" w:line="2"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FOR THE SIX MONTHS ENDED DECEMBER 31, 1999</w:t>
      </w:r>
    </w:p>
    <w:p>
      <w:pPr>
        <w:spacing w:after="0" w:line="2"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HISTORICAL AMOUNTS</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1"/>
                <w:szCs w:val="11"/>
                <w:color w:val="auto"/>
                <w:w w:val="71"/>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6"/>
              </w:rPr>
              <w:t>CHECKFREE</w:t>
            </w:r>
          </w:p>
        </w:tc>
        <w:tc>
          <w:tcPr>
            <w:tcW w:w="22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BLUEGILL</w:t>
            </w:r>
          </w:p>
        </w:tc>
        <w:tc>
          <w:tcPr>
            <w:tcW w:w="30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516"/>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Processing and servicing..................</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120,931</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120,931</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License fees..............................</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6,197</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2,231</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8,428</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Maintenance fees..........................</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8,956</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224</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9,180</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5,905</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622</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6,527</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revenues.......................</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141,989</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3,077</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145,066</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Cost of processing, servicing and support.</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86,899</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789</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87,688</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15,110</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1,226</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16,336</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Sales and marketing.......................</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18,577</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3,132</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21,709</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19,287</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3,193</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22,480</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14,756</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147</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28,857</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(4)</w:t>
            </w: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43,760</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expenses.......................</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154,629</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8,487</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28,857</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191,973</w:t>
            </w: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gain on dispositions of assets........</w:t>
            </w:r>
          </w:p>
        </w:tc>
        <w:tc>
          <w:tcPr>
            <w:tcW w:w="44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from operations.........................</w:t>
            </w:r>
          </w:p>
        </w:tc>
        <w:tc>
          <w:tcPr>
            <w:tcW w:w="44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(12,640)</w:t>
            </w:r>
          </w:p>
        </w:tc>
        <w:tc>
          <w:tcPr>
            <w:tcW w:w="2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(5,410)</w:t>
            </w:r>
          </w:p>
        </w:tc>
        <w:tc>
          <w:tcPr>
            <w:tcW w:w="300" w:type="dxa"/>
            <w:vAlign w:val="bottom"/>
          </w:tcPr>
          <w:p>
            <w:pPr>
              <w:spacing w:after="0"/>
              <w:rPr>
                <w:sz w:val="14"/>
                <w:szCs w:val="14"/>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(28,857)</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(46,907)</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net.............................</w:t>
            </w:r>
          </w:p>
        </w:tc>
        <w:tc>
          <w:tcPr>
            <w:tcW w:w="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397</w:t>
            </w:r>
          </w:p>
        </w:tc>
        <w:tc>
          <w:tcPr>
            <w:tcW w:w="300" w:type="dxa"/>
            <w:vAlign w:val="bottom"/>
          </w:tcPr>
          <w:p>
            <w:pPr>
              <w:spacing w:after="0"/>
              <w:rPr>
                <w:sz w:val="14"/>
                <w:szCs w:val="1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540</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before income taxes.....................</w:t>
            </w:r>
          </w:p>
        </w:tc>
        <w:tc>
          <w:tcPr>
            <w:tcW w:w="44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(12,497)</w:t>
            </w:r>
          </w:p>
        </w:tc>
        <w:tc>
          <w:tcPr>
            <w:tcW w:w="2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(5,013)</w:t>
            </w:r>
          </w:p>
        </w:tc>
        <w:tc>
          <w:tcPr>
            <w:tcW w:w="300" w:type="dxa"/>
            <w:vAlign w:val="bottom"/>
          </w:tcPr>
          <w:p>
            <w:pPr>
              <w:spacing w:after="0"/>
              <w:rPr>
                <w:sz w:val="14"/>
                <w:szCs w:val="14"/>
                <w:color w:val="auto"/>
              </w:rPr>
            </w:pP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(28,857)</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(46,367)</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tax benefit...........................</w:t>
            </w:r>
          </w:p>
        </w:tc>
        <w:tc>
          <w:tcPr>
            <w:tcW w:w="440" w:type="dxa"/>
            <w:vAlign w:val="bottom"/>
          </w:tcPr>
          <w:p>
            <w:pPr>
              <w:spacing w:after="0"/>
              <w:rPr>
                <w:sz w:val="14"/>
                <w:szCs w:val="14"/>
                <w:color w:val="auto"/>
              </w:rPr>
            </w:pP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(4,592)</w:t>
            </w:r>
          </w:p>
        </w:tc>
        <w:tc>
          <w:tcPr>
            <w:tcW w:w="22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6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(1,410) (4)</w:t>
            </w:r>
          </w:p>
        </w:tc>
        <w:tc>
          <w:tcPr>
            <w:tcW w:w="46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(6,002)</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(7,905)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(5,013)</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(27,447)</w:t>
            </w:r>
          </w:p>
        </w:tc>
        <w:tc>
          <w:tcPr>
            <w:tcW w:w="44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(40,365)</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(0.73)</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w:t>
            </w:r>
          </w:p>
        </w:tc>
        <w:tc>
          <w:tcPr>
            <w:tcW w:w="44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3,205</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w:t>
            </w:r>
          </w:p>
        </w:tc>
        <w:tc>
          <w:tcPr>
            <w:tcW w:w="460" w:type="dxa"/>
            <w:vAlign w:val="bottom"/>
          </w:tcPr>
          <w:p>
            <w:pPr>
              <w:spacing w:after="0"/>
              <w:rPr>
                <w:sz w:val="24"/>
                <w:szCs w:val="2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55,228</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(0.73)</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w:t>
            </w:r>
          </w:p>
        </w:tc>
        <w:tc>
          <w:tcPr>
            <w:tcW w:w="440" w:type="dxa"/>
            <w:vAlign w:val="bottom"/>
          </w:tcPr>
          <w:p>
            <w:pPr>
              <w:spacing w:after="0"/>
              <w:rPr>
                <w:sz w:val="24"/>
                <w:szCs w:val="2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3,205</w:t>
            </w:r>
          </w:p>
        </w:tc>
        <w:tc>
          <w:tcPr>
            <w:tcW w:w="4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w:t>
            </w:r>
          </w:p>
        </w:tc>
        <w:tc>
          <w:tcPr>
            <w:tcW w:w="460" w:type="dxa"/>
            <w:vAlign w:val="bottom"/>
          </w:tcPr>
          <w:p>
            <w:pPr>
              <w:spacing w:after="0"/>
              <w:rPr>
                <w:sz w:val="24"/>
                <w:szCs w:val="2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55,228</w:t>
            </w:r>
          </w:p>
        </w:tc>
      </w:tr>
      <w:tr>
        <w:trPr>
          <w:trHeight w:val="172"/>
        </w:trPr>
        <w:tc>
          <w:tcPr>
            <w:tcW w:w="4200" w:type="dxa"/>
            <w:vAlign w:val="bottom"/>
          </w:tcPr>
          <w:p>
            <w:pPr>
              <w:spacing w:after="0"/>
              <w:rPr>
                <w:sz w:val="14"/>
                <w:szCs w:val="14"/>
                <w:color w:val="auto"/>
              </w:rPr>
            </w:pPr>
          </w:p>
        </w:tc>
        <w:tc>
          <w:tcPr>
            <w:tcW w:w="1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PF-10</w:t>
      </w:r>
    </w:p>
    <w:p>
      <w:pPr>
        <w:sectPr>
          <w:pgSz w:w="11900" w:h="16838" w:orient="portrait"/>
          <w:cols w:equalWidth="0" w:num="1">
            <w:col w:w="10720"/>
          </w:cols>
          <w:pgMar w:left="240" w:top="289" w:right="939"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WITH BLUEGILL</w:t>
      </w:r>
    </w:p>
    <w:p>
      <w:pPr>
        <w:spacing w:after="0" w:line="176" w:lineRule="exact"/>
        <w:rPr>
          <w:sz w:val="20"/>
          <w:szCs w:val="20"/>
          <w:color w:val="auto"/>
        </w:rPr>
      </w:pPr>
    </w:p>
    <w:p>
      <w:pPr>
        <w:ind w:right="3079" w:firstLine="439"/>
        <w:spacing w:after="0" w:line="242" w:lineRule="auto"/>
        <w:tabs>
          <w:tab w:leader="none" w:pos="71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CheckFree options and related acquisition expenses as the total purchase price for the net assets of BlueGill, and the elimination of BlueGill's redeemable preferred stock and shareholders' equity.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31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9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Capitalized software, net ......................</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$ 26,500</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Goodwill, net ..................................</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253,309</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Other intangible assets, net ...................</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28,800</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BlueGill redeemable preferred stock ............</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25,963</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BlueGill common stock ..........................</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BlueGill additional paid-in capital ............</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1,698</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CheckFree common stock ...................</w:t>
            </w:r>
          </w:p>
        </w:tc>
        <w:tc>
          <w:tcPr>
            <w:tcW w:w="1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CheckFree additional paid-in capital .....</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307,653</w:t>
            </w: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BlueGill accumulated deficit .............</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10,207</w:t>
            </w: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BlueGill other equity ....................</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Current deferred income tax liability ....</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Long term deferred income tax liability ..</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8,001</w:t>
            </w:r>
          </w:p>
        </w:tc>
      </w:tr>
      <w:tr>
        <w:trPr>
          <w:trHeight w:val="172"/>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Accrued acquisition expenses .............</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2"/>
        </w:trPr>
        <w:tc>
          <w:tcPr>
            <w:tcW w:w="45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Totals .........................................</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$336,276</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$336,276</w:t>
            </w:r>
          </w:p>
        </w:tc>
      </w:tr>
      <w:tr>
        <w:trPr>
          <w:trHeight w:val="172"/>
        </w:trPr>
        <w:tc>
          <w:tcPr>
            <w:tcW w:w="45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318"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(in thousands)</w:t>
      </w:r>
    </w:p>
    <w:p>
      <w:pPr>
        <w:spacing w:after="0" w:line="174" w:lineRule="exact"/>
        <w:rPr>
          <w:sz w:val="20"/>
          <w:szCs w:val="20"/>
          <w:color w:val="auto"/>
        </w:rPr>
      </w:pPr>
    </w:p>
    <w:p>
      <w:pPr>
        <w:ind w:left="440"/>
        <w:spacing w:after="0"/>
        <w:tabs>
          <w:tab w:leader="dot" w:pos="4000" w:val="left"/>
        </w:tabs>
        <w:rPr>
          <w:sz w:val="20"/>
          <w:szCs w:val="20"/>
          <w:color w:val="auto"/>
        </w:rPr>
      </w:pPr>
      <w:r>
        <w:rPr>
          <w:rFonts w:ascii="Courier New" w:cs="Courier New" w:eastAsia="Courier New" w:hAnsi="Courier New"/>
          <w:sz w:val="15"/>
          <w:szCs w:val="15"/>
          <w:color w:val="auto"/>
        </w:rPr>
        <w:t>CheckFree common stock</w:t>
      </w:r>
      <w:r>
        <w:rPr>
          <w:sz w:val="20"/>
          <w:szCs w:val="20"/>
          <w:color w:val="auto"/>
        </w:rPr>
        <w:tab/>
      </w:r>
      <w:r>
        <w:rPr>
          <w:rFonts w:ascii="Courier New" w:cs="Courier New" w:eastAsia="Courier New" w:hAnsi="Courier New"/>
          <w:sz w:val="15"/>
          <w:szCs w:val="15"/>
          <w:color w:val="auto"/>
        </w:rPr>
        <w:t>$298,244</w:t>
      </w:r>
    </w:p>
    <w:p>
      <w:pPr>
        <w:spacing w:after="0" w:line="2" w:lineRule="exact"/>
        <w:rPr>
          <w:sz w:val="20"/>
          <w:szCs w:val="20"/>
          <w:color w:val="auto"/>
        </w:rPr>
      </w:pPr>
    </w:p>
    <w:p>
      <w:pPr>
        <w:ind w:left="440"/>
        <w:spacing w:after="0"/>
        <w:tabs>
          <w:tab w:leader="dot" w:pos="4260" w:val="left"/>
        </w:tabs>
        <w:rPr>
          <w:sz w:val="20"/>
          <w:szCs w:val="20"/>
          <w:color w:val="auto"/>
        </w:rPr>
      </w:pPr>
      <w:r>
        <w:rPr>
          <w:rFonts w:ascii="Courier New" w:cs="Courier New" w:eastAsia="Courier New" w:hAnsi="Courier New"/>
          <w:sz w:val="15"/>
          <w:szCs w:val="15"/>
          <w:color w:val="auto"/>
        </w:rPr>
        <w:t>Issuance of CheckFree options</w:t>
      </w:r>
      <w:r>
        <w:rPr>
          <w:sz w:val="20"/>
          <w:szCs w:val="20"/>
          <w:color w:val="auto"/>
        </w:rPr>
        <w:tab/>
      </w:r>
      <w:r>
        <w:rPr>
          <w:rFonts w:ascii="Courier New" w:cs="Courier New" w:eastAsia="Courier New" w:hAnsi="Courier New"/>
          <w:sz w:val="15"/>
          <w:szCs w:val="15"/>
          <w:color w:val="auto"/>
        </w:rPr>
        <w:t>9,441</w:t>
      </w:r>
    </w:p>
    <w:p>
      <w:pPr>
        <w:spacing w:after="0" w:line="2" w:lineRule="exact"/>
        <w:rPr>
          <w:sz w:val="20"/>
          <w:szCs w:val="20"/>
          <w:color w:val="auto"/>
        </w:rPr>
      </w:pPr>
    </w:p>
    <w:p>
      <w:pPr>
        <w:ind w:left="440"/>
        <w:spacing w:after="0"/>
        <w:tabs>
          <w:tab w:leader="dot" w:pos="4440" w:val="left"/>
        </w:tabs>
        <w:rPr>
          <w:sz w:val="20"/>
          <w:szCs w:val="20"/>
          <w:color w:val="auto"/>
        </w:rPr>
      </w:pPr>
      <w:r>
        <w:rPr>
          <w:rFonts w:ascii="Courier New" w:cs="Courier New" w:eastAsia="Courier New" w:hAnsi="Courier New"/>
          <w:sz w:val="15"/>
          <w:szCs w:val="15"/>
          <w:color w:val="auto"/>
        </w:rPr>
        <w:t>Estimated direct acquisition costs</w:t>
      </w:r>
      <w:r>
        <w:rPr>
          <w:sz w:val="20"/>
          <w:szCs w:val="20"/>
          <w:color w:val="auto"/>
        </w:rPr>
        <w:tab/>
      </w:r>
      <w:r>
        <w:rPr>
          <w:rFonts w:ascii="Courier New" w:cs="Courier New" w:eastAsia="Courier New" w:hAnsi="Courier New"/>
          <w:sz w:val="15"/>
          <w:szCs w:val="15"/>
          <w:color w:val="auto"/>
        </w:rPr>
        <w:t>530</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5479"/>
        <w:spacing w:after="0"/>
        <w:tabs>
          <w:tab w:leader="none" w:pos="3100" w:val="left"/>
        </w:tabs>
        <w:rPr>
          <w:sz w:val="20"/>
          <w:szCs w:val="20"/>
          <w:color w:val="auto"/>
        </w:rPr>
      </w:pPr>
      <w:r>
        <w:rPr>
          <w:rFonts w:ascii="Courier New" w:cs="Courier New" w:eastAsia="Courier New" w:hAnsi="Courier New"/>
          <w:sz w:val="15"/>
          <w:szCs w:val="15"/>
          <w:color w:val="auto"/>
        </w:rPr>
        <w:t>Total estimated purchase price ..</w:t>
        <w:tab/>
        <w:t>$308,215</w:t>
      </w:r>
    </w:p>
    <w:p>
      <w:pPr>
        <w:spacing w:after="0" w:line="2"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estimated purchase price will be issued in exchange for of the common and preferred shares, warrants and vested options of BlueGill on the closing date.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purchase price reflects the assumed issuance of 3,205,128 shares of our common stock at $93.05 per share which is the average end of day price of our stock for the three trading days preceding and the three days following the announcement of the acquisition of BlueGill.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 changes in the risk-free rate and volatility of our stock between the date of the information statement/prospectus and the closing of the merger.</w:t>
      </w:r>
    </w:p>
    <w:p>
      <w:pPr>
        <w:spacing w:after="0" w:line="181"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PF-11</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346"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(in thousands)</w:t>
            </w:r>
          </w:p>
        </w:tc>
      </w:tr>
      <w:tr>
        <w:trPr>
          <w:trHeight w:val="344"/>
        </w:trPr>
        <w:tc>
          <w:tcPr>
            <w:tcW w:w="6520" w:type="dxa"/>
            <w:vAlign w:val="bottom"/>
            <w:gridSpan w:val="2"/>
          </w:tcPr>
          <w:p>
            <w:pPr>
              <w:spacing w:after="0"/>
              <w:rPr>
                <w:sz w:val="20"/>
                <w:szCs w:val="20"/>
                <w:color w:val="auto"/>
              </w:rPr>
            </w:pPr>
            <w:r>
              <w:rPr>
                <w:rFonts w:ascii="Courier New" w:cs="Courier New" w:eastAsia="Courier New" w:hAnsi="Courier New"/>
                <w:sz w:val="15"/>
                <w:szCs w:val="15"/>
                <w:color w:val="auto"/>
              </w:rPr>
              <w:t>In-process research and development  (Note B)</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$ 11,900</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Current technology and products:</w:t>
            </w:r>
          </w:p>
        </w:tc>
        <w:tc>
          <w:tcPr>
            <w:tcW w:w="26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Print / extraction</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3 years)..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4,200</w:t>
            </w:r>
          </w:p>
        </w:tc>
      </w:tr>
      <w:tr>
        <w:trPr>
          <w:trHeight w:val="172"/>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Data management engine</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4 years)..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6,700</w:t>
            </w:r>
          </w:p>
        </w:tc>
      </w:tr>
      <w:tr>
        <w:trPr>
          <w:trHeight w:val="172"/>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API or application protocol interfaces</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2 years)..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1,100</w:t>
            </w:r>
          </w:p>
        </w:tc>
      </w:tr>
      <w:tr>
        <w:trPr>
          <w:trHeight w:val="172"/>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Web applications</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5 years)..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2,600</w:t>
            </w:r>
          </w:p>
        </w:tc>
      </w:tr>
      <w:tr>
        <w:trPr>
          <w:trHeight w:val="172"/>
        </w:trPr>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Sub-total IPR&amp;D and current technology and products.............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26,500</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5 years)..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253,309</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Workforce in place</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3 years)..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2,600</w:t>
            </w:r>
          </w:p>
        </w:tc>
      </w:tr>
      <w:tr>
        <w:trPr>
          <w:trHeight w:val="172"/>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Customer list</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5 years)..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10,200</w:t>
            </w:r>
          </w:p>
        </w:tc>
      </w:tr>
      <w:tr>
        <w:trPr>
          <w:trHeight w:val="172"/>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Tradename</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1 year )..</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14,800</w:t>
            </w:r>
          </w:p>
        </w:tc>
      </w:tr>
      <w:tr>
        <w:trPr>
          <w:trHeight w:val="172"/>
        </w:trPr>
        <w:tc>
          <w:tcPr>
            <w:tcW w:w="3840" w:type="dxa"/>
            <w:vAlign w:val="bottom"/>
          </w:tcPr>
          <w:p>
            <w:pPr>
              <w:ind w:left="360"/>
              <w:spacing w:after="0"/>
              <w:rPr>
                <w:sz w:val="20"/>
                <w:szCs w:val="20"/>
                <w:color w:val="auto"/>
              </w:rPr>
            </w:pPr>
            <w:r>
              <w:rPr>
                <w:rFonts w:ascii="Courier New" w:cs="Courier New" w:eastAsia="Courier New" w:hAnsi="Courier New"/>
                <w:sz w:val="15"/>
                <w:szCs w:val="15"/>
                <w:color w:val="auto"/>
              </w:rPr>
              <w:t>Covenants not to compete</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(estimated life of 1 year )..</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1,200</w:t>
            </w:r>
          </w:p>
        </w:tc>
      </w:tr>
      <w:tr>
        <w:trPr>
          <w:trHeight w:val="172"/>
        </w:trPr>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ind w:left="900"/>
              <w:spacing w:after="0"/>
              <w:rPr>
                <w:sz w:val="20"/>
                <w:szCs w:val="20"/>
                <w:color w:val="auto"/>
              </w:rPr>
            </w:pPr>
            <w:r>
              <w:rPr>
                <w:rFonts w:ascii="Courier New" w:cs="Courier New" w:eastAsia="Courier New" w:hAnsi="Courier New"/>
                <w:sz w:val="15"/>
                <w:szCs w:val="15"/>
                <w:color w:val="auto"/>
                <w:w w:val="98"/>
              </w:rPr>
              <w:t>Sub-total other intangible assets</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28,800</w:t>
            </w:r>
          </w:p>
        </w:tc>
      </w:tr>
      <w:tr>
        <w:trPr>
          <w:trHeight w:val="344"/>
        </w:trPr>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Deferred income taxes....................................................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(17,222)</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assets of BlueGill:</w:t>
            </w:r>
          </w:p>
        </w:tc>
        <w:tc>
          <w:tcPr>
            <w:tcW w:w="26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17,040</w:t>
            </w:r>
          </w:p>
        </w:tc>
      </w:tr>
      <w:tr>
        <w:trPr>
          <w:trHeight w:val="172"/>
        </w:trPr>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Property and equipment................................................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1,265</w:t>
            </w:r>
          </w:p>
        </w:tc>
      </w:tr>
      <w:tr>
        <w:trPr>
          <w:trHeight w:val="172"/>
        </w:trPr>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net............................................................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(1,477)</w:t>
            </w:r>
          </w:p>
        </w:tc>
      </w:tr>
      <w:tr>
        <w:trPr>
          <w:trHeight w:val="172"/>
        </w:trPr>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Sub-total net assets..........................................</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16,828</w:t>
            </w:r>
          </w:p>
        </w:tc>
      </w:tr>
      <w:tr>
        <w:trPr>
          <w:trHeight w:val="172"/>
        </w:trPr>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6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Total Purchase Price.....................................................</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$308,215</w:t>
            </w:r>
          </w:p>
        </w:tc>
      </w:tr>
      <w:tr>
        <w:trPr>
          <w:trHeight w:val="172"/>
        </w:trPr>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planned future development work designed to replace the existing technology or product. The useful life assigned to goodwill is based upon currently acceptable lives for such assets. The useful life on workforce in place is based on our estimate of the average tenure expected from the BlueGill employee base. The useful life we assigned to the customer base is based on our estimate of the future revenue base from the existing customers. Although the BlueGill tradename is widely known at this time, we currently have no plans to continue to utilize the name once the technologies of BlueGill and CheckFree are consolidated in to a single product offering, which we expect to take place within one year of the merger. We assigned a one-year life to the covenants not to compete to coincide with the contractual life of the related agreements. We will amortize these intangible assets on a straight-line basis over their estimated useful lives.</w:t>
      </w:r>
    </w:p>
    <w:p>
      <w:pPr>
        <w:spacing w:after="0" w:line="165" w:lineRule="exact"/>
        <w:rPr>
          <w:sz w:val="20"/>
          <w:szCs w:val="20"/>
          <w:color w:val="auto"/>
        </w:rPr>
      </w:pPr>
    </w:p>
    <w:p>
      <w:pPr>
        <w:ind w:right="3439" w:firstLine="439"/>
        <w:spacing w:after="0" w:line="265" w:lineRule="auto"/>
        <w:tabs>
          <w:tab w:leader="none" w:pos="71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the balance of in-process research and development. As the amount is not deductible for federal or state income tax purposes, there is no related income tax benefit resulting from the charge. Refer to Note B for an explanation of in process research and development.</w:t>
      </w:r>
    </w:p>
    <w:p>
      <w:pPr>
        <w:spacing w:after="0" w:line="200" w:lineRule="exact"/>
        <w:rPr>
          <w:sz w:val="20"/>
          <w:szCs w:val="20"/>
          <w:color w:val="auto"/>
        </w:rPr>
      </w:pPr>
    </w:p>
    <w:p>
      <w:pPr>
        <w:spacing w:after="0" w:line="302"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9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34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Accumulated deficit..................</w:t>
            </w:r>
          </w:p>
        </w:tc>
        <w:tc>
          <w:tcPr>
            <w:tcW w:w="19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$11,900</w:t>
            </w:r>
          </w:p>
        </w:tc>
      </w:tr>
      <w:tr>
        <w:trPr>
          <w:trHeight w:val="172"/>
        </w:trPr>
        <w:tc>
          <w:tcPr>
            <w:tcW w:w="34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Capitalized software, net.......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$11,900</w:t>
            </w:r>
          </w:p>
        </w:tc>
      </w:tr>
    </w:tbl>
    <w:p>
      <w:pPr>
        <w:spacing w:after="0" w:line="348" w:lineRule="exact"/>
        <w:rPr>
          <w:sz w:val="20"/>
          <w:szCs w:val="20"/>
          <w:color w:val="auto"/>
        </w:rPr>
      </w:pPr>
    </w:p>
    <w:p>
      <w:pPr>
        <w:ind w:right="3159" w:firstLine="797"/>
        <w:spacing w:after="0"/>
        <w:tabs>
          <w:tab w:leader="none" w:pos="107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w:t>
      </w:r>
    </w:p>
    <w:p>
      <w:pPr>
        <w:spacing w:after="0" w:line="200" w:lineRule="exact"/>
        <w:rPr>
          <w:sz w:val="20"/>
          <w:szCs w:val="20"/>
          <w:color w:val="auto"/>
        </w:rPr>
      </w:pPr>
    </w:p>
    <w:p>
      <w:pPr>
        <w:spacing w:after="0" w:line="318" w:lineRule="exact"/>
        <w:rPr>
          <w:sz w:val="20"/>
          <w:szCs w:val="20"/>
          <w:color w:val="auto"/>
        </w:rPr>
      </w:pPr>
    </w:p>
    <w:tbl>
      <w:tblPr>
        <w:tblLayout w:type="fixed"/>
        <w:tblInd w:w="134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34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Additional paid-in capital..........</w:t>
            </w:r>
          </w:p>
        </w:tc>
        <w:tc>
          <w:tcPr>
            <w:tcW w:w="174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$525</w:t>
            </w:r>
          </w:p>
        </w:tc>
      </w:tr>
      <w:tr>
        <w:trPr>
          <w:trHeight w:val="172"/>
        </w:trPr>
        <w:tc>
          <w:tcPr>
            <w:tcW w:w="34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Accrued liabilities............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bl>
    <w:p>
      <w:pPr>
        <w:spacing w:after="0" w:line="348" w:lineRule="exact"/>
        <w:rPr>
          <w:sz w:val="20"/>
          <w:szCs w:val="20"/>
          <w:color w:val="auto"/>
        </w:rPr>
      </w:pPr>
    </w:p>
    <w:p>
      <w:pPr>
        <w:ind w:right="3079" w:firstLine="439"/>
        <w:spacing w:after="0" w:line="274" w:lineRule="auto"/>
        <w:tabs>
          <w:tab w:leader="none" w:pos="71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additional amortization expense and the related income tax benefit associated with the intangible assets acquired from BlueGill.</w:t>
      </w:r>
    </w:p>
    <w:p>
      <w:pPr>
        <w:spacing w:after="0" w:line="1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PF-12</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18"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398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Depreciation and amortization.............</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$73,713</w:t>
            </w:r>
          </w:p>
        </w:tc>
        <w:tc>
          <w:tcPr>
            <w:tcW w:w="820" w:type="dxa"/>
            <w:vAlign w:val="bottom"/>
          </w:tcPr>
          <w:p>
            <w:pPr>
              <w:spacing w:after="0"/>
              <w:rPr>
                <w:sz w:val="14"/>
                <w:szCs w:val="14"/>
                <w:color w:val="auto"/>
              </w:rPr>
            </w:pP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9,221</w:t>
            </w:r>
          </w:p>
        </w:tc>
        <w:tc>
          <w:tcPr>
            <w:tcW w:w="820" w:type="dxa"/>
            <w:vAlign w:val="bottom"/>
          </w:tcPr>
          <w:p>
            <w:pPr>
              <w:spacing w:after="0"/>
              <w:rPr>
                <w:sz w:val="14"/>
                <w:szCs w:val="14"/>
                <w:color w:val="auto"/>
              </w:rPr>
            </w:pP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Capitalized software, net.............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$ 4,145</w:t>
            </w: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Goodwill, net.........................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50,662</w:t>
            </w: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 intangible assets, net..........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18,906</w:t>
            </w: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Income tax benefit....................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2"/>
        </w:trPr>
        <w:tc>
          <w:tcPr>
            <w:tcW w:w="39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Total.....................................</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$82,934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$82,934</w:t>
            </w:r>
          </w:p>
        </w:tc>
      </w:tr>
      <w:tr>
        <w:trPr>
          <w:trHeight w:val="172"/>
        </w:trPr>
        <w:tc>
          <w:tcPr>
            <w:tcW w:w="39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98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Depreciation and amortization.............</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$28,857</w:t>
            </w:r>
          </w:p>
        </w:tc>
        <w:tc>
          <w:tcPr>
            <w:tcW w:w="820" w:type="dxa"/>
            <w:vAlign w:val="bottom"/>
          </w:tcPr>
          <w:p>
            <w:pPr>
              <w:spacing w:after="0"/>
              <w:rPr>
                <w:sz w:val="14"/>
                <w:szCs w:val="14"/>
                <w:color w:val="auto"/>
              </w:rPr>
            </w:pP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w:t>
            </w:r>
          </w:p>
        </w:tc>
        <w:tc>
          <w:tcPr>
            <w:tcW w:w="820" w:type="dxa"/>
            <w:vAlign w:val="bottom"/>
          </w:tcPr>
          <w:p>
            <w:pPr>
              <w:spacing w:after="0"/>
              <w:rPr>
                <w:sz w:val="14"/>
                <w:szCs w:val="14"/>
                <w:color w:val="auto"/>
              </w:rPr>
            </w:pP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Capitalized software, net.............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$ 1,453</w:t>
            </w: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Goodwill, net.........................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25,331</w:t>
            </w: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 intangible assets, net..........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2,073</w:t>
            </w: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Income tax benefit....................</w:t>
            </w:r>
          </w:p>
        </w:tc>
        <w:tc>
          <w:tcPr>
            <w:tcW w:w="10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1,410</w:t>
            </w:r>
          </w:p>
        </w:tc>
      </w:tr>
      <w:tr>
        <w:trPr>
          <w:trHeight w:val="172"/>
        </w:trPr>
        <w:tc>
          <w:tcPr>
            <w:tcW w:w="39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Total.....................................</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$30,267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$30,267</w:t>
            </w:r>
          </w:p>
        </w:tc>
      </w:tr>
      <w:tr>
        <w:trPr>
          <w:trHeight w:val="172"/>
        </w:trPr>
        <w:tc>
          <w:tcPr>
            <w:tcW w:w="398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00" w:right="3159" w:firstLine="805"/>
        <w:spacing w:after="0" w:line="242"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5" w:lineRule="exact"/>
        <w:rPr>
          <w:sz w:val="20"/>
          <w:szCs w:val="20"/>
          <w:color w:val="auto"/>
        </w:rPr>
      </w:pPr>
    </w:p>
    <w:p>
      <w:pPr>
        <w:ind w:left="800" w:right="3079" w:firstLine="802"/>
        <w:spacing w:after="0" w:line="242" w:lineRule="auto"/>
        <w:tabs>
          <w:tab w:leader="none" w:pos="187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BlueGill's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BlueGill.</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CheckFree common shares issued for BlueGill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3,205</w:t>
      </w:r>
    </w:p>
    <w:p>
      <w:pPr>
        <w:spacing w:after="0" w:line="13" w:lineRule="exact"/>
        <w:rPr>
          <w:sz w:val="20"/>
          <w:szCs w:val="20"/>
          <w:color w:val="auto"/>
        </w:rPr>
      </w:pPr>
    </w:p>
    <w:p>
      <w:pPr>
        <w:sectPr>
          <w:pgSz w:w="11900" w:h="16838" w:orient="portrait"/>
          <w:cols w:equalWidth="0" w:num="2">
            <w:col w:w="5440" w:space="280"/>
            <w:col w:w="4499"/>
          </w:cols>
          <w:pgMar w:left="240" w:top="28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Potentially dilutive securities:</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Options and warrants .........................</w:t>
      </w:r>
    </w:p>
    <w:p>
      <w:pPr>
        <w:spacing w:after="0" w:line="13"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Other ........................................</w:t>
      </w:r>
    </w:p>
    <w:p>
      <w:pPr>
        <w:spacing w:after="0" w:line="18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Total potentially dilutive securities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(4,085)</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(4,085)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5440" w:space="180"/>
            <w:col w:w="4599"/>
          </w:cols>
          <w:pgMar w:left="240" w:top="289" w:right="1440" w:bottom="1440" w:gutter="0" w:footer="0" w:header="0"/>
          <w:type w:val="continuous"/>
        </w:sectPr>
      </w:pP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Net adjustment to dilutive shares outstanding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(880)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440" w:space="180"/>
            <w:col w:w="4599"/>
          </w:cols>
          <w:pgMar w:left="240" w:top="289" w:right="1440"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BlueGill; that the pro forma adjustments give appropriate effect to those assumptions; and that the pro forma adjustments are properly applied in the Unaudited Pro Forma Condensed Combining Balance Sheet and Statement of Operations.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Note B: The unaudited pro forma condensed balance sheet of CheckFree and BlueGill has been prepared as if the merger was completed as of December 31, 1999, and was accounted for as a purchase. The number of CheckFree common shares to be issued in the merger will depend on a number of factors as specified in the merger agreement. We have assumed for purposes of these pro forma financial statements that 3,205,128 shares of CheckFree common stock will be issued with a fair market value of $93.05 per share. The total purchase price of $308,215,000 was allocated to assets acquired and liabilities assumed based on BlueGill's December 31, 1999 balance sheet.</w:t>
      </w:r>
    </w:p>
    <w:p>
      <w:pPr>
        <w:spacing w:after="0" w:line="17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allocation of the BlueGill purchase price among the identifiable tangible and intangible assets and purchased in process research and development is based on preliminary estimates of the fair market value of those</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PF-13</w:t>
      </w:r>
    </w:p>
    <w:p>
      <w:pPr>
        <w:sectPr>
          <w:pgSz w:w="11900" w:h="16838" w:orient="portrait"/>
          <w:cols w:equalWidth="0" w:num="1">
            <w:col w:w="10219"/>
          </w:cols>
          <w:pgMar w:left="240" w:top="289"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assets. Final determination of the allocation of the purchase price will be based on independent appraisals that we expect to have completed shortly after the merger is consummated.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BlueGill currently has five general technologies and application suites under development that meet the specific requirements of SFAS No. 2 for qualification as in-process research and development or IPRD. Critical elements of SFAS No. 2's definition of IPRD are that:</w:t>
      </w:r>
    </w:p>
    <w:p>
      <w:pPr>
        <w:spacing w:after="0" w:line="347" w:lineRule="exact"/>
        <w:rPr>
          <w:sz w:val="20"/>
          <w:szCs w:val="20"/>
          <w:color w:val="auto"/>
        </w:rPr>
      </w:pPr>
    </w:p>
    <w:p>
      <w:pPr>
        <w:ind w:left="1600" w:right="3779" w:hanging="803"/>
        <w:spacing w:after="0"/>
        <w:tabs>
          <w:tab w:leader="none" w:pos="1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has not yet demonstrated its technological feasibility; and</w:t>
      </w:r>
    </w:p>
    <w:p>
      <w:pPr>
        <w:spacing w:after="0" w:line="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does not have an alternative future use.</w:t>
      </w:r>
    </w:p>
    <w:p>
      <w:pPr>
        <w:spacing w:after="0" w:line="348" w:lineRule="exact"/>
        <w:rPr>
          <w:sz w:val="20"/>
          <w:szCs w:val="20"/>
          <w:color w:val="auto"/>
        </w:rPr>
      </w:pPr>
    </w:p>
    <w:p>
      <w:pPr>
        <w:ind w:right="3439"/>
        <w:spacing w:after="0" w:line="267" w:lineRule="auto"/>
        <w:rPr>
          <w:sz w:val="20"/>
          <w:szCs w:val="20"/>
          <w:color w:val="auto"/>
        </w:rPr>
      </w:pPr>
      <w:r>
        <w:rPr>
          <w:rFonts w:ascii="Courier New" w:cs="Courier New" w:eastAsia="Courier New" w:hAnsi="Courier New"/>
          <w:sz w:val="14"/>
          <w:szCs w:val="14"/>
          <w:color w:val="auto"/>
        </w:rPr>
        <w:t>These in-process technologies and applications include print and extraction technology, the Data Management Engine (DME) technology, API technology, web applications and OFX payment technology. Their descriptions are found below.</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Print and extraction technology. Print and extraction technology allows for the extraction and print parsing of a biller's legacy billing information through to BlueGill's products. The following features of the print / extraction technology are under development:</w:t>
      </w:r>
    </w:p>
    <w:p>
      <w:pPr>
        <w:spacing w:after="0" w:line="175" w:lineRule="exact"/>
        <w:rPr>
          <w:sz w:val="20"/>
          <w:szCs w:val="20"/>
          <w:color w:val="auto"/>
        </w:rPr>
      </w:pPr>
    </w:p>
    <w:p>
      <w:pPr>
        <w:ind w:left="1600" w:right="3339" w:hanging="803"/>
        <w:spacing w:after="0"/>
        <w:tabs>
          <w:tab w:leader="none" w:pos="1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PDF Server, which converts line data input streams into PDF data output;</w:t>
      </w:r>
    </w:p>
    <w:p>
      <w:pPr>
        <w:spacing w:after="0" w:line="4"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2.2.0 that comprises updates to accommodate core changes to BlueGill's DME 2.2.0; and</w:t>
      </w:r>
    </w:p>
    <w:p>
      <w:pPr>
        <w:spacing w:after="0" w:line="4" w:lineRule="exact"/>
        <w:rPr>
          <w:rFonts w:ascii="Courier New" w:cs="Courier New" w:eastAsia="Courier New" w:hAnsi="Courier New"/>
          <w:sz w:val="15"/>
          <w:szCs w:val="15"/>
          <w:color w:val="auto"/>
        </w:rPr>
      </w:pPr>
    </w:p>
    <w:p>
      <w:pPr>
        <w:ind w:left="1600" w:right="3159" w:hanging="803"/>
        <w:spacing w:after="0"/>
        <w:tabs>
          <w:tab w:leader="none" w:pos="16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2.3.0 which comprises enhancements to SmartXpress user functionality.</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Data Management Engine (DME) technology. The DME technology allows for archiving of transactions and linkage of data to the necessary environment within the BlueGill network. The DME is the main translator of input data to output data. The following features are under development:</w:t>
      </w:r>
    </w:p>
    <w:p>
      <w:pPr>
        <w:spacing w:after="0" w:line="175" w:lineRule="exact"/>
        <w:rPr>
          <w:sz w:val="20"/>
          <w:szCs w:val="20"/>
          <w:color w:val="auto"/>
        </w:rPr>
      </w:pPr>
    </w:p>
    <w:p>
      <w:pPr>
        <w:ind w:left="1600" w:right="3159" w:hanging="803"/>
        <w:spacing w:after="0"/>
        <w:tabs>
          <w:tab w:leader="none" w:pos="1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WebStream, which is a quick-to-market bill presentment system that is a repackaging of existing components;</w:t>
      </w:r>
    </w:p>
    <w:p>
      <w:pPr>
        <w:spacing w:after="0" w:line="4" w:lineRule="exact"/>
        <w:rPr>
          <w:rFonts w:ascii="Courier New" w:cs="Courier New" w:eastAsia="Courier New" w:hAnsi="Courier New"/>
          <w:sz w:val="15"/>
          <w:szCs w:val="15"/>
          <w:color w:val="auto"/>
        </w:rPr>
      </w:pPr>
    </w:p>
    <w:p>
      <w:pPr>
        <w:ind w:left="1600" w:right="3439" w:hanging="803"/>
        <w:spacing w:after="0"/>
        <w:tabs>
          <w:tab w:leader="none" w:pos="1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Archive Interface, which is a generic archive interface to support linkage to OnDemand and INSCI;</w:t>
      </w:r>
    </w:p>
    <w:p>
      <w:pPr>
        <w:spacing w:after="0" w:line="4" w:lineRule="exact"/>
        <w:rPr>
          <w:rFonts w:ascii="Courier New" w:cs="Courier New" w:eastAsia="Courier New" w:hAnsi="Courier New"/>
          <w:sz w:val="15"/>
          <w:szCs w:val="15"/>
          <w:color w:val="auto"/>
        </w:rPr>
      </w:pPr>
    </w:p>
    <w:p>
      <w:pPr>
        <w:ind w:left="1600" w:right="3339" w:hanging="803"/>
        <w:spacing w:after="0"/>
        <w:tabs>
          <w:tab w:leader="none" w:pos="1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 Metacode Support, which is Xerox print support on the AIX, Solaris and HP-UX platforms; and</w:t>
      </w:r>
    </w:p>
    <w:p>
      <w:pPr>
        <w:spacing w:after="0" w:line="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SQL Server Support, which is additional data base support.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APIs. The API technology encompasses knowledge engineering procedures and expert system analysis, design and development. The API technology works in between the print/extraction and parsing modules and the web applications or templates. The API "surrounds" the DME as its interface to these other technologies. The following features are under development:</w:t>
      </w:r>
    </w:p>
    <w:p>
      <w:pPr>
        <w:spacing w:after="0" w:line="175" w:lineRule="exact"/>
        <w:rPr>
          <w:sz w:val="20"/>
          <w:szCs w:val="20"/>
          <w:color w:val="auto"/>
        </w:rPr>
      </w:pPr>
    </w:p>
    <w:p>
      <w:pPr>
        <w:ind w:left="1600" w:right="3439" w:hanging="803"/>
        <w:spacing w:after="0"/>
        <w:tabs>
          <w:tab w:leader="none" w:pos="1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2.2.0,which encompasses pre-requisites for Biller Direct and OFX;</w:t>
      </w:r>
    </w:p>
    <w:p>
      <w:pPr>
        <w:spacing w:after="0" w:line="4" w:lineRule="exact"/>
        <w:rPr>
          <w:rFonts w:ascii="Courier New" w:cs="Courier New" w:eastAsia="Courier New" w:hAnsi="Courier New"/>
          <w:sz w:val="15"/>
          <w:szCs w:val="15"/>
          <w:color w:val="auto"/>
        </w:rPr>
      </w:pPr>
    </w:p>
    <w:p>
      <w:pPr>
        <w:ind w:left="1600" w:right="3159" w:hanging="803"/>
        <w:spacing w:after="0"/>
        <w:tabs>
          <w:tab w:leader="none" w:pos="1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3.0.0 - Pure JAVA Interface, which provides a pure JAVA version of the public API set; and</w:t>
      </w:r>
    </w:p>
    <w:p>
      <w:pPr>
        <w:spacing w:after="0" w:line="4"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E-Bill 3.1 Format Support, which provides batch mode support for the CheckFree E-Bill 3.1 format.</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Web Applications. The web application technologies help in the design of industry specific templates for electronic billing and statement presentation. The following features are under development:</w:t>
      </w:r>
    </w:p>
    <w:p>
      <w:pPr>
        <w:spacing w:after="0" w:line="176" w:lineRule="exact"/>
        <w:rPr>
          <w:sz w:val="20"/>
          <w:szCs w:val="20"/>
          <w:color w:val="auto"/>
        </w:rPr>
      </w:pPr>
    </w:p>
    <w:p>
      <w:pPr>
        <w:ind w:left="1600" w:right="3259" w:hanging="803"/>
        <w:spacing w:after="0"/>
        <w:tabs>
          <w:tab w:leader="none" w:pos="1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i-Biller Template for the utility industry billing statement templates;</w:t>
      </w:r>
    </w:p>
    <w:p>
      <w:pPr>
        <w:spacing w:after="0" w:line="4" w:lineRule="exact"/>
        <w:rPr>
          <w:rFonts w:ascii="Courier New" w:cs="Courier New" w:eastAsia="Courier New" w:hAnsi="Courier New"/>
          <w:sz w:val="15"/>
          <w:szCs w:val="15"/>
          <w:color w:val="auto"/>
        </w:rPr>
      </w:pPr>
    </w:p>
    <w:p>
      <w:pPr>
        <w:ind w:left="1600" w:right="3779" w:hanging="803"/>
        <w:spacing w:after="0"/>
        <w:tabs>
          <w:tab w:leader="none" w:pos="1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i-Broker Template for the brokerage industry statement templates;</w:t>
      </w:r>
    </w:p>
    <w:p>
      <w:pPr>
        <w:spacing w:after="0" w:line="4"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i-Telco Template for the telecommunications industry billing templates;</w:t>
      </w:r>
    </w:p>
    <w:p>
      <w:pPr>
        <w:spacing w:after="0" w:line="4"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Center, which is the host for BlueGill Administration applications consisting of functions like relationship management, remote control execution of BlueGill programs, viewing of program execution reports, viewing of program execution logs, market direct, statement preview, and enrollment and activation of customers; and</w:t>
      </w:r>
    </w:p>
    <w:p>
      <w:pPr>
        <w:spacing w:after="0" w:line="4" w:lineRule="exact"/>
        <w:rPr>
          <w:rFonts w:ascii="Courier New" w:cs="Courier New" w:eastAsia="Courier New" w:hAnsi="Courier New"/>
          <w:sz w:val="15"/>
          <w:szCs w:val="15"/>
          <w:color w:val="auto"/>
        </w:rPr>
      </w:pPr>
    </w:p>
    <w:p>
      <w:pPr>
        <w:ind w:left="1600" w:right="3259" w:hanging="803"/>
        <w:spacing w:after="0"/>
        <w:tabs>
          <w:tab w:leader="none" w:pos="1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Counter, which accumulates transaction charges for statement viewing.</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Payments or OFX. The payments or OFX technology will allow for bill publishing services to be integrated with the i-Series products and bill consolidators. The following feature is under development:</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PF-14</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4" w:lineRule="exact"/>
        <w:rPr>
          <w:sz w:val="20"/>
          <w:szCs w:val="20"/>
          <w:color w:val="auto"/>
        </w:rPr>
      </w:pPr>
    </w:p>
    <w:p>
      <w:pPr>
        <w:ind w:left="1600" w:right="3079" w:hanging="803"/>
        <w:spacing w:after="0" w:line="241" w:lineRule="auto"/>
        <w:tabs>
          <w:tab w:leader="none" w:pos="1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OFX Bill Publisher Server, which is the core OFX engine integrated with the i-Series engine support and Bill Publisher component to link to consolidators.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There are risks and uncertainties associated with the completion of these in-process technologies. These risks include:</w:t>
      </w:r>
    </w:p>
    <w:p>
      <w:pPr>
        <w:spacing w:after="0" w:line="174" w:lineRule="exact"/>
        <w:rPr>
          <w:sz w:val="20"/>
          <w:szCs w:val="20"/>
          <w:color w:val="auto"/>
        </w:rPr>
      </w:pPr>
    </w:p>
    <w:p>
      <w:pPr>
        <w:ind w:left="1600" w:hanging="803"/>
        <w:spacing w:after="0"/>
        <w:tabs>
          <w:tab w:leader="none" w:pos="1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Technologically Feasible.</w:t>
      </w:r>
    </w:p>
    <w:p>
      <w:pPr>
        <w:spacing w:after="0" w:line="176" w:lineRule="exact"/>
        <w:rPr>
          <w:sz w:val="20"/>
          <w:szCs w:val="20"/>
          <w:color w:val="auto"/>
        </w:rPr>
      </w:pPr>
    </w:p>
    <w:p>
      <w:pPr>
        <w:ind w:left="1600" w:right="3159" w:firstLine="805"/>
        <w:spacing w:after="0" w:line="242" w:lineRule="auto"/>
        <w:rPr>
          <w:sz w:val="20"/>
          <w:szCs w:val="20"/>
          <w:color w:val="auto"/>
        </w:rPr>
      </w:pPr>
      <w:r>
        <w:rPr>
          <w:rFonts w:ascii="Courier New" w:cs="Courier New" w:eastAsia="Courier New" w:hAnsi="Courier New"/>
          <w:sz w:val="15"/>
          <w:szCs w:val="15"/>
          <w:color w:val="auto"/>
        </w:rPr>
        <w:t>The acquired IPRD had not demonstrated technological or commercial feasibility as of the transaction date for BlueGill. Significant risks exist because BlueGill is unsure of the obstacles it will encounter in the form of market acceptance, time and cost necessary to produce a technologically feasible product. SFAS No. 2 does not specifically require an analysis of the development effort expended relative to an acquisition date. It is reasonable to assume, however, that an IPRD project would require a significant amount of time and cost in order to modify for CheckFree's use in the marketplace. Should the proposed technology fail to become viable, it is unlikely that CheckFree would be able to realize any value from the sale of the technology to another party.</w:t>
      </w:r>
    </w:p>
    <w:p>
      <w:pPr>
        <w:spacing w:after="0" w:line="180" w:lineRule="exact"/>
        <w:rPr>
          <w:sz w:val="20"/>
          <w:szCs w:val="20"/>
          <w:color w:val="auto"/>
        </w:rPr>
      </w:pPr>
    </w:p>
    <w:p>
      <w:pPr>
        <w:ind w:left="1600" w:hanging="803"/>
        <w:spacing w:after="0"/>
        <w:tabs>
          <w:tab w:leader="none" w:pos="1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Alternative Future Use.</w:t>
      </w:r>
    </w:p>
    <w:p>
      <w:pPr>
        <w:spacing w:after="0" w:line="176" w:lineRule="exact"/>
        <w:rPr>
          <w:sz w:val="20"/>
          <w:szCs w:val="20"/>
          <w:color w:val="auto"/>
        </w:rPr>
      </w:pPr>
    </w:p>
    <w:p>
      <w:pPr>
        <w:ind w:left="1600" w:right="3079" w:firstLine="805"/>
        <w:spacing w:after="0" w:line="242" w:lineRule="auto"/>
        <w:rPr>
          <w:sz w:val="20"/>
          <w:szCs w:val="20"/>
          <w:color w:val="auto"/>
        </w:rPr>
      </w:pPr>
      <w:r>
        <w:rPr>
          <w:rFonts w:ascii="Courier New" w:cs="Courier New" w:eastAsia="Courier New" w:hAnsi="Courier New"/>
          <w:sz w:val="15"/>
          <w:szCs w:val="15"/>
          <w:color w:val="auto"/>
        </w:rPr>
        <w:t>The acquired IPRD consists of BlueGill's work to date on its products. The products are very specific to the tasks and markets for which it is intended. As is typically the case with software, there are no alternative uses for the in-process work in the event that the product does not become feasible for CheckFree. The development effort for the acquired IPRD does not possess an alternative future use for CheckFree under the terms of SFAS No. 2.</w:t>
      </w:r>
    </w:p>
    <w:p>
      <w:pPr>
        <w:spacing w:after="0" w:line="177" w:lineRule="exact"/>
        <w:rPr>
          <w:sz w:val="20"/>
          <w:szCs w:val="20"/>
          <w:color w:val="auto"/>
        </w:rPr>
      </w:pPr>
    </w:p>
    <w:p>
      <w:pPr>
        <w:ind w:left="1600" w:right="3079" w:hanging="803"/>
        <w:spacing w:after="0" w:line="242" w:lineRule="auto"/>
        <w:tabs>
          <w:tab w:leader="none" w:pos="16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BlueGill project underway fails, there will be a very limited life to the existing product because the continuing pace of technological developments in the marketplace will have rendered them non-competitive. In the event of a failure, the technology acquired, as embodied in either current or in-process products, will have no alternative use and would be written off as a loss by CheckFree.</w:t>
      </w:r>
    </w:p>
    <w:p>
      <w:pPr>
        <w:spacing w:after="0" w:line="176" w:lineRule="exact"/>
        <w:rPr>
          <w:rFonts w:ascii="Courier New" w:cs="Courier New" w:eastAsia="Courier New" w:hAnsi="Courier New"/>
          <w:sz w:val="15"/>
          <w:szCs w:val="15"/>
          <w:color w:val="auto"/>
        </w:rPr>
      </w:pPr>
    </w:p>
    <w:p>
      <w:pPr>
        <w:ind w:left="1600" w:right="3259" w:hanging="803"/>
        <w:spacing w:after="0" w:line="262" w:lineRule="auto"/>
        <w:tabs>
          <w:tab w:leader="none" w:pos="16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valuation date, all of the IPRD technologies were subject to numerous technological, timing, cost and market risks. In addition to these risks already mentioned, another major risk associated with the technologies pertains to the language it's written in. According to BlueGill management, all of the base code may go to the JAVA computer language, causing large sections of the codes to be re-written.</w:t>
      </w:r>
    </w:p>
    <w:p>
      <w:pPr>
        <w:spacing w:after="0" w:line="164"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The following table represents information regarding the status of the various in-process research and development projects to be acquired:</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PF-15</w:t>
      </w:r>
    </w:p>
    <w:p>
      <w:pPr>
        <w:sectPr>
          <w:pgSz w:w="11900" w:h="16838" w:orient="portrait"/>
          <w:cols w:equalWidth="0" w:num="1">
            <w:col w:w="10219"/>
          </w:cols>
          <w:pgMar w:left="240" w:top="289"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2320" w:type="dxa"/>
            <w:vAlign w:val="bottom"/>
          </w:tcPr>
          <w:p>
            <w:pPr>
              <w:jc w:val="right"/>
              <w:ind w:right="1805"/>
              <w:spacing w:after="0"/>
              <w:rPr>
                <w:sz w:val="20"/>
                <w:szCs w:val="20"/>
                <w:color w:val="auto"/>
              </w:rPr>
            </w:pPr>
            <w:r>
              <w:rPr>
                <w:rFonts w:ascii="Courier New" w:cs="Courier New" w:eastAsia="Courier New" w:hAnsi="Courier New"/>
                <w:sz w:val="15"/>
                <w:szCs w:val="15"/>
                <w:color w:val="auto"/>
              </w:rPr>
              <w:t>44</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232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ESTIMATED</w:t>
            </w:r>
          </w:p>
        </w:tc>
        <w:tc>
          <w:tcPr>
            <w:tcW w:w="160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EXPECTED</w:t>
            </w:r>
          </w:p>
        </w:tc>
        <w:tc>
          <w:tcPr>
            <w:tcW w:w="980" w:type="dxa"/>
            <w:vAlign w:val="bottom"/>
          </w:tcPr>
          <w:p>
            <w:pPr>
              <w:spacing w:after="0"/>
              <w:rPr>
                <w:sz w:val="24"/>
                <w:szCs w:val="24"/>
                <w:color w:val="auto"/>
              </w:rPr>
            </w:pPr>
          </w:p>
        </w:tc>
      </w:tr>
      <w:tr>
        <w:trPr>
          <w:trHeight w:val="172"/>
        </w:trPr>
        <w:tc>
          <w:tcPr>
            <w:tcW w:w="23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STAGE OF</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ESTIMATED</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COST TO</w:t>
            </w:r>
          </w:p>
        </w:tc>
        <w:tc>
          <w:tcPr>
            <w:tcW w:w="98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COMPLETION</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COMPLETION DATE</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COMPLETE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VALUATION</w:t>
            </w:r>
          </w:p>
        </w:tc>
      </w:tr>
      <w:tr>
        <w:trPr>
          <w:trHeight w:val="172"/>
        </w:trPr>
        <w:tc>
          <w:tcPr>
            <w:tcW w:w="23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Print / Extraction ......</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$ 1,300</w:t>
            </w:r>
          </w:p>
        </w:tc>
      </w:tr>
      <w:tr>
        <w:trPr>
          <w:trHeight w:val="172"/>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Data Management Engine ..</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February 2000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4,900</w:t>
            </w:r>
          </w:p>
        </w:tc>
      </w:tr>
      <w:tr>
        <w:trPr>
          <w:trHeight w:val="172"/>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APIs ....................</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2,700</w:t>
            </w:r>
          </w:p>
        </w:tc>
      </w:tr>
      <w:tr>
        <w:trPr>
          <w:trHeight w:val="172"/>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Web Applications ........</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w:t>
            </w:r>
          </w:p>
        </w:tc>
        <w:tc>
          <w:tcPr>
            <w:tcW w:w="16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March 2000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2,100</w:t>
            </w:r>
          </w:p>
        </w:tc>
      </w:tr>
      <w:tr>
        <w:trPr>
          <w:trHeight w:val="172"/>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Payments or OFX .........</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900</w:t>
            </w:r>
          </w:p>
        </w:tc>
      </w:tr>
      <w:tr>
        <w:trPr>
          <w:trHeight w:val="172"/>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2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w:t>
            </w: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$11,900</w:t>
            </w:r>
          </w:p>
        </w:tc>
      </w:tr>
      <w:tr>
        <w:trPr>
          <w:trHeight w:val="172"/>
        </w:trPr>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method used to allocate the purchase consideration to IPRD was the modified income approach. Under the income approach, fair value reflects the present value of the projected free cash flows that will be generated by the IPRD projects and that is attributable to the acquired technology, if successfully completed. The modified income approach takes the income approach, modified to include the following factors:</w:t>
      </w:r>
    </w:p>
    <w:p>
      <w:pPr>
        <w:spacing w:after="0" w:line="346" w:lineRule="exact"/>
        <w:rPr>
          <w:sz w:val="20"/>
          <w:szCs w:val="20"/>
          <w:color w:val="auto"/>
        </w:rPr>
      </w:pPr>
    </w:p>
    <w:p>
      <w:pPr>
        <w:ind w:left="1600" w:hanging="803"/>
        <w:spacing w:after="0"/>
        <w:tabs>
          <w:tab w:leader="none" w:pos="1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3" w:lineRule="exact"/>
        <w:rPr>
          <w:rFonts w:ascii="Courier New" w:cs="Courier New" w:eastAsia="Courier New" w:hAnsi="Courier New"/>
          <w:sz w:val="15"/>
          <w:szCs w:val="15"/>
          <w:color w:val="auto"/>
        </w:rPr>
      </w:pPr>
    </w:p>
    <w:p>
      <w:pPr>
        <w:ind w:left="1600" w:right="3079" w:hanging="803"/>
        <w:spacing w:after="0"/>
        <w:tabs>
          <w:tab w:leader="none" w:pos="1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IPRD projects; and</w:t>
      </w:r>
    </w:p>
    <w:p>
      <w:pPr>
        <w:spacing w:after="0" w:line="2"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technologies and applications.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projected revenue used in the income approach are based upon the incremental revenues associated with a portion of the project related to BlueGill's technology likely to be generated upon completion of the project and the beginning of commercial sales, as estimated by management. The projections assume that the projects will be successful and the project's development and commercialization are as set forth by management. The discount rate used in this analysis is an after tax rate of 25%.</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for the twelve months ended June 30, 1999. Our statement of operations for the six month period ended December 31, 1999 has been combined with the BlueGill statement of operations for the six month period ended December 31, 1999. Actual income statements of CheckFree and BlueGill will be combined from the effective date of the merger, with no retroactive restatement.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and BlueGill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 taken place as of July 1, 1998.</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which will be expensed at acquisition, as this expense will not have a continuing impact.</w:t>
      </w:r>
    </w:p>
    <w:p>
      <w:pPr>
        <w:spacing w:after="0" w:line="175"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Note F: The merger agreement between CheckFree and BlueGill includes specific terms and conditions to address the impact on the purchase price and the relative number of shares of our common stock to be issued in the event of significant variation in the price of our common stock from the date of the merger agreement to the closing date. The initially agreed upon purchase price was $250 million, or 3,205,128 shares of our common stock when the market value of the stock was $78.00 per share. The following is a summary of the impact on the purchase price and/or the shares to be issued based on specified values of the average trading price of our common stock. The average trading price is defined in the agreement as the weighted average intraday trading price of our common stock on the Nasdaq National Market during the three days immediately preceding the closing date of the merger, as reported by Bloomberg.</w:t>
      </w:r>
    </w:p>
    <w:p>
      <w:pPr>
        <w:spacing w:after="0" w:line="165" w:lineRule="exact"/>
        <w:rPr>
          <w:sz w:val="20"/>
          <w:szCs w:val="20"/>
          <w:color w:val="auto"/>
        </w:rPr>
      </w:pPr>
    </w:p>
    <w:p>
      <w:pPr>
        <w:ind w:left="1600" w:hanging="803"/>
        <w:spacing w:after="0"/>
        <w:tabs>
          <w:tab w:leader="none" w:pos="1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greater than or equal to</w:t>
      </w:r>
    </w:p>
    <w:p>
      <w:pPr>
        <w:spacing w:after="0" w:line="3" w:lineRule="exact"/>
        <w:rPr>
          <w:rFonts w:ascii="Courier New" w:cs="Courier New" w:eastAsia="Courier New" w:hAnsi="Courier New"/>
          <w:sz w:val="15"/>
          <w:szCs w:val="15"/>
          <w:color w:val="auto"/>
        </w:rPr>
      </w:pPr>
    </w:p>
    <w:p>
      <w:pPr>
        <w:ind w:left="160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$78.00 per share and less than or equal to $101.40 per share, the number of shares of our common stock shares to be issued as consideration will remain fixed at 3,205,128. To the extent that the ultimate purchase price exceeds $250 million, the additional amount, up</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PF-16</w:t>
      </w:r>
    </w:p>
    <w:p>
      <w:pPr>
        <w:sectPr>
          <w:pgSz w:w="11900" w:h="16838" w:orient="portrait"/>
          <w:cols w:equalWidth="0" w:num="1">
            <w:col w:w="10219"/>
          </w:cols>
          <w:pgMar w:left="240" w:top="289"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45</w:t>
      </w:r>
    </w:p>
    <w:p>
      <w:pPr>
        <w:spacing w:after="0" w:line="4" w:lineRule="exact"/>
        <w:rPr>
          <w:sz w:val="20"/>
          <w:szCs w:val="20"/>
          <w:color w:val="auto"/>
        </w:rPr>
      </w:pPr>
    </w:p>
    <w:p>
      <w:pPr>
        <w:ind w:left="1340" w:right="3259"/>
        <w:spacing w:after="0" w:line="242" w:lineRule="auto"/>
        <w:rPr>
          <w:sz w:val="20"/>
          <w:szCs w:val="20"/>
          <w:color w:val="auto"/>
        </w:rPr>
      </w:pPr>
      <w:r>
        <w:rPr>
          <w:rFonts w:ascii="Courier New" w:cs="Courier New" w:eastAsia="Courier New" w:hAnsi="Courier New"/>
          <w:sz w:val="15"/>
          <w:szCs w:val="15"/>
          <w:color w:val="auto"/>
        </w:rPr>
        <w:t>to $75 million, will be reflected on our balance sheet as additional goodwill. This additional goodwill will be amortized on a straight-line basis over an estimated life of five years commencing immediately upon the closing of the merger agreement.</w:t>
      </w:r>
    </w:p>
    <w:p>
      <w:pPr>
        <w:spacing w:after="0" w:line="175" w:lineRule="exact"/>
        <w:rPr>
          <w:sz w:val="20"/>
          <w:szCs w:val="20"/>
          <w:color w:val="auto"/>
        </w:rPr>
      </w:pPr>
    </w:p>
    <w:p>
      <w:pPr>
        <w:ind w:left="1340" w:right="3079" w:hanging="803"/>
        <w:spacing w:after="0" w:line="261" w:lineRule="auto"/>
        <w:tabs>
          <w:tab w:leader="none" w:pos="13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average trading price is greater than $101.40 per share, the purchase price will be fixed at $325 million and the number of shares of our common stock to be issued as consideration will be reduced accordingly. At the baseline average trading price of $101.40 per share, we will issue 3,205,128 shares in consideration for BlueGill's stock. If the average trading price is $106.40, or $5.00 per share above the $101.40 baseline, the number of shares of our common stock shares will reduce by 150,617 to 3,054,511 and if the average trading price is $111.40, or $10.00 per share above the $101.40 baseline, the number of shares of our common stock will reduce by 287,723 to 2,917,415. The additional purchase price of $75 million from the baseline price of $250 million will be reflected on the balance sheet as goodwill and will be amortized on a straight-line basis over the next five years.</w:t>
      </w:r>
    </w:p>
    <w:p>
      <w:pPr>
        <w:spacing w:after="0" w:line="163" w:lineRule="exact"/>
        <w:rPr>
          <w:rFonts w:ascii="Courier New" w:cs="Courier New" w:eastAsia="Courier New" w:hAnsi="Courier New"/>
          <w:sz w:val="14"/>
          <w:szCs w:val="14"/>
          <w:color w:val="auto"/>
        </w:rPr>
      </w:pPr>
    </w:p>
    <w:p>
      <w:pPr>
        <w:ind w:left="1340" w:hanging="803"/>
        <w:spacing w:after="0"/>
        <w:tabs>
          <w:tab w:leader="none" w:pos="13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greater than or equal to</w:t>
      </w:r>
    </w:p>
    <w:p>
      <w:pPr>
        <w:spacing w:after="0" w:line="3" w:lineRule="exact"/>
        <w:rPr>
          <w:rFonts w:ascii="Courier New" w:cs="Courier New" w:eastAsia="Courier New" w:hAnsi="Courier New"/>
          <w:sz w:val="15"/>
          <w:szCs w:val="15"/>
          <w:color w:val="auto"/>
        </w:rPr>
      </w:pPr>
    </w:p>
    <w:p>
      <w:pPr>
        <w:ind w:left="1340"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$50.00 per share and less than or equal to $78.00 per share, the purchase price will be fixed at $250 million and the number of shares of our common stock to be issued as consideration will increase accordingly. At a baseline average trading price of $78.00 per share, we again issue 3,205,128 shares in consideration for BlueGill's stock. If the average trading price is $73.00 per share, or $5.00 per share below the $78.00 baseline, the number of shares of our common stock issued will increase by 219,529 shares to 3,424,657 and if the average trading price is $68.00 per share, or $10.00 per share below the $78.00 baseline, the number of shares of our common stock issued will increase by 471,342 shares to 3,676,470. Because the price will remain fixed at $250 million, under this scenario there will be no added impact on the balance sheet or future statements of operations.</w:t>
      </w:r>
    </w:p>
    <w:p>
      <w:pPr>
        <w:spacing w:after="0" w:line="165" w:lineRule="exact"/>
        <w:rPr>
          <w:rFonts w:ascii="Courier New" w:cs="Courier New" w:eastAsia="Courier New" w:hAnsi="Courier New"/>
          <w:sz w:val="15"/>
          <w:szCs w:val="15"/>
          <w:color w:val="auto"/>
        </w:rPr>
      </w:pPr>
    </w:p>
    <w:p>
      <w:pPr>
        <w:ind w:left="1340" w:right="3439" w:hanging="803"/>
        <w:spacing w:after="0"/>
        <w:tabs>
          <w:tab w:leader="none" w:pos="13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less than $50.00 per share there are two options available:</w:t>
      </w:r>
    </w:p>
    <w:p>
      <w:pPr>
        <w:spacing w:after="0" w:line="176" w:lineRule="exact"/>
        <w:rPr>
          <w:rFonts w:ascii="Courier New" w:cs="Courier New" w:eastAsia="Courier New" w:hAnsi="Courier New"/>
          <w:sz w:val="15"/>
          <w:szCs w:val="15"/>
          <w:color w:val="auto"/>
        </w:rPr>
      </w:pPr>
    </w:p>
    <w:p>
      <w:pPr>
        <w:ind w:left="2140" w:right="3159" w:hanging="798"/>
        <w:spacing w:after="0" w:line="242" w:lineRule="auto"/>
        <w:tabs>
          <w:tab w:leader="none" w:pos="21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terminate the merger. If BlueGill, however, elects to reinstate the merger agreement, the number of shares of our common stock to be issued as consideration will be fixed at 5,000,000. If the average trading price is $45.00 per share, the purchase price would become $225 million and if the average trading price is $40.00 per share, the purchase price would become $200 million. To the extent that the purchase price is lower than $250 million, the reduction will reflect itself in lower goodwill on the balance sheet and will result in lower straight-line goodwill amortization expense over the next five year period.</w:t>
      </w:r>
    </w:p>
    <w:p>
      <w:pPr>
        <w:spacing w:after="0" w:line="180" w:lineRule="exact"/>
        <w:rPr>
          <w:rFonts w:ascii="Courier New" w:cs="Courier New" w:eastAsia="Courier New" w:hAnsi="Courier New"/>
          <w:sz w:val="15"/>
          <w:szCs w:val="15"/>
          <w:color w:val="auto"/>
        </w:rPr>
      </w:pPr>
    </w:p>
    <w:p>
      <w:pPr>
        <w:ind w:left="2140" w:right="3079" w:hanging="798"/>
        <w:spacing w:after="0" w:line="261" w:lineRule="auto"/>
        <w:tabs>
          <w:tab w:leader="none" w:pos="214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we do not terminate the merger, the purchase price will be fixed at $250 million and the number of shares of our common stock issued in consideration will be determined by dividing $250 million by the average trading price. In this instance, if the average trading price is $45.00 per share, we would issue 5,555,555 shares in consideration for BlueGill's stock and if the average trading price is $40.00 per share, we would issue 6,250,000 shares in consideration for BlueGill's stock. Because the purchase price will remain fixed at $250 million, under this scenario there will be no added impact on the balance sheet or future statements of operations.</w:t>
      </w:r>
    </w:p>
    <w:p>
      <w:pPr>
        <w:spacing w:after="0" w:line="16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PF-17</w:t>
      </w:r>
    </w:p>
    <w:p>
      <w:pPr>
        <w:sectPr>
          <w:pgSz w:w="11900" w:h="16838" w:orient="portrait"/>
          <w:cols w:equalWidth="0" w:num="1">
            <w:col w:w="9959"/>
          </w:cols>
          <w:pgMar w:left="50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34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WITH THE TRANSPOINT ENTITIES</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AS OF DECEMBER 31, 1999</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27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HISTORICAL AMOUNTS</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27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CHECKFREE</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TRANSPOINT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Cash and cash equivalents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$ 152,779</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$ 19,837</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100,000 (1)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272,616</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Investments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17,015</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17,015</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receivable, net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46,780</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46,780</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Prepaid expenses and other assets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11,863</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11,863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Deferred income taxes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8,324</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8,324</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assets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236,761</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19,837</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356,598</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Property and equipment, net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80,416</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1,445</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81,861</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Capitalized software, net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21,584</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9,439</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175,561</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206,584</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Goodwill, net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30,559</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806,003</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836,562</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intangible assets, net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12,795</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548,000</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560,795</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Investments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31,663</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31,663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Deferred income taxes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31,095</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31,095</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Other noncurrent assets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12,855</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12,855</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assets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$ 457,728</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$ 30,721</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$1,629,564</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$2,116,013</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payable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8,679</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$ 12,181</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20,860</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Accrued liabilities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37,494</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1,246</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42,740</w:t>
            </w:r>
          </w:p>
        </w:tc>
      </w:tr>
      <w:tr>
        <w:trPr>
          <w:trHeight w:val="172"/>
        </w:trPr>
        <w:tc>
          <w:tcPr>
            <w:tcW w:w="5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Deferred income taxes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79,120</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Current portion of long-term obligations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5,069</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5,069</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Deferred revenue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25,840</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250</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26,090</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liabilities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77,082</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13,677</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83,120</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173,879</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Accrued rent and other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4,862</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 less current</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portion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906</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906</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Convertible subordinated notes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172,500</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172,500</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Minority interest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43,061</w:t>
            </w:r>
          </w:p>
        </w:tc>
        <w:tc>
          <w:tcPr>
            <w:tcW w:w="4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(43,061)(1)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Deferred income taxes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214,080</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214,080</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liabilities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255,350</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56,738</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254,139</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566,227</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Common stock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524</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694</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 paid-in capital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504,058</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1,349,913</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1,853,296</w:t>
            </w:r>
          </w:p>
        </w:tc>
      </w:tr>
      <w:tr>
        <w:trPr>
          <w:trHeight w:val="172"/>
        </w:trPr>
        <w:tc>
          <w:tcPr>
            <w:tcW w:w="5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(675)(2)</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Members' capital deficiency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(26,017)</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(299)</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Accumulated deficit ................................</w:t>
            </w:r>
          </w:p>
        </w:tc>
        <w:tc>
          <w:tcPr>
            <w:tcW w:w="15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(301,905)</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(301,905)</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stockholder's equity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202,378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(26,017)</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1,375,425</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1,551,786</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Total liabilities and stockholders'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equity .............................</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$ 457,728</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$ 30,721</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$1,629,564</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$2,118,013</w:t>
            </w:r>
          </w:p>
        </w:tc>
      </w:tr>
      <w:tr>
        <w:trPr>
          <w:trHeight w:val="172"/>
        </w:trPr>
        <w:tc>
          <w:tcPr>
            <w:tcW w:w="5100" w:type="dxa"/>
            <w:vAlign w:val="bottom"/>
          </w:tcPr>
          <w:p>
            <w:pPr>
              <w:spacing w:after="0"/>
              <w:rPr>
                <w:sz w:val="14"/>
                <w:szCs w:val="14"/>
                <w:color w:val="auto"/>
              </w:rPr>
            </w:pP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PF-18</w:t>
      </w:r>
    </w:p>
    <w:p>
      <w:pPr>
        <w:sectPr>
          <w:pgSz w:w="11900" w:h="16838" w:orient="portrait"/>
          <w:cols w:equalWidth="0" w:num="1">
            <w:col w:w="10820"/>
          </w:cols>
          <w:pgMar w:left="240" w:top="289" w:right="839"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34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WITH THE TRANSPOINT ENTITIES</w:t>
      </w:r>
    </w:p>
    <w:p>
      <w:pPr>
        <w:spacing w:after="0" w:line="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FOR THE YEAR ENDED JUNE 30, 1999</w:t>
      </w:r>
    </w:p>
    <w:p>
      <w:pPr>
        <w:spacing w:after="0" w:line="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HISTORICAL AMOUNTS</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0"/>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PRO FORMA</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CHECKFREE</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TRANSPOINT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ADJUSTMENTS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4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Processing and servicing ....................</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$201,059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$ 201,059</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License fees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15,975</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15,975</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Maintenance fees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17,746</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17,746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15,351</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15,351</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revenues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250,131</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250,131</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Cost of processing, servicing and support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146,704</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3,062</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149,766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Research and development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21,085</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26,560</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47,645</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Sales and marketing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32,354</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11,302</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43,656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General and administrative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31,466</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2,403</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33,869</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24,630</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1,870</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359,001</w:t>
            </w:r>
          </w:p>
        </w:tc>
        <w:tc>
          <w:tcPr>
            <w:tcW w:w="5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(3)</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385,501</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2,201</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2,201</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expenses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258,440</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45,197</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359,001</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662,638</w:t>
            </w:r>
          </w:p>
        </w:tc>
      </w:tr>
      <w:tr>
        <w:trPr>
          <w:trHeight w:val="344"/>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gain on dispositions of assets ..........</w:t>
            </w:r>
          </w:p>
        </w:tc>
        <w:tc>
          <w:tcPr>
            <w:tcW w:w="280" w:type="dxa"/>
            <w:vAlign w:val="bottom"/>
          </w:tcPr>
          <w:p>
            <w:pPr>
              <w:spacing w:after="0"/>
              <w:rPr>
                <w:sz w:val="24"/>
                <w:szCs w:val="2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4,576</w:t>
            </w:r>
          </w:p>
        </w:tc>
        <w:tc>
          <w:tcPr>
            <w:tcW w:w="440" w:type="dxa"/>
            <w:vAlign w:val="bottom"/>
          </w:tcPr>
          <w:p>
            <w:pPr>
              <w:spacing w:after="0"/>
              <w:rPr>
                <w:sz w:val="24"/>
                <w:szCs w:val="2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4,576</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from operations ...........................</w:t>
            </w:r>
          </w:p>
        </w:tc>
        <w:tc>
          <w:tcPr>
            <w:tcW w:w="2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(3,733)</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(45,197)</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(359,001)</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(407,931)</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Minority interest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2,063</w:t>
            </w:r>
          </w:p>
        </w:tc>
        <w:tc>
          <w:tcPr>
            <w:tcW w:w="620" w:type="dxa"/>
            <w:vAlign w:val="bottom"/>
          </w:tcPr>
          <w:p>
            <w:pPr>
              <w:spacing w:after="0"/>
              <w:rPr>
                <w:sz w:val="14"/>
                <w:szCs w:val="14"/>
                <w:color w:val="auto"/>
              </w:rPr>
            </w:pP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(2,063)(4)</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net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2,181</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464</w:t>
            </w: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2,645</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Loss before income taxes .......................</w:t>
            </w:r>
          </w:p>
        </w:tc>
        <w:tc>
          <w:tcPr>
            <w:tcW w:w="2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(1,552)</w:t>
            </w:r>
          </w:p>
        </w:tc>
        <w:tc>
          <w:tcPr>
            <w:tcW w:w="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(42,670)</w:t>
            </w:r>
          </w:p>
        </w:tc>
        <w:tc>
          <w:tcPr>
            <w:tcW w:w="6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(361,064)</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(405,286)</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tax benefit .............................</w:t>
            </w:r>
          </w:p>
        </w:tc>
        <w:tc>
          <w:tcPr>
            <w:tcW w:w="28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(12,009)</w:t>
            </w:r>
          </w:p>
        </w:tc>
        <w:tc>
          <w:tcPr>
            <w:tcW w:w="4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(79,120)(3)</w:t>
            </w: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(91,129)</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Net income (loss) ..............................</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$ 10,457</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$(42,670)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$(281,944)</w:t>
            </w:r>
          </w:p>
        </w:tc>
        <w:tc>
          <w:tcPr>
            <w:tcW w:w="5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$(314,157)</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 ..........</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0.20</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52,444</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17,000</w:t>
            </w:r>
          </w:p>
        </w:tc>
        <w:tc>
          <w:tcPr>
            <w:tcW w:w="5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69,444</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 per common share ..........</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0.18</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Equivalent number of shares .................</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56,529</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12,915</w:t>
            </w:r>
          </w:p>
        </w:tc>
        <w:tc>
          <w:tcPr>
            <w:tcW w:w="5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(5)</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69,444</w:t>
            </w:r>
          </w:p>
        </w:tc>
      </w:tr>
      <w:tr>
        <w:trPr>
          <w:trHeight w:val="172"/>
        </w:trPr>
        <w:tc>
          <w:tcPr>
            <w:tcW w:w="4460" w:type="dxa"/>
            <w:vAlign w:val="bottom"/>
          </w:tcPr>
          <w:p>
            <w:pPr>
              <w:spacing w:after="0"/>
              <w:rPr>
                <w:sz w:val="14"/>
                <w:szCs w:val="14"/>
                <w:color w:val="auto"/>
              </w:rPr>
            </w:pP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PF-19</w:t>
      </w:r>
    </w:p>
    <w:p>
      <w:pPr>
        <w:sectPr>
          <w:pgSz w:w="11900" w:h="16838" w:orient="portrait"/>
          <w:cols w:equalWidth="0" w:num="1">
            <w:col w:w="10460"/>
          </w:cols>
          <w:pgMar w:left="240" w:top="289" w:right="11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48</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6"/>
        </w:trPr>
        <w:tc>
          <w:tcPr>
            <w:tcW w:w="3920" w:type="dxa"/>
            <w:vAlign w:val="bottom"/>
          </w:tcPr>
          <w:p>
            <w:pPr>
              <w:spacing w:after="0"/>
              <w:rPr>
                <w:sz w:val="24"/>
                <w:szCs w:val="24"/>
                <w:color w:val="auto"/>
              </w:rPr>
            </w:pPr>
          </w:p>
        </w:tc>
        <w:tc>
          <w:tcPr>
            <w:tcW w:w="3460" w:type="dxa"/>
            <w:vAlign w:val="bottom"/>
            <w:gridSpan w:val="4"/>
          </w:tcPr>
          <w:p>
            <w:pPr>
              <w:jc w:val="right"/>
              <w:ind w:right="685"/>
              <w:spacing w:after="0"/>
              <w:rPr>
                <w:sz w:val="20"/>
                <w:szCs w:val="20"/>
                <w:color w:val="auto"/>
              </w:rPr>
            </w:pPr>
            <w:r>
              <w:rPr>
                <w:rFonts w:ascii="Courier New" w:cs="Courier New" w:eastAsia="Courier New" w:hAnsi="Courier New"/>
                <w:sz w:val="15"/>
                <w:szCs w:val="15"/>
                <w:color w:val="auto"/>
                <w:w w:val="99"/>
              </w:rPr>
              <w:t>CHECKFREE HOLDINGS CORPORATION</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8660" w:type="dxa"/>
            <w:vAlign w:val="bottom"/>
            <w:gridSpan w:val="7"/>
          </w:tcPr>
          <w:p>
            <w:pPr>
              <w:jc w:val="right"/>
              <w:ind w:right="545"/>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3460" w:type="dxa"/>
            <w:vAlign w:val="bottom"/>
            <w:gridSpan w:val="4"/>
          </w:tcPr>
          <w:p>
            <w:pPr>
              <w:jc w:val="right"/>
              <w:ind w:right="865"/>
              <w:spacing w:after="0"/>
              <w:rPr>
                <w:sz w:val="20"/>
                <w:szCs w:val="20"/>
                <w:color w:val="auto"/>
              </w:rPr>
            </w:pPr>
            <w:r>
              <w:rPr>
                <w:rFonts w:ascii="Courier New" w:cs="Courier New" w:eastAsia="Courier New" w:hAnsi="Courier New"/>
                <w:sz w:val="15"/>
                <w:szCs w:val="15"/>
                <w:color w:val="auto"/>
                <w:w w:val="99"/>
              </w:rPr>
              <w:t>WITH THE TRANSPOINT ENTITIES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380" w:type="dxa"/>
            <w:vAlign w:val="bottom"/>
            <w:gridSpan w:val="5"/>
          </w:tcPr>
          <w:p>
            <w:pPr>
              <w:jc w:val="right"/>
              <w:ind w:right="165"/>
              <w:spacing w:after="0"/>
              <w:rPr>
                <w:sz w:val="20"/>
                <w:szCs w:val="20"/>
                <w:color w:val="auto"/>
              </w:rPr>
            </w:pPr>
            <w:r>
              <w:rPr>
                <w:rFonts w:ascii="Courier New" w:cs="Courier New" w:eastAsia="Courier New" w:hAnsi="Courier New"/>
                <w:sz w:val="15"/>
                <w:szCs w:val="15"/>
                <w:color w:val="auto"/>
              </w:rPr>
              <w:t>FOR THE SIX MONTHS ENDED DECEMBER 31, 1999</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380" w:type="dxa"/>
            <w:vAlign w:val="bottom"/>
            <w:gridSpan w:val="5"/>
          </w:tcPr>
          <w:p>
            <w:pPr>
              <w:jc w:val="right"/>
              <w:ind w:right="245"/>
              <w:spacing w:after="0"/>
              <w:rPr>
                <w:sz w:val="20"/>
                <w:szCs w:val="20"/>
                <w:color w:val="auto"/>
              </w:rPr>
            </w:pPr>
            <w:r>
              <w:rPr>
                <w:rFonts w:ascii="Courier New" w:cs="Courier New" w:eastAsia="Courier New" w:hAnsi="Courier New"/>
                <w:sz w:val="15"/>
                <w:szCs w:val="15"/>
                <w:color w:val="auto"/>
              </w:rPr>
              <w:t>(IN THOUSANDS, EXCEPT PER SHARE AMOUNTS)</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3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HISTORICAL AMOUNTS</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920" w:type="dxa"/>
            <w:vAlign w:val="bottom"/>
          </w:tcPr>
          <w:p>
            <w:pPr>
              <w:spacing w:after="0"/>
              <w:rPr>
                <w:sz w:val="14"/>
                <w:szCs w:val="14"/>
                <w:color w:val="auto"/>
              </w:rPr>
            </w:pPr>
          </w:p>
        </w:tc>
        <w:tc>
          <w:tcPr>
            <w:tcW w:w="1800" w:type="dxa"/>
            <w:vAlign w:val="bottom"/>
            <w:gridSpan w:val="2"/>
          </w:tcPr>
          <w:p>
            <w:pPr>
              <w:ind w:left="720"/>
              <w:spacing w:after="0"/>
              <w:rPr>
                <w:sz w:val="20"/>
                <w:szCs w:val="20"/>
                <w:color w:val="auto"/>
              </w:rPr>
            </w:pPr>
            <w:r>
              <w:rPr>
                <w:rFonts w:ascii="Courier New" w:cs="Courier New" w:eastAsia="Courier New" w:hAnsi="Courier New"/>
                <w:sz w:val="10"/>
                <w:szCs w:val="10"/>
                <w:color w:val="auto"/>
                <w:w w:val="70"/>
              </w:rPr>
              <w: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PRO FORMA</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CHECKFREE</w:t>
            </w:r>
          </w:p>
        </w:tc>
        <w:tc>
          <w:tcPr>
            <w:tcW w:w="16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TRANSPOINT</w:t>
            </w: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ADJUSTMENTS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920" w:type="dxa"/>
            <w:vAlign w:val="bottom"/>
          </w:tcPr>
          <w:p>
            <w:pPr>
              <w:spacing w:after="0"/>
              <w:rPr>
                <w:sz w:val="14"/>
                <w:szCs w:val="14"/>
                <w:color w:val="auto"/>
              </w:rPr>
            </w:pPr>
          </w:p>
        </w:tc>
        <w:tc>
          <w:tcPr>
            <w:tcW w:w="18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89"/>
              </w:rPr>
              <w:t>Processing and servicing ....................</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$120,931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$ 120,934</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License fees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6,197</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6,197</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Maintenance fees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8,956</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8,956</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5,905</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5,905</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gridSpan w:val="2"/>
          </w:tcPr>
          <w:p>
            <w:pPr>
              <w:jc w:val="right"/>
              <w:ind w:right="387"/>
              <w:spacing w:after="0"/>
              <w:rPr>
                <w:sz w:val="20"/>
                <w:szCs w:val="20"/>
                <w:color w:val="auto"/>
              </w:rPr>
            </w:pPr>
            <w:r>
              <w:rPr>
                <w:rFonts w:ascii="Courier New" w:cs="Courier New" w:eastAsia="Courier New" w:hAnsi="Courier New"/>
                <w:sz w:val="15"/>
                <w:szCs w:val="15"/>
                <w:color w:val="auto"/>
              </w:rPr>
              <w:t>Total revenues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141,989</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141,992</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Cost of processing, servicing and support</w:t>
            </w:r>
          </w:p>
        </w:tc>
        <w:tc>
          <w:tcPr>
            <w:tcW w:w="82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86,899</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7,616</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94,515</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Research and development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15,110</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1,521</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16,631</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Sales and marketing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18,577</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7,799</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26,376</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General and administrative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19,287</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1,267</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20,554</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Depreciation and amortization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14,756</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1,610</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165,000</w:t>
            </w:r>
          </w:p>
        </w:tc>
        <w:tc>
          <w:tcPr>
            <w:tcW w:w="5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(3)</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181,366</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In-process research and development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gridSpan w:val="2"/>
          </w:tcPr>
          <w:p>
            <w:pPr>
              <w:jc w:val="right"/>
              <w:ind w:right="387"/>
              <w:spacing w:after="0"/>
              <w:rPr>
                <w:sz w:val="20"/>
                <w:szCs w:val="20"/>
                <w:color w:val="auto"/>
              </w:rPr>
            </w:pPr>
            <w:r>
              <w:rPr>
                <w:rFonts w:ascii="Courier New" w:cs="Courier New" w:eastAsia="Courier New" w:hAnsi="Courier New"/>
                <w:sz w:val="15"/>
                <w:szCs w:val="15"/>
                <w:color w:val="auto"/>
              </w:rPr>
              <w:t>Total expenses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154,629</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19,813</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165,000</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339,442</w:t>
            </w:r>
          </w:p>
        </w:tc>
      </w:tr>
      <w:tr>
        <w:trPr>
          <w:trHeight w:val="344"/>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gain on dispositions of assets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Loss from operations ...........................</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(12,640)</w:t>
            </w:r>
          </w:p>
        </w:tc>
        <w:tc>
          <w:tcPr>
            <w:tcW w:w="44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(19,810)</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(165,000)</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(197,450)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Minority interest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2,876</w:t>
            </w:r>
          </w:p>
        </w:tc>
        <w:tc>
          <w:tcPr>
            <w:tcW w:w="480" w:type="dxa"/>
            <w:vAlign w:val="bottom"/>
          </w:tcPr>
          <w:p>
            <w:pPr>
              <w:spacing w:after="0"/>
              <w:rPr>
                <w:sz w:val="14"/>
                <w:szCs w:val="14"/>
                <w:color w:val="auto"/>
              </w:rPr>
            </w:pP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(2,876)(4)</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 net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911</w:t>
            </w: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1,054</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Loss before income taxes .......................</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(12,497)</w:t>
            </w:r>
          </w:p>
        </w:tc>
        <w:tc>
          <w:tcPr>
            <w:tcW w:w="44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7"/>
              </w:rPr>
              <w:t>(16,023)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(167,876)</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(196,396)</w:t>
            </w:r>
          </w:p>
        </w:tc>
      </w:tr>
      <w:tr>
        <w:trPr>
          <w:trHeight w:val="172"/>
        </w:trPr>
        <w:tc>
          <w:tcPr>
            <w:tcW w:w="4740" w:type="dxa"/>
            <w:vAlign w:val="bottom"/>
            <w:gridSpan w:val="2"/>
          </w:tcPr>
          <w:p>
            <w:pPr>
              <w:spacing w:after="0"/>
              <w:rPr>
                <w:sz w:val="20"/>
                <w:szCs w:val="20"/>
                <w:color w:val="auto"/>
              </w:rPr>
            </w:pPr>
            <w:r>
              <w:rPr>
                <w:rFonts w:ascii="Courier New" w:cs="Courier New" w:eastAsia="Courier New" w:hAnsi="Courier New"/>
                <w:sz w:val="15"/>
                <w:szCs w:val="15"/>
                <w:color w:val="auto"/>
              </w:rPr>
              <w:t>Income tax benefit .............................</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(4,592)</w:t>
            </w:r>
          </w:p>
        </w:tc>
        <w:tc>
          <w:tcPr>
            <w:tcW w:w="440" w:type="dxa"/>
            <w:vAlign w:val="bottom"/>
          </w:tcPr>
          <w:p>
            <w:pPr>
              <w:spacing w:after="0"/>
              <w:rPr>
                <w:sz w:val="14"/>
                <w:szCs w:val="14"/>
                <w:color w:val="auto"/>
              </w:rPr>
            </w:pPr>
          </w:p>
        </w:tc>
        <w:tc>
          <w:tcPr>
            <w:tcW w:w="122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(33,760)(3)</w:t>
            </w: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(38,352)</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90"/>
              </w:rPr>
              <w:t>Net income (loss) ..............................</w:t>
            </w:r>
          </w:p>
        </w:tc>
        <w:tc>
          <w:tcPr>
            <w:tcW w:w="18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(7,905)</w:t>
            </w:r>
          </w:p>
        </w:tc>
        <w:tc>
          <w:tcPr>
            <w:tcW w:w="16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$(16,023)</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$(134,116)</w:t>
            </w:r>
          </w:p>
        </w:tc>
        <w:tc>
          <w:tcPr>
            <w:tcW w:w="5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$(158,044)</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5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89"/>
              </w:rPr>
              <w:t>Net income (loss) per common share ..........</w:t>
            </w:r>
          </w:p>
        </w:tc>
        <w:tc>
          <w:tcPr>
            <w:tcW w:w="820" w:type="dxa"/>
            <w:vAlign w:val="bottom"/>
          </w:tcPr>
          <w:p>
            <w:pPr>
              <w:ind w:left="72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(0.15)</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Equivalent number of shares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52,023</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17,000</w:t>
            </w:r>
          </w:p>
        </w:tc>
        <w:tc>
          <w:tcPr>
            <w:tcW w:w="5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69,023</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89"/>
              </w:rPr>
              <w:t>Net income (loss) per common share ..........</w:t>
            </w:r>
          </w:p>
        </w:tc>
        <w:tc>
          <w:tcPr>
            <w:tcW w:w="820" w:type="dxa"/>
            <w:vAlign w:val="bottom"/>
          </w:tcPr>
          <w:p>
            <w:pPr>
              <w:ind w:left="72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(0.15)</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Equivalent number of shares .................</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52,023</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17,000</w:t>
            </w:r>
          </w:p>
        </w:tc>
        <w:tc>
          <w:tcPr>
            <w:tcW w:w="5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(1)</w:t>
            </w:r>
          </w:p>
        </w:tc>
        <w:tc>
          <w:tcPr>
            <w:tcW w:w="42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69,023</w:t>
            </w:r>
          </w:p>
        </w:tc>
      </w:tr>
      <w:tr>
        <w:trPr>
          <w:trHeight w:val="172"/>
        </w:trPr>
        <w:tc>
          <w:tcPr>
            <w:tcW w:w="3920" w:type="dxa"/>
            <w:vAlign w:val="bottom"/>
          </w:tcPr>
          <w:p>
            <w:pPr>
              <w:spacing w:after="0"/>
              <w:rPr>
                <w:sz w:val="14"/>
                <w:szCs w:val="14"/>
                <w:color w:val="auto"/>
              </w:rPr>
            </w:pP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PF-20</w:t>
      </w:r>
    </w:p>
    <w:p>
      <w:pPr>
        <w:sectPr>
          <w:pgSz w:w="11900" w:h="16838" w:orient="portrait"/>
          <w:cols w:equalWidth="0" w:num="1">
            <w:col w:w="10460"/>
          </w:cols>
          <w:pgMar w:left="240" w:top="289" w:right="1199"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CHECKFREE HOLDINGS CORPORATION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WITH THE TRANSPOINT ENTITIES</w:t>
      </w:r>
    </w:p>
    <w:p>
      <w:pPr>
        <w:spacing w:after="0" w:line="176" w:lineRule="exact"/>
        <w:rPr>
          <w:sz w:val="20"/>
          <w:szCs w:val="20"/>
          <w:color w:val="auto"/>
        </w:rPr>
      </w:pPr>
    </w:p>
    <w:p>
      <w:pPr>
        <w:ind w:right="3079" w:firstLine="439"/>
        <w:spacing w:after="0" w:line="242" w:lineRule="auto"/>
        <w:tabs>
          <w:tab w:leader="none" w:pos="716"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and related acquisition expenses as the total purchase price for the net assets of TransPoint, and the revaluation of TransPoint's capitalized software costs and the elimination of TransPoint's minority interest and member's capital deficiency, net of a contractual infusion of $100 million of cash by TransPoint.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3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100,000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Capitalized software, net...........................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175,561</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Goodwill, net.......................................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806,003</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intangible assets, net........................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548,000</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TransPoint minority interest........................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43,061</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CheckFree common stock......................</w:t>
            </w:r>
          </w:p>
        </w:tc>
        <w:tc>
          <w:tcPr>
            <w:tcW w:w="12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CheckFree additional paid-in capital........</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1,349,913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TransPoint member's capital deficiency......</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deferred income tax liability.......</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Long term deferred income tax liability.....</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214,080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acquisition expenses................</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r>
      <w:tr>
        <w:trPr>
          <w:trHeight w:val="172"/>
        </w:trPr>
        <w:tc>
          <w:tcPr>
            <w:tcW w:w="47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$1,672,625</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$1,672,625</w:t>
            </w:r>
          </w:p>
        </w:tc>
      </w:tr>
      <w:tr>
        <w:trPr>
          <w:trHeight w:val="172"/>
        </w:trPr>
        <w:tc>
          <w:tcPr>
            <w:tcW w:w="474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31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42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CheckFree common stock......................</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$1,350,083</w:t>
            </w:r>
          </w:p>
        </w:tc>
      </w:tr>
      <w:tr>
        <w:trPr>
          <w:trHeight w:val="172"/>
        </w:trPr>
        <w:tc>
          <w:tcPr>
            <w:tcW w:w="42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TransPoint cash infusion....................</w:t>
            </w:r>
          </w:p>
        </w:tc>
        <w:tc>
          <w:tcPr>
            <w:tcW w:w="15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(100,000)</w:t>
            </w:r>
          </w:p>
        </w:tc>
      </w:tr>
      <w:tr>
        <w:trPr>
          <w:trHeight w:val="172"/>
        </w:trPr>
        <w:tc>
          <w:tcPr>
            <w:tcW w:w="42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8"/>
              </w:rPr>
              <w:t>Estimated direct acquisition costs..........</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3,325</w:t>
            </w:r>
          </w:p>
        </w:tc>
      </w:tr>
      <w:tr>
        <w:trPr>
          <w:trHeight w:val="172"/>
        </w:trPr>
        <w:tc>
          <w:tcPr>
            <w:tcW w:w="42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 estimated purchase price.........</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$1,253,408</w:t>
            </w:r>
          </w:p>
        </w:tc>
      </w:tr>
      <w:tr>
        <w:trPr>
          <w:trHeight w:val="172"/>
        </w:trPr>
        <w:tc>
          <w:tcPr>
            <w:tcW w:w="42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estimated purchase price will be issued in exchange for the net assets of TransPoint on the closing date.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purchase price reflects the assumed issuance of 17,000,000 shares of our common stock at $79.42 per share, which is the average end of day price of our stock for the three trading days preceding and the three days following the announcement of the acquisition of TransPoint. Under the terms of the merger and contribution agreement, TransPoint is to be funded with $100 million in cash before the closing of the transaction.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PF-21</w:t>
      </w:r>
    </w:p>
    <w:p>
      <w:pPr>
        <w:sectPr>
          <w:pgSz w:w="11900" w:h="16838" w:orient="portrait"/>
          <w:cols w:equalWidth="0" w:num="1">
            <w:col w:w="10219"/>
          </w:cols>
          <w:pgMar w:left="240"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346"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6480" w:type="dxa"/>
            <w:vAlign w:val="bottom"/>
            <w:gridSpan w:val="2"/>
          </w:tcPr>
          <w:p>
            <w:pPr>
              <w:spacing w:after="0"/>
              <w:rPr>
                <w:sz w:val="20"/>
                <w:szCs w:val="20"/>
                <w:color w:val="auto"/>
              </w:rPr>
            </w:pPr>
            <w:r>
              <w:rPr>
                <w:rFonts w:ascii="Courier New" w:cs="Courier New" w:eastAsia="Courier New" w:hAnsi="Courier New"/>
                <w:sz w:val="15"/>
                <w:szCs w:val="15"/>
                <w:color w:val="auto"/>
              </w:rPr>
              <w:t>In-process research and development (Note B)</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Current technology and products:</w:t>
            </w:r>
          </w:p>
        </w:tc>
        <w:tc>
          <w:tcPr>
            <w:tcW w:w="3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BIS / communications</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life of 3 years)........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r>
      <w:tr>
        <w:trPr>
          <w:trHeight w:val="172"/>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Service center</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life of 3 years)........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85,000</w:t>
            </w:r>
          </w:p>
        </w:tc>
      </w:tr>
      <w:tr>
        <w:trPr>
          <w:trHeight w:val="172"/>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Delivery applications</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life of 3 years)........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50,000</w:t>
            </w:r>
          </w:p>
        </w:tc>
      </w:tr>
      <w:tr>
        <w:trPr>
          <w:trHeight w:val="172"/>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Payments / interface</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life of 3 years)........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24,000</w:t>
            </w:r>
          </w:p>
        </w:tc>
      </w:tr>
      <w:tr>
        <w:trPr>
          <w:trHeight w:val="172"/>
        </w:trPr>
        <w:tc>
          <w:tcPr>
            <w:tcW w:w="3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Sub-total IPRD and current technology and products.............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185,000</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life of 5 years)........</w:t>
            </w:r>
          </w:p>
        </w:tc>
        <w:tc>
          <w:tcPr>
            <w:tcW w:w="36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806,003</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Customer list</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life of 3 years)........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25,000</w:t>
            </w:r>
          </w:p>
        </w:tc>
      </w:tr>
      <w:tr>
        <w:trPr>
          <w:trHeight w:val="172"/>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Tradename</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life of 1 year )........</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29,000</w:t>
            </w:r>
          </w:p>
        </w:tc>
      </w:tr>
      <w:tr>
        <w:trPr>
          <w:trHeight w:val="172"/>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Strategic agreements</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9"/>
              </w:rPr>
              <w:t>(estimated life of 5 years)........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494,000</w:t>
            </w:r>
          </w:p>
        </w:tc>
      </w:tr>
      <w:tr>
        <w:trPr>
          <w:trHeight w:val="172"/>
        </w:trPr>
        <w:tc>
          <w:tcPr>
            <w:tcW w:w="3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Sub-total other intangible assets.............................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548,000</w:t>
            </w:r>
          </w:p>
        </w:tc>
      </w:tr>
      <w:tr>
        <w:trPr>
          <w:trHeight w:val="344"/>
        </w:trPr>
        <w:tc>
          <w:tcPr>
            <w:tcW w:w="6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Deferred income taxes...................................................</w:t>
            </w:r>
          </w:p>
        </w:tc>
        <w:tc>
          <w:tcPr>
            <w:tcW w:w="3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(293,200)</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assets of TransPoint:</w:t>
            </w: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6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19,838</w:t>
            </w:r>
          </w:p>
        </w:tc>
      </w:tr>
      <w:tr>
        <w:trPr>
          <w:trHeight w:val="172"/>
        </w:trPr>
        <w:tc>
          <w:tcPr>
            <w:tcW w:w="6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Property and equipment...............................................</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1,445</w:t>
            </w:r>
          </w:p>
        </w:tc>
      </w:tr>
      <w:tr>
        <w:trPr>
          <w:trHeight w:val="172"/>
        </w:trPr>
        <w:tc>
          <w:tcPr>
            <w:tcW w:w="6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Liabilities assumed..................................................</w:t>
            </w:r>
          </w:p>
        </w:tc>
        <w:tc>
          <w:tcPr>
            <w:tcW w:w="36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(13,678)</w:t>
            </w:r>
          </w:p>
        </w:tc>
      </w:tr>
      <w:tr>
        <w:trPr>
          <w:trHeight w:val="172"/>
        </w:trPr>
        <w:tc>
          <w:tcPr>
            <w:tcW w:w="3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Sub-total net assets.........................................</w:t>
            </w:r>
          </w:p>
        </w:tc>
        <w:tc>
          <w:tcPr>
            <w:tcW w:w="3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7,605</w:t>
            </w:r>
          </w:p>
        </w:tc>
      </w:tr>
      <w:tr>
        <w:trPr>
          <w:trHeight w:val="172"/>
        </w:trPr>
        <w:tc>
          <w:tcPr>
            <w:tcW w:w="3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6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Total Purchase Price....................................................</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$1,253,408</w:t>
            </w:r>
          </w:p>
        </w:tc>
      </w:tr>
      <w:tr>
        <w:trPr>
          <w:trHeight w:val="172"/>
        </w:trPr>
        <w:tc>
          <w:tcPr>
            <w:tcW w:w="3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planed future development work designed to replace the existing technology or product. The useful life assigned to goodwill is based upon currently acceptable lives for such assets. The useful life we assigned to the customer list is based on the estimate of the future revenue base from the existing customers. The useful life we assigned to tradename is based on the estimated time that will pass before we discontinue the use of the related name. We assigned a five-year life to the strategic agreements to coincide with the contractual life of the related agreements. We will amortize these intangible assets on a straight-line basis over their estimated useful lives.</w:t>
      </w:r>
    </w:p>
    <w:p>
      <w:pPr>
        <w:spacing w:after="0" w:line="181" w:lineRule="exact"/>
        <w:rPr>
          <w:sz w:val="20"/>
          <w:szCs w:val="20"/>
          <w:color w:val="auto"/>
        </w:rPr>
      </w:pPr>
    </w:p>
    <w:p>
      <w:pPr>
        <w:ind w:right="3519" w:firstLine="439"/>
        <w:spacing w:after="0"/>
        <w:tabs>
          <w:tab w:leader="none" w:pos="71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TransPoint.</w:t>
      </w:r>
    </w:p>
    <w:p>
      <w:pPr>
        <w:spacing w:after="0" w:line="200" w:lineRule="exact"/>
        <w:rPr>
          <w:sz w:val="20"/>
          <w:szCs w:val="20"/>
          <w:color w:val="auto"/>
        </w:rPr>
      </w:pPr>
    </w:p>
    <w:p>
      <w:pPr>
        <w:spacing w:after="0" w:line="318" w:lineRule="exact"/>
        <w:rPr>
          <w:sz w:val="20"/>
          <w:szCs w:val="20"/>
          <w:color w:val="auto"/>
        </w:rPr>
      </w:pPr>
    </w:p>
    <w:tbl>
      <w:tblPr>
        <w:tblLayout w:type="fixed"/>
        <w:tblInd w:w="170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3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Additional paid-in capital..........</w:t>
            </w:r>
          </w:p>
        </w:tc>
        <w:tc>
          <w:tcPr>
            <w:tcW w:w="14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$675</w:t>
            </w:r>
          </w:p>
        </w:tc>
      </w:tr>
      <w:tr>
        <w:trPr>
          <w:trHeight w:val="172"/>
        </w:trPr>
        <w:tc>
          <w:tcPr>
            <w:tcW w:w="3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Accrued liabilities............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$675</w:t>
            </w:r>
          </w:p>
        </w:tc>
      </w:tr>
    </w:tbl>
    <w:p>
      <w:pPr>
        <w:spacing w:after="0" w:line="348" w:lineRule="exact"/>
        <w:rPr>
          <w:sz w:val="20"/>
          <w:szCs w:val="20"/>
          <w:color w:val="auto"/>
        </w:rPr>
      </w:pPr>
    </w:p>
    <w:p>
      <w:pPr>
        <w:ind w:right="3339" w:firstLine="439"/>
        <w:spacing w:after="0" w:line="241" w:lineRule="auto"/>
        <w:tabs>
          <w:tab w:leader="none" w:pos="71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 from TransPoint.</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PF-22</w:t>
      </w:r>
    </w:p>
    <w:p>
      <w:pPr>
        <w:sectPr>
          <w:pgSz w:w="11900" w:h="16838" w:orient="portrait"/>
          <w:cols w:equalWidth="0" w:num="1">
            <w:col w:w="10219"/>
          </w:cols>
          <w:pgMar w:left="240" w:top="289" w:right="1440" w:bottom="1440" w:gutter="0" w:footer="0" w:header="0"/>
        </w:sectPr>
      </w:pPr>
    </w:p>
    <w:bookmarkStart w:id="52" w:name="page53"/>
    <w:bookmarkEnd w:id="52"/>
    <w:tbl>
      <w:tblPr>
        <w:tblLayout w:type="fixed"/>
        <w:tblInd w:w="260" w:type="dxa"/>
        <w:tblCellMar>
          <w:top w:w="0" w:type="dxa"/>
          <w:left w:w="0" w:type="dxa"/>
          <w:bottom w:w="0" w:type="dxa"/>
          <w:right w:w="0" w:type="dxa"/>
        </w:tblCellMar>
      </w:tblPr>
      <w:tr>
        <w:trPr>
          <w:trHeight w:val="170"/>
        </w:trPr>
        <w:tc>
          <w:tcPr>
            <w:tcW w:w="3840" w:type="dxa"/>
            <w:vAlign w:val="bottom"/>
          </w:tcPr>
          <w:p>
            <w:pPr>
              <w:jc w:val="right"/>
              <w:ind w:right="3585"/>
              <w:spacing w:after="0"/>
              <w:rPr>
                <w:sz w:val="20"/>
                <w:szCs w:val="20"/>
                <w:color w:val="auto"/>
              </w:rPr>
            </w:pPr>
            <w:r>
              <w:rPr>
                <w:rFonts w:ascii="Courier New" w:cs="Courier New" w:eastAsia="Courier New" w:hAnsi="Courier New"/>
                <w:sz w:val="15"/>
                <w:szCs w:val="15"/>
                <w:color w:val="auto"/>
                <w:w w:val="88"/>
              </w:rPr>
              <w:t>51</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516"/>
        </w:trPr>
        <w:tc>
          <w:tcPr>
            <w:tcW w:w="3840" w:type="dxa"/>
            <w:vAlign w:val="bottom"/>
          </w:tcPr>
          <w:p>
            <w:pPr>
              <w:spacing w:after="0"/>
              <w:rPr>
                <w:sz w:val="24"/>
                <w:szCs w:val="24"/>
                <w:color w:val="auto"/>
              </w:rPr>
            </w:pPr>
          </w:p>
        </w:tc>
        <w:tc>
          <w:tcPr>
            <w:tcW w:w="20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3840" w:type="dxa"/>
            <w:vAlign w:val="bottom"/>
          </w:tcPr>
          <w:p>
            <w:pPr>
              <w:ind w:left="80"/>
              <w:spacing w:after="0"/>
              <w:rPr>
                <w:sz w:val="20"/>
                <w:szCs w:val="20"/>
                <w:color w:val="auto"/>
              </w:rPr>
            </w:pPr>
            <w:r>
              <w:rPr>
                <w:rFonts w:ascii="Courier New" w:cs="Courier New" w:eastAsia="Courier New" w:hAnsi="Courier New"/>
                <w:sz w:val="15"/>
                <w:szCs w:val="15"/>
                <w:color w:val="auto"/>
              </w:rPr>
              <w:t>YEAR ENDED JUNE 30, 1999</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4"/>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$359,001</w:t>
            </w:r>
          </w:p>
        </w:tc>
        <w:tc>
          <w:tcPr>
            <w:tcW w:w="940" w:type="dxa"/>
            <w:vAlign w:val="bottom"/>
          </w:tcPr>
          <w:p>
            <w:pPr>
              <w:spacing w:after="0"/>
              <w:rPr>
                <w:sz w:val="24"/>
                <w:szCs w:val="24"/>
                <w:color w:val="auto"/>
              </w:rPr>
            </w:pP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Current deferred income tax liability...</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79,120</w:t>
            </w:r>
          </w:p>
        </w:tc>
        <w:tc>
          <w:tcPr>
            <w:tcW w:w="940" w:type="dxa"/>
            <w:vAlign w:val="bottom"/>
          </w:tcPr>
          <w:p>
            <w:pPr>
              <w:spacing w:after="0"/>
              <w:rPr>
                <w:sz w:val="14"/>
                <w:szCs w:val="14"/>
                <w:color w:val="auto"/>
              </w:rPr>
            </w:pP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Capitalized software, net...........</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$ 61,667</w:t>
            </w: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Goodwill, net.......................</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161,201</w:t>
            </w: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intangible assets, net........</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136,133</w:t>
            </w: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 tax benefit..................</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r>
      <w:tr>
        <w:trPr>
          <w:trHeight w:val="172"/>
        </w:trPr>
        <w:tc>
          <w:tcPr>
            <w:tcW w:w="38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$438,121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$438,121</w:t>
            </w:r>
          </w:p>
        </w:tc>
      </w:tr>
      <w:tr>
        <w:trPr>
          <w:trHeight w:val="172"/>
        </w:trPr>
        <w:tc>
          <w:tcPr>
            <w:tcW w:w="38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ind w:left="80"/>
              <w:spacing w:after="0"/>
              <w:rPr>
                <w:sz w:val="20"/>
                <w:szCs w:val="20"/>
                <w:color w:val="auto"/>
              </w:rPr>
            </w:pPr>
            <w:r>
              <w:rPr>
                <w:rFonts w:ascii="Courier New" w:cs="Courier New" w:eastAsia="Courier New" w:hAnsi="Courier New"/>
                <w:sz w:val="15"/>
                <w:szCs w:val="15"/>
                <w:color w:val="auto"/>
              </w:rPr>
              <w:t>SIX MONTHS ENDED DECEMBER 31, 1999</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$165,000</w:t>
            </w:r>
          </w:p>
        </w:tc>
        <w:tc>
          <w:tcPr>
            <w:tcW w:w="940" w:type="dxa"/>
            <w:vAlign w:val="bottom"/>
          </w:tcPr>
          <w:p>
            <w:pPr>
              <w:spacing w:after="0"/>
              <w:rPr>
                <w:sz w:val="14"/>
                <w:szCs w:val="14"/>
                <w:color w:val="auto"/>
              </w:rPr>
            </w:pP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Current deferred income tax liability...</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33,760</w:t>
            </w:r>
          </w:p>
        </w:tc>
        <w:tc>
          <w:tcPr>
            <w:tcW w:w="940" w:type="dxa"/>
            <w:vAlign w:val="bottom"/>
          </w:tcPr>
          <w:p>
            <w:pPr>
              <w:spacing w:after="0"/>
              <w:rPr>
                <w:sz w:val="14"/>
                <w:szCs w:val="14"/>
                <w:color w:val="auto"/>
              </w:rPr>
            </w:pP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Capitalized software, net...........</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$ 30,833</w:t>
            </w: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Goodwill, net.......................</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80,600</w:t>
            </w: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 intangible assets, net........</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53,567</w:t>
            </w: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Income tax benefit..................</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33,760</w:t>
            </w:r>
          </w:p>
        </w:tc>
      </w:tr>
      <w:tr>
        <w:trPr>
          <w:trHeight w:val="172"/>
        </w:trPr>
        <w:tc>
          <w:tcPr>
            <w:tcW w:w="38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$198,760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$198,760</w:t>
            </w:r>
          </w:p>
        </w:tc>
      </w:tr>
      <w:tr>
        <w:trPr>
          <w:trHeight w:val="172"/>
        </w:trPr>
        <w:tc>
          <w:tcPr>
            <w:tcW w:w="38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00" w:right="3159" w:firstLine="805"/>
        <w:spacing w:after="0" w:line="242"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5" w:lineRule="exact"/>
        <w:rPr>
          <w:sz w:val="20"/>
          <w:szCs w:val="20"/>
          <w:color w:val="auto"/>
        </w:rPr>
      </w:pPr>
    </w:p>
    <w:p>
      <w:pPr>
        <w:ind w:left="800" w:right="3159" w:firstLine="802"/>
        <w:spacing w:after="0" w:line="241" w:lineRule="auto"/>
        <w:tabs>
          <w:tab w:leader="none" w:pos="187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87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TransPoint's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TransPoint.</w:t>
      </w: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CheckFree common shares issued for TransPoint......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17,000</w:t>
      </w:r>
    </w:p>
    <w:p>
      <w:pPr>
        <w:spacing w:after="0" w:line="4" w:lineRule="exact"/>
        <w:rPr>
          <w:sz w:val="20"/>
          <w:szCs w:val="20"/>
          <w:color w:val="auto"/>
        </w:rPr>
      </w:pPr>
    </w:p>
    <w:p>
      <w:pPr>
        <w:sectPr>
          <w:pgSz w:w="11900" w:h="16838" w:orient="portrait"/>
          <w:cols w:equalWidth="0" w:num="2">
            <w:col w:w="5360" w:space="540"/>
            <w:col w:w="4319"/>
          </w:cols>
          <w:pgMar w:left="240" w:top="289"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Potentially dilutive securities:</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Options and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(4,085)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5360" w:space="540"/>
            <w:col w:w="4319"/>
          </w:cols>
          <w:pgMar w:left="240" w:top="289" w:right="1440" w:bottom="1440" w:gutter="0" w:footer="0" w:header="0"/>
          <w:type w:val="continuous"/>
        </w:sectPr>
      </w:pP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Net adjustment to dilutive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12,915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360" w:space="540"/>
            <w:col w:w="4319"/>
          </w:cols>
          <w:pgMar w:left="240" w:top="289"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6"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TransPoint; that the pro forma adjustments give appropriate effect to those assumptions; and that the pro forma adjustments are properly applied in the Unaudited Pro Forma Condensed Combining Balance Sheet and Statement of Operations.</w:t>
      </w:r>
    </w:p>
    <w:p>
      <w:pPr>
        <w:spacing w:after="0" w:line="177" w:lineRule="exact"/>
        <w:rPr>
          <w:sz w:val="20"/>
          <w:szCs w:val="20"/>
          <w:color w:val="auto"/>
        </w:rPr>
      </w:pPr>
    </w:p>
    <w:p>
      <w:pPr>
        <w:ind w:left="800" w:right="3159" w:firstLine="805"/>
        <w:spacing w:after="0" w:line="242" w:lineRule="auto"/>
        <w:rPr>
          <w:sz w:val="20"/>
          <w:szCs w:val="20"/>
          <w:color w:val="auto"/>
        </w:rPr>
      </w:pPr>
      <w:r>
        <w:rPr>
          <w:rFonts w:ascii="Courier New" w:cs="Courier New" w:eastAsia="Courier New" w:hAnsi="Courier New"/>
          <w:sz w:val="15"/>
          <w:szCs w:val="15"/>
          <w:color w:val="auto"/>
        </w:rPr>
        <w:t>Note B: The Unaudited Pro Forma Condensed Combining Balance Sheet of CheckFree and TransPoint has been prepared as if the transaction was completed as of December 31, 1999, and was accounted for as a purchase. We will issue 17,000,000 shares of our common stock valued at $79.42 for the net assets of TransPoint. Under the terms of the merger and contribution agreement, TransPoint is to be funded with $100 million of cash immediately prior to the closing of the transaction. We expect to incur approximately $3.3 million of direct acquisition costs. The total purchase price of $1,253,408,000 was allocated to assets acquired and liabilities assumed based on TransPoint's December 31, 1999 balance sheet.</w:t>
      </w:r>
    </w:p>
    <w:p>
      <w:pPr>
        <w:spacing w:after="0" w:line="17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PF-23</w:t>
      </w:r>
    </w:p>
    <w:p>
      <w:pPr>
        <w:sectPr>
          <w:pgSz w:w="11900" w:h="16838" w:orient="portrait"/>
          <w:cols w:equalWidth="0" w:num="1">
            <w:col w:w="10219"/>
          </w:cols>
          <w:pgMar w:left="240" w:top="289" w:right="1440" w:bottom="1440"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52</w:t>
      </w:r>
    </w:p>
    <w:p>
      <w:pPr>
        <w:spacing w:after="0" w:line="4"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The allocation of the TransPoint purchase price among the identifiable tangible and intangible assets is based on preliminary estimates of the fair market value of those assets. Final determination of the allocation of the purchase price will be based on independent appraisals that we expect to have completed shortly after the transaction is consummated.</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This transaction is expected to close within four to six months. TransPoint released the latest version of their electronic billing and payment processing system just one week prior to the announcement of this transaction. As a result, at this time, the value of in-process research and development is nominal and therefore not reflected. However, we will reassess the fair market value of the assets and liabilities assumed from TransPoint at the time of closing and we expect a portion of the purchase price to be allocated to in-process research and development at that time. Due to uncertainties regarding the specific products or technology enhancements that will be included in the next release and the specific date of the closing, we cannot currently provide a reasonable estimate of the expected value of in-process research and development.</w:t>
      </w:r>
    </w:p>
    <w:p>
      <w:pPr>
        <w:spacing w:after="0" w:line="181"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TransPoint statement of operations for the twelve months ended June 30, 1999. Our statement of operations for the six month period ended December 31, 1999 has been combined with the TransPoint statement of operations for the six months ended December 31, 1999. Actual income statements of CheckFree and TransPoint will be combined from the effective date of the transaction, with no retroactive restatement.</w:t>
      </w:r>
    </w:p>
    <w:p>
      <w:pPr>
        <w:spacing w:after="0" w:line="177"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Note D: The unaudited pro forma condensed combining statements of operations for CheckFree and TransPoint have been prepared as if the transaction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transaction taken place as of July 1, 1998.</w:t>
      </w:r>
    </w:p>
    <w:p>
      <w:pPr>
        <w:spacing w:after="0" w:line="34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PF-24</w:t>
      </w:r>
    </w:p>
    <w:p>
      <w:pPr>
        <w:sectPr>
          <w:pgSz w:w="11900" w:h="16838" w:orient="portrait"/>
          <w:cols w:equalWidth="0" w:num="1">
            <w:col w:w="9959"/>
          </w:cols>
          <w:pgMar w:left="500" w:top="28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53</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EXHIBIT INDEX</w:t>
      </w:r>
    </w:p>
    <w:p>
      <w:pPr>
        <w:spacing w:after="0" w:line="1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9" w:right="1440" w:bottom="1440" w:gutter="0" w:footer="0" w:header="0"/>
        </w:sectPr>
      </w:pPr>
    </w:p>
    <w:p>
      <w:pPr>
        <w:spacing w:after="0" w:line="357"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85" w:lineRule="exact"/>
        <w:rPr>
          <w:sz w:val="20"/>
          <w:szCs w:val="20"/>
          <w:color w:val="auto"/>
        </w:rPr>
      </w:pPr>
    </w:p>
    <w:p>
      <w:pPr>
        <w:sectPr>
          <w:pgSz w:w="11900" w:h="16838" w:orient="portrait"/>
          <w:cols w:equalWidth="0" w:num="2">
            <w:col w:w="3760" w:space="720"/>
            <w:col w:w="5479"/>
          </w:cols>
          <w:pgMar w:left="500" w:top="289"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4"/>
          <w:szCs w:val="14"/>
          <w:color w:val="auto"/>
        </w:rPr>
        <w:t>23.1*</w:t>
      </w:r>
    </w:p>
    <w:p>
      <w:pPr>
        <w:spacing w:after="0" w:line="13"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23.2*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Deloitte &amp; Touche LLP</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Arthur Andersen LLP.</w:t>
      </w:r>
    </w:p>
    <w:p>
      <w:pPr>
        <w:spacing w:after="0" w:line="4" w:lineRule="exact"/>
        <w:rPr>
          <w:sz w:val="20"/>
          <w:szCs w:val="20"/>
          <w:color w:val="auto"/>
        </w:rPr>
      </w:pPr>
    </w:p>
    <w:p>
      <w:pPr>
        <w:sectPr>
          <w:pgSz w:w="11900" w:h="16838" w:orient="portrait"/>
          <w:cols w:equalWidth="0" w:num="2">
            <w:col w:w="2760" w:space="720"/>
            <w:col w:w="6479"/>
          </w:cols>
          <w:pgMar w:left="500" w:top="289"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9" w:right="1440" w:bottom="1440" w:gutter="0" w:footer="0" w:header="0"/>
          <w:type w:val="continuous"/>
        </w:sectPr>
      </w:pPr>
    </w:p>
    <w:p>
      <w:pPr>
        <w:spacing w:after="0" w:line="18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 Filed with this amended report.</w:t>
      </w:r>
    </w:p>
    <w:p>
      <w:pPr>
        <w:sectPr>
          <w:pgSz w:w="11900" w:h="16838" w:orient="portrait"/>
          <w:cols w:equalWidth="0" w:num="1">
            <w:col w:w="9959"/>
          </w:cols>
          <w:pgMar w:left="500" w:top="289"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consent to the use in this Amendment No. 1 to Current Report on Form 8-K/A of CheckFree Holdings Corporation of our report dated October 22, 1999, (February 15, 2000 as to Note 4), on the consolidated financial statements of MSFDC, L.L.C. and subsidiaries, a development stage company, as of July 2, 1999, and July 3, 1998, and the related consolidated statements of operations, members' capital deficiency and cash flows for the year ended July 2, 1999, and the periods from June 18, 1997 (inception) to July 3, 1998, and from June 18, 1997 (inception) to July 2, 1999, appearing in this Report.</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26, 2000</w:t>
      </w:r>
    </w:p>
    <w:p>
      <w:pPr>
        <w:sectPr>
          <w:pgSz w:w="11900" w:h="16838" w:orient="portrait"/>
          <w:cols w:equalWidth="0" w:num="1">
            <w:col w:w="10219"/>
          </w:cols>
          <w:pgMar w:left="240" w:top="140"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23.2</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As independent public accountants, we hereby consent to the use in this Form 8-K/A No. 1 of our report dated February 28, 2000, covering the financial statements of BlueGill Technologies, Inc., appearing in this Current Report, which is a part of the Registration Statement No. 0-26802. It should be noted that we have not audited any financial statements of the company subsequent to December 31, 1999 or performed any audit procedures subsequent to the date of our report.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/s/ Arthur Andersen LLP</w:t>
      </w:r>
    </w:p>
    <w:p>
      <w:pPr>
        <w:spacing w:after="0" w:line="174"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Michigan,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26, 2000</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lowerLetter"/>
      <w:start w:val="1"/>
    </w:lvl>
    <w:lvl w:ilvl="1">
      <w:lvlJc w:val="left"/>
      <w:lvlText w:val="(%2)"/>
      <w:numFmt w:val="decimal"/>
      <w:start w:val="1"/>
    </w:lvl>
  </w:abstractNum>
  <w:abstractNum w:abstractNumId="1">
    <w:nsid w:val="721DA317"/>
    <w:multiLevelType w:val="hybridMultilevel"/>
    <w:lvl w:ilvl="0">
      <w:lvlJc w:val="left"/>
      <w:lvlText w:val="(%1)"/>
      <w:numFmt w:val="lowerLetter"/>
      <w:start w:val="2"/>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5"/>
    </w:lvl>
  </w:abstractNum>
  <w:abstractNum w:abstractNumId="7">
    <w:nsid w:val="79838CB2"/>
    <w:multiLevelType w:val="hybridMultilevel"/>
    <w:lvl w:ilvl="0">
      <w:lvlJc w:val="left"/>
      <w:lvlText w:val="(%1)"/>
      <w:numFmt w:val="decimal"/>
      <w:start w:val="6"/>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8"/>
    </w:lvl>
  </w:abstractNum>
  <w:abstractNum w:abstractNumId="10">
    <w:nsid w:val="189A769B"/>
    <w:multiLevelType w:val="hybridMultilevel"/>
    <w:lvl w:ilvl="0">
      <w:lvlJc w:val="left"/>
      <w:lvlText w:val="(%1)"/>
      <w:numFmt w:val="decimal"/>
      <w:start w:val="9"/>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1."/>
      <w:numFmt w:val="decimal"/>
      <w:start w:val="3"/>
    </w:lvl>
  </w:abstractNum>
  <w:abstractNum w:abstractNumId="19">
    <w:nsid w:val="7C3DBD3D"/>
    <w:multiLevelType w:val="hybridMultilevel"/>
    <w:lvl w:ilvl="0">
      <w:lvlJc w:val="left"/>
      <w:lvlText w:val="%1."/>
      <w:numFmt w:val="decimal"/>
      <w:start w:val="4"/>
    </w:lvl>
  </w:abstractNum>
  <w:abstractNum w:abstractNumId="20">
    <w:nsid w:val="737B8DDC"/>
    <w:multiLevelType w:val="hybridMultilevel"/>
    <w:lvl w:ilvl="0">
      <w:lvlJc w:val="left"/>
      <w:lvlText w:val="%1."/>
      <w:numFmt w:val="decimal"/>
      <w:start w:val="5"/>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2"/>
    </w:lvl>
  </w:abstractNum>
  <w:abstractNum w:abstractNumId="23">
    <w:nsid w:val="4516DDE9"/>
    <w:multiLevelType w:val="hybridMultilevel"/>
    <w:lvl w:ilvl="0">
      <w:lvlJc w:val="left"/>
      <w:lvlText w:val="%1."/>
      <w:numFmt w:val="decimal"/>
      <w:start w:val="3"/>
    </w:lvl>
  </w:abstractNum>
  <w:abstractNum w:abstractNumId="24">
    <w:nsid w:val="3006C83E"/>
    <w:multiLevelType w:val="hybridMultilevel"/>
    <w:lvl w:ilvl="0">
      <w:lvlJc w:val="left"/>
      <w:lvlText w:val="%1."/>
      <w:numFmt w:val="decimal"/>
      <w:start w:val="4"/>
    </w:lvl>
  </w:abstractNum>
  <w:abstractNum w:abstractNumId="25">
    <w:nsid w:val="614FD4A1"/>
    <w:multiLevelType w:val="hybridMultilevel"/>
    <w:lvl w:ilvl="0">
      <w:lvlJc w:val="left"/>
      <w:lvlText w:val="%1."/>
      <w:numFmt w:val="decimal"/>
      <w:start w:val="5"/>
    </w:lvl>
  </w:abstractNum>
  <w:abstractNum w:abstractNumId="26">
    <w:nsid w:val="419AC241"/>
    <w:multiLevelType w:val="hybridMultilevel"/>
    <w:lvl w:ilvl="0">
      <w:lvlJc w:val="left"/>
      <w:lvlText w:val="o"/>
      <w:numFmt w:val="bullet"/>
      <w:start w:val="1"/>
    </w:lvl>
  </w:abstractNum>
  <w:abstractNum w:abstractNumId="27">
    <w:nsid w:val="5577F8E1"/>
    <w:multiLevelType w:val="hybridMultilevel"/>
    <w:lvl w:ilvl="0">
      <w:lvlJc w:val="left"/>
      <w:lvlText w:val="o"/>
      <w:numFmt w:val="bullet"/>
      <w:start w:val="1"/>
    </w:lvl>
  </w:abstractNum>
  <w:abstractNum w:abstractNumId="28">
    <w:nsid w:val="440BADFC"/>
    <w:multiLevelType w:val="hybridMultilevel"/>
    <w:lvl w:ilvl="0">
      <w:lvlJc w:val="left"/>
      <w:lvlText w:val="o"/>
      <w:numFmt w:val="bullet"/>
      <w:start w:val="1"/>
    </w:lvl>
  </w:abstractNum>
  <w:abstractNum w:abstractNumId="29">
    <w:nsid w:val="5072367"/>
    <w:multiLevelType w:val="hybridMultilevel"/>
    <w:lvl w:ilvl="0">
      <w:lvlJc w:val="left"/>
      <w:lvlText w:val="o"/>
      <w:numFmt w:val="bullet"/>
      <w:start w:val="1"/>
    </w:lvl>
  </w:abstractNum>
  <w:abstractNum w:abstractNumId="30">
    <w:nsid w:val="3804823E"/>
    <w:multiLevelType w:val="hybridMultilevel"/>
    <w:lvl w:ilvl="0">
      <w:lvlJc w:val="left"/>
      <w:lvlText w:val="o"/>
      <w:numFmt w:val="bullet"/>
      <w:start w:val="1"/>
    </w:lvl>
  </w:abstractNum>
  <w:abstractNum w:abstractNumId="31">
    <w:nsid w:val="77465F01"/>
    <w:multiLevelType w:val="hybridMultilevel"/>
    <w:lvl w:ilvl="0">
      <w:lvlJc w:val="left"/>
      <w:lvlText w:val="o"/>
      <w:numFmt w:val="bullet"/>
      <w:start w:val="1"/>
    </w:lvl>
  </w:abstractNum>
  <w:abstractNum w:abstractNumId="32">
    <w:nsid w:val="7724C67E"/>
    <w:multiLevelType w:val="hybridMultilevel"/>
    <w:lvl w:ilvl="0">
      <w:lvlJc w:val="left"/>
      <w:lvlText w:val="o"/>
      <w:numFmt w:val="bullet"/>
      <w:start w:val="1"/>
    </w:lvl>
  </w:abstractNum>
  <w:abstractNum w:abstractNumId="33">
    <w:nsid w:val="5C482A97"/>
    <w:multiLevelType w:val="hybridMultilevel"/>
    <w:lvl w:ilvl="0">
      <w:lvlJc w:val="left"/>
      <w:lvlText w:val="o"/>
      <w:numFmt w:val="bullet"/>
      <w:start w:val="1"/>
    </w:lvl>
  </w:abstractNum>
  <w:abstractNum w:abstractNumId="34">
    <w:nsid w:val="2463B9EA"/>
    <w:multiLevelType w:val="hybridMultilevel"/>
    <w:lvl w:ilvl="0">
      <w:lvlJc w:val="left"/>
      <w:lvlText w:val="o"/>
      <w:numFmt w:val="bullet"/>
      <w:start w:val="1"/>
    </w:lvl>
  </w:abstractNum>
  <w:abstractNum w:abstractNumId="35">
    <w:nsid w:val="5E884ADC"/>
    <w:multiLevelType w:val="hybridMultilevel"/>
    <w:lvl w:ilvl="0">
      <w:lvlJc w:val="left"/>
      <w:lvlText w:val="o"/>
      <w:numFmt w:val="bullet"/>
      <w:start w:val="1"/>
    </w:lvl>
  </w:abstractNum>
  <w:abstractNum w:abstractNumId="36">
    <w:nsid w:val="51EAD36B"/>
    <w:multiLevelType w:val="hybridMultilevel"/>
    <w:lvl w:ilvl="0">
      <w:lvlJc w:val="left"/>
      <w:lvlText w:val="o"/>
      <w:numFmt w:val="bullet"/>
      <w:start w:val="1"/>
    </w:lvl>
  </w:abstractNum>
  <w:abstractNum w:abstractNumId="37">
    <w:nsid w:val="2D517796"/>
    <w:multiLevelType w:val="hybridMultilevel"/>
    <w:lvl w:ilvl="0">
      <w:lvlJc w:val="left"/>
      <w:lvlText w:val="o"/>
      <w:numFmt w:val="bullet"/>
      <w:start w:val="1"/>
    </w:lvl>
    <w:lvl w:ilvl="1">
      <w:lvlJc w:val="left"/>
      <w:lvlText w:val="(%2)"/>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2"/>
    </w:lvl>
  </w:abstractNum>
  <w:abstractNum w:abstractNumId="40">
    <w:nsid w:val="3855585C"/>
    <w:multiLevelType w:val="hybridMultilevel"/>
    <w:lvl w:ilvl="0">
      <w:lvlJc w:val="left"/>
      <w:lvlText w:val="%1."/>
      <w:numFmt w:val="decimal"/>
      <w:start w:val="3"/>
    </w:lvl>
  </w:abstractNum>
  <w:abstractNum w:abstractNumId="41">
    <w:nsid w:val="70A64E2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2019-12-14T06:01:00Z</dcterms:created>
  <dcterms:modified xsi:type="dcterms:W3CDTF">2019-12-14T06:01:00Z</dcterms:modified>
</cp:coreProperties>
</file>