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158750</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186690</wp:posOffset>
            </wp:positionV>
            <wp:extent cx="3953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700" w:right="54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5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0-14948</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-302895</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227965</wp:posOffset>
            </wp:positionV>
            <wp:extent cx="3953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w w:val="99"/>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39-1506125</w:t>
            </w:r>
          </w:p>
        </w:tc>
      </w:tr>
      <w:tr>
        <w:trPr>
          <w:trHeight w:val="180"/>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(I. R. S. Employer</w:t>
            </w:r>
          </w:p>
        </w:tc>
      </w:tr>
      <w:tr>
        <w:trPr>
          <w:trHeight w:val="186"/>
        </w:trPr>
        <w:tc>
          <w:tcPr>
            <w:tcW w:w="65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rPr>
              <w:t>255 FISERV DRIVE, BROOKFIELD, WI</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53045</w:t>
            </w:r>
          </w:p>
        </w:tc>
      </w:tr>
      <w:tr>
        <w:trPr>
          <w:trHeight w:val="218"/>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6520" w:type="dxa"/>
            <w:vAlign w:val="bottom"/>
          </w:tcPr>
          <w:p>
            <w:pPr>
              <w:jc w:val="right"/>
              <w:ind w:right="1240"/>
              <w:spacing w:after="0"/>
              <w:rPr>
                <w:sz w:val="20"/>
                <w:szCs w:val="20"/>
                <w:color w:val="auto"/>
              </w:rPr>
            </w:pPr>
            <w:r>
              <w:rPr>
                <w:rFonts w:ascii="Arial" w:cs="Arial" w:eastAsia="Arial" w:hAnsi="Arial"/>
                <w:sz w:val="18"/>
                <w:szCs w:val="18"/>
                <w:b w:val="1"/>
                <w:bCs w:val="1"/>
                <w:color w:val="auto"/>
              </w:rPr>
              <w:t>(262) 879-5000</w:t>
            </w:r>
          </w:p>
        </w:tc>
        <w:tc>
          <w:tcPr>
            <w:tcW w:w="1340" w:type="dxa"/>
            <w:vAlign w:val="bottom"/>
          </w:tcPr>
          <w:p>
            <w:pPr>
              <w:spacing w:after="0"/>
              <w:rPr>
                <w:sz w:val="24"/>
                <w:szCs w:val="24"/>
                <w:color w:val="auto"/>
              </w:rPr>
            </w:pPr>
          </w:p>
        </w:tc>
      </w:tr>
      <w:tr>
        <w:trPr>
          <w:trHeight w:val="186"/>
        </w:trPr>
        <w:tc>
          <w:tcPr>
            <w:tcW w:w="6520" w:type="dxa"/>
            <w:vAlign w:val="bottom"/>
          </w:tcPr>
          <w:p>
            <w:pPr>
              <w:jc w:val="center"/>
              <w:ind w:left="268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299085</wp:posOffset>
            </wp:positionV>
            <wp:extent cx="3953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3"/>
                <w:szCs w:val="23"/>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(Do not check if a smaller reporting company)</w:t>
            </w:r>
          </w:p>
        </w:tc>
        <w:tc>
          <w:tcPr>
            <w:tcW w:w="262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ind w:right="186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21, 2017, there were 212,377,981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335280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70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700" w:type="dxa"/>
            <w:vAlign w:val="bottom"/>
            <w:gridSpan w:val="18"/>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w:t>
              </w:r>
            </w:hyperlink>
          </w:p>
        </w:tc>
        <w:tc>
          <w:tcPr>
            <w:tcW w:w="68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w:t>
              </w:r>
            </w:hyperlink>
          </w:p>
        </w:tc>
        <w:tc>
          <w:tcPr>
            <w:tcW w:w="5800" w:type="dxa"/>
            <w:vAlign w:val="bottom"/>
            <w:gridSpan w:val="4"/>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68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center"/>
              <w:spacing w:after="0"/>
              <w:rPr>
                <w:rFonts w:ascii="Arial" w:cs="Arial" w:eastAsia="Arial" w:hAnsi="Arial"/>
                <w:sz w:val="18"/>
                <w:szCs w:val="18"/>
                <w:color w:val="auto"/>
                <w:w w:val="89"/>
              </w:rPr>
            </w:pPr>
            <w:hyperlink w:anchor="page14">
              <w:r>
                <w:rPr>
                  <w:rFonts w:ascii="Arial" w:cs="Arial" w:eastAsia="Arial" w:hAnsi="Arial"/>
                  <w:sz w:val="18"/>
                  <w:szCs w:val="18"/>
                  <w:color w:val="auto"/>
                  <w:w w:val="89"/>
                </w:rPr>
                <w:t>12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1"/>
                <w:szCs w:val="21"/>
                <w:color w:val="auto"/>
              </w:rPr>
            </w:pPr>
          </w:p>
        </w:tc>
        <w:tc>
          <w:tcPr>
            <w:tcW w:w="3440" w:type="dxa"/>
            <w:vAlign w:val="bottom"/>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8120" w:type="dxa"/>
            <w:vAlign w:val="bottom"/>
            <w:gridSpan w:val="12"/>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PART II – OTHER INFORMATION</w:t>
              </w:r>
            </w:hyperlink>
          </w:p>
        </w:tc>
        <w:tc>
          <w:tcPr>
            <w:tcW w:w="80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8560" w:type="dxa"/>
            <w:vAlign w:val="bottom"/>
            <w:gridSpan w:val="13"/>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5540" w:type="dxa"/>
            <w:vAlign w:val="bottom"/>
            <w:gridSpan w:val="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68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8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Signatures</w:t>
        </w:r>
      </w:hyperlink>
    </w:p>
    <w:p>
      <w:pPr>
        <w:spacing w:after="0" w:line="63" w:lineRule="exact"/>
        <w:rPr>
          <w:sz w:val="20"/>
          <w:szCs w:val="20"/>
          <w:color w:val="auto"/>
        </w:rPr>
      </w:pPr>
    </w:p>
    <w:p>
      <w:pPr>
        <w:ind w:left="8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Fiserv, Inc.</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33020</wp:posOffset>
            </wp:positionV>
            <wp:extent cx="2178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Arial" w:cs="Arial" w:eastAsia="Arial" w:hAnsi="Arial"/>
                <w:sz w:val="16"/>
                <w:szCs w:val="16"/>
                <w:b w:val="1"/>
                <w:bCs w:val="1"/>
                <w:color w:val="auto"/>
              </w:rPr>
              <w:t>2016</w:t>
            </w:r>
          </w:p>
        </w:tc>
      </w:tr>
      <w:tr>
        <w:trPr>
          <w:trHeight w:val="33"/>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Processing and services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1,122</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Cost of processing and services</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0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and investment loss, net</w:t>
            </w:r>
          </w:p>
        </w:tc>
        <w:tc>
          <w:tcPr>
            <w:tcW w:w="10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income from investment in unconsolidated affiliate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investment in unconsolidated affiliate</w:t>
            </w:r>
          </w:p>
        </w:tc>
        <w:tc>
          <w:tcPr>
            <w:tcW w:w="10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311"/>
        </w:trPr>
        <w:tc>
          <w:tcPr>
            <w:tcW w:w="7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324"/>
        </w:trPr>
        <w:tc>
          <w:tcPr>
            <w:tcW w:w="7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223.5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r>
      <w:tr>
        <w:trPr>
          <w:trHeight w:val="27"/>
        </w:trPr>
        <w:tc>
          <w:tcPr>
            <w:tcW w:w="7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240" w:top="125" w:right="5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market value adjustment on cash flow hedges, net of income tax provision of $1 million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0"/>
              </w:rPr>
              <w:t>Reclassification adjustment for net realized losses on cash flow hedges included in interest expense, net</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00" w:type="dxa"/>
            <w:vAlign w:val="bottom"/>
          </w:tcPr>
          <w:p>
            <w:pPr>
              <w:ind w:left="620"/>
              <w:spacing w:after="0"/>
              <w:rPr>
                <w:sz w:val="20"/>
                <w:szCs w:val="20"/>
                <w:color w:val="auto"/>
              </w:rPr>
            </w:pPr>
            <w:r>
              <w:rPr>
                <w:rFonts w:ascii="Arial" w:cs="Arial" w:eastAsia="Arial" w:hAnsi="Arial"/>
                <w:sz w:val="18"/>
                <w:szCs w:val="18"/>
                <w:color w:val="auto"/>
              </w:rPr>
              <w:t>of income tax provision of $1 million in each period</w:t>
            </w:r>
          </w:p>
        </w:tc>
        <w:tc>
          <w:tcPr>
            <w:tcW w:w="11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other comprehensive income</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526</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5,373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9,743</w:t>
            </w:r>
          </w:p>
        </w:tc>
      </w:tr>
      <w:tr>
        <w:trPr>
          <w:trHeight w:val="67"/>
        </w:trPr>
        <w:tc>
          <w:tcPr>
            <w:tcW w:w="79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5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1,242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483</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4,467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153</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900.0 million shares authorized; 395.7 million shares issued</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1,020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8,994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182.8 million and 180.2 million shares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2,541</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other amortization</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awards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investment in unconsolidated affiliate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Dividends from unconsolidated affiliate</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impairment charges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Trade accounts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including capitalization of software costs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Payments for acquisitions of businesses, net of cash acquired</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proceeds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 repayments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treasury stock</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treasury stock, including employee shares withheld for tax obligations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share-based awards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beginning balance</w:t>
            </w: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ending balance</w:t>
            </w: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consolidated financial statements for the three-month periods ended March 31, 2017 and 2016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Fiserv, Inc. and all 100% owned subsidiaries. Investments in less than 50% owned affiliates in which the Company has significant influence but not control are accounted for using the equity method of accounting. All intercompany transactions and balances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January 2017, the Financial Accounting Standards Board (“FASB”) issued Accounting Standards Update (“ASU”) No. 2017-04, </w:t>
      </w:r>
      <w:r>
        <w:rPr>
          <w:rFonts w:ascii="Arial" w:cs="Arial" w:eastAsia="Arial" w:hAnsi="Arial"/>
          <w:sz w:val="17"/>
          <w:szCs w:val="17"/>
          <w:i w:val="1"/>
          <w:iCs w:val="1"/>
          <w:color w:val="auto"/>
        </w:rPr>
        <w:t>Intangibles -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 (Topic 350): Simplifying the Test for Goodwill Impairment </w:t>
      </w:r>
      <w:r>
        <w:rPr>
          <w:rFonts w:ascii="Arial" w:cs="Arial" w:eastAsia="Arial" w:hAnsi="Arial"/>
          <w:sz w:val="17"/>
          <w:szCs w:val="17"/>
          <w:color w:val="auto"/>
        </w:rPr>
        <w:t>(“ASU 2017-04”), which eliminates Step 2 of the goodwill impairment test that had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a hypothetical purchase price allocation. Rather, entities should apply the same impairment assessment to all reporting units and recognize an impairment loss for the amount by which a reporting unit's carrying amount exceeds its fair value, without exceeding the total amount of goodwill allocated to that reporting unit. Entities will continue to have the option to perform a qualitative assessment for a reporting unit to determine if the quantitative impairment test is necessary. ASU 2017-04 will be effective prospectively for annual or interim goodwill impairment tests in fiscal years beginning after December 15, 2019, or those beginning after January 1, 2017 if early adopted. The Company early adopted ASU 2017-04 in the first quarter of 2017. The adoption of this ASU did not have any </w:t>
      </w:r>
      <w:r>
        <w:rPr>
          <w:rFonts w:ascii="Arial" w:cs="Arial" w:eastAsia="Arial" w:hAnsi="Arial"/>
          <w:sz w:val="17"/>
          <w:szCs w:val="17"/>
          <w:color w:val="252525"/>
        </w:rPr>
        <w:t>impact on t</w:t>
      </w:r>
      <w:r>
        <w:rPr>
          <w:rFonts w:ascii="Arial" w:cs="Arial" w:eastAsia="Arial" w:hAnsi="Arial"/>
          <w:sz w:val="17"/>
          <w:szCs w:val="17"/>
          <w:color w:val="auto"/>
        </w:rPr>
        <w:t xml:space="preserve">he Company's consolidated </w:t>
      </w:r>
      <w:r>
        <w:rPr>
          <w:rFonts w:ascii="Arial" w:cs="Arial" w:eastAsia="Arial" w:hAnsi="Arial"/>
          <w:sz w:val="17"/>
          <w:szCs w:val="17"/>
          <w:color w:val="252525"/>
        </w:rPr>
        <w:t>financial statements and is not expected to have a material impact on its consolidated financial</w:t>
      </w:r>
      <w:r>
        <w:rPr>
          <w:rFonts w:ascii="Arial" w:cs="Arial" w:eastAsia="Arial" w:hAnsi="Arial"/>
          <w:sz w:val="17"/>
          <w:szCs w:val="17"/>
          <w:color w:val="auto"/>
        </w:rPr>
        <w:t xml:space="preserve"> </w:t>
      </w:r>
      <w:r>
        <w:rPr>
          <w:rFonts w:ascii="Arial" w:cs="Arial" w:eastAsia="Arial" w:hAnsi="Arial"/>
          <w:sz w:val="17"/>
          <w:szCs w:val="17"/>
          <w:color w:val="252525"/>
        </w:rPr>
        <w:t>statements going forward.</w:t>
      </w:r>
    </w:p>
    <w:p>
      <w:pPr>
        <w:spacing w:after="0" w:line="12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which clarifies the definition of a business with the objective of adding guidance and providing a more robust framework to assist reporting organizations with evaluating whether transactions should be accounted for as acquisitions (or disposals) of assets or businesses. For public entities, ASU 2017-01 is effective prospectively for fiscal years, including interim periods within those fiscal years, beginning after December 15, 2017, with early adoption permitted for transactions occurring before the issuance or effective date of the standard for which financial statements have not yet been issued. The Company early adopted ASU 2017-01 in the first quarter of 2017, and the adoption did not have a material impact on its consolidated financial statements.</w:t>
      </w:r>
    </w:p>
    <w:p>
      <w:pPr>
        <w:spacing w:after="0" w:line="11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(“ASU 2016-15”), which adds or clarifies guidance on the presentation and classification of eight specific types of cash receipts and cash payments in the statement of cash flows, with the intent of reducing diversity in practice. For public entities, ASU 2016-15 is effective for fiscal years, including interim periods within those fiscal years, beginning after December 15, 2017, with early adoption permitted. Entities must apply the guidance retrospectively to all periods presented unless retrospective application is impracticable. The Company early adopted ASU 2016-15 in the first quarter of 2017, and the adoption did not have a material impact on its consolidated financial statements.</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which simplifies several aspects of the accounting for share-based payment awards, including the accounting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and forfeitures, as well as classification in the statement of cash flows. The standard requires that all tax effects related to share-based payments be recorded as income tax expense or benefit in the income statement at settlement or expiration and, accordingly, excess tax benefits and tax deficiencies be presented as operating activities in the statement of cash flows. For public entities, ASU 2016-09 is effective for annual periods beginning after December 15, 2016, including interim periods within those annual periods. The recognition of all excess tax</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benefits and tax deficiencies in the income statement, as well as related changes to the computation of diluted earnings per share, is to be applied prospectively. The impact of this standard on the Company’s consolidated financial statements depends on the intrinsic value of share-based compensation awards at the time of exercise or vesting, may result in more variability in effective tax rates and net earnings, and may impact the dilution of common stock equivalents. The Company adopted ASU 2016-09 effective January 1, 2017. As a result of this adoption, the Company recorded excess tax benefits related to share-based compensation awards of $25 million in the first quarter of 2017 in the income tax provision, whereas such benefits were previously recognized in equity. The Company elected to apply the change in presentation in the statement of cash flows prospectively, and as a result, excess tax benefits are classified as operating activities when realized through reductions to subsequent tax payments. The treatment of forfeitures did not change as the Company elected to continue its current practice of estimating expected forfeitures.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(“ASU 2016-16”), which eliminates the current prohibition on immediate recognition of the current and deferred income tax effects of intra-entity transfers of assets other than inventory, with the intent of reducing complexity and diversity in practice. Under ASU 2016-16, entities must recognize the income tax consequences when the transfer occurs rather than deferring recognition. For public entities, ASU 2016-16 is effective for fiscal years, including interim periods within those fiscal years, beginning after December 15, 2017, with early adoption permitted as of the beginning of a fiscal year. Entities must apply the guidance on a modified retrospective basis though a cumulative-effect adjustment to retained earnings as of the beginning of the period of adoption. The Company does not expect the adoption of ASU 2016-16 to have a material impact on its consolidated financial statements.</w:t>
      </w:r>
    </w:p>
    <w:p>
      <w:pPr>
        <w:spacing w:after="0" w:line="12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prescribes an impairment model for most financial assets based on expected losses rather than incurred losses. Under this model, an estimate of </w:t>
      </w:r>
      <w:r>
        <w:rPr>
          <w:rFonts w:ascii="Arial" w:cs="Arial" w:eastAsia="Arial" w:hAnsi="Arial"/>
          <w:sz w:val="17"/>
          <w:szCs w:val="17"/>
          <w:color w:val="252525"/>
        </w:rPr>
        <w:t>expected credit losses over the</w:t>
      </w:r>
      <w:r>
        <w:rPr>
          <w:rFonts w:ascii="Arial" w:cs="Arial" w:eastAsia="Arial" w:hAnsi="Arial"/>
          <w:sz w:val="17"/>
          <w:szCs w:val="17"/>
          <w:color w:val="auto"/>
        </w:rPr>
        <w:t xml:space="preserve"> </w:t>
      </w:r>
      <w:r>
        <w:rPr>
          <w:rFonts w:ascii="Arial" w:cs="Arial" w:eastAsia="Arial" w:hAnsi="Arial"/>
          <w:sz w:val="17"/>
          <w:szCs w:val="17"/>
          <w:color w:val="252525"/>
        </w:rPr>
        <w:t xml:space="preserve">contractual life of the instrument is to be recorded as of the end of a reporting period as an allowance to offset the amortized cost basis, resulting in a net presentation of the amount expected to be collected on the financial asset. </w:t>
      </w:r>
      <w:r>
        <w:rPr>
          <w:rFonts w:ascii="Arial" w:cs="Arial" w:eastAsia="Arial" w:hAnsi="Arial"/>
          <w:sz w:val="17"/>
          <w:szCs w:val="17"/>
          <w:color w:val="000000"/>
        </w:rPr>
        <w:t>For public entities, ASU 2016-13 is effective for fiscal years, including interim</w:t>
      </w:r>
      <w:r>
        <w:rPr>
          <w:rFonts w:ascii="Arial" w:cs="Arial" w:eastAsia="Arial" w:hAnsi="Arial"/>
          <w:sz w:val="17"/>
          <w:szCs w:val="17"/>
          <w:color w:val="252525"/>
        </w:rPr>
        <w:t xml:space="preserve"> </w:t>
      </w:r>
      <w:r>
        <w:rPr>
          <w:rFonts w:ascii="Arial" w:cs="Arial" w:eastAsia="Arial" w:hAnsi="Arial"/>
          <w:sz w:val="17"/>
          <w:szCs w:val="17"/>
          <w:color w:val="000000"/>
        </w:rPr>
        <w:t>periods within those fiscal years, beginning after December 15, 2019. Early adoption is permitted for fiscal years beginning after December 15, 2018, including interim periods within those fiscal years. For most instruments, entities must apply the standard using a cumulative-effect adjustment to beginning retained earnings as of the beginning of the fiscal year of adoption. The Company is currently assessing the impact that the adoption of ASU 2016-13 will have on its consolidated financial statements.</w:t>
      </w:r>
    </w:p>
    <w:p>
      <w:pPr>
        <w:spacing w:after="0" w:line="1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 lease liability and a right-of-use asset for each lease with a term longer than twelve months. The recognized liability is measured at the present value of lease payments not yet paid, and the corresponding asset represents the lessee’s right to use the underlying asset over the lease term and is based on the liability, subject to certain adjustments. For income statement purposes, the standard retains the dual model with leases classified as either operating or finance. Operating leases will result in straight-line expense while finance leases will result in a front-loaded expense pattern. For public entities, ASU 2016-02 is effective for annual and interim periods beginning after December 15, 2018, with early adoption permitted. The standard requires a modified retrospective transition approach for leases existing at, or entered into after, the beginning of the earliest comparative period presented in the financial statements. The Company is currently assessing the impact that the adoption of ASU 2016-02 will have on its consolidated financial statements.</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primarily affects the accounting for equity investments, financial liabilities under the fair value option, and the presentation and disclosure requirements of financial instruments. For public entities, ASU 2016-01 is effective for fiscal years, and interim periods within those years, beginning after December 15, 2017, with early adoption permitted for certain provisions of the standard. Entities must apply the standard, with certain exceptions, using a cumulative-effect adjustment to beginning retained earnings as of the beginning of the fiscal year of adoption. The Company is currently assessing the impact that the adoption of ASU 2016-01 will have on its consolidated financial statements.</w:t>
      </w:r>
    </w:p>
    <w:p>
      <w:pPr>
        <w:spacing w:after="0" w:line="13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to clarify the principles of recognizing revenue and to create common revenue recognition guidance between U.S. generally accepted accounting principles and International Financial Reporting Standards. ASU 2014-09 outlines a single comprehensive model for entities to use in accounting for revenue arising from contracts with customers and supersedes most current revenue recognition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This model involves a five-step process for achieving that core principle, along with comprehensive disclosures about the nature, amount, timing and uncertainty of revenue and cash flows arising from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with customers. In August 2015, the FASB issued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to defer the effective date of the new revenue standard for one year and permit early adoption as of the original effective date in ASU 2014-09. For public entities, the new revenue standard is effective for annual and interim periods beginning after December 15, 2017. The Company plans to adopt ASU 2014-09 on January 1, 2018.</w:t>
      </w:r>
    </w:p>
    <w:p>
      <w:pPr>
        <w:spacing w:after="0" w:line="13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has reviewed the requirements of the new revenue standard and related ASUs and is monitoring the activity of the FASB and the transition resource group as it relates to specific interpretive guidance. The Company is reviewing customer contracts and is in the process of applying the five-step model of the new revenue standard to each of its key identified revenue streams included within either processing and services revenue or product revenue and is comparing the results to its current accounting practices. While the Company continues to assess all potential impacts of adopting this new revenue standard on its consolidated financial statements, it currently believes the new revenue standard will not have a significant impact on the accounting for stand-ready account- and transaction-based processing fees, the Company’s most significant revenue stream. Areas that the Company currently expects will be impacted by the new revenue standard include the accounting for costs to obtain a contract, such as the capitalization of commissions for sales personnel, which are currently expensed as incurred; the timing of revenue recognition of certain termination fees over the modified contract term, which will generally result in an acceleration of revenue as compared to the Company’s current accounting practice of recognition upon client deconversion; and the deferral of professional services revenue from certain transaction processing platform enhancements that are currently recognized as performed.</w:t>
      </w:r>
    </w:p>
    <w:p>
      <w:pPr>
        <w:spacing w:after="0" w:line="11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Entities have the option of adopting this new guidance using either a full retrospective or a modified approach with the cumulative effect of applying the guidance recognized at the date of initial application. The Company is currently evaluating the transition method to elect as well as necessary control and process changes due to implementing the new revenue standard.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and the market-based risk measurements or assumptions that market participants would use in pricing the asset or liability.</w:t>
      </w:r>
    </w:p>
    <w:p>
      <w:pPr>
        <w:spacing w:after="0" w:line="1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estimated fair value of total debt was $4.7 billion at both March 31, 2017 and December 31, 2016, and was based on quoted prices in active markets for the Company’s senior notes (level 1 of the fair value hierarchy) and discounted cash flows based on the Company’s current incremental borrowing rate for its term loan (level 3 of the fair value hierarchy). The fair value of the Company’s revolving credit facility borrowings approximates carrying value as the underlying interest rate is variable based on LIBOR.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On January 17, 2017, the Company completed its acquisition of Online Banking Solutions, Inc. (“OBS”), gaining additional cash management and digital business banking capabilities that complement and enrich the Company’s existing solutions, for a purchase price of $78 million, net of cash acquired, with earn-out provisions of up to $20 million. OBS products are integrated across a number of the Company’s account processing solutions and with other core processing platforms, and should enable its bank and credit union clients to better serve their commercial customers.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2017, the preliminary purchase price allocation for this acquisition primarily resulted in technology and customer intangible assets totaling approximately $30 million and goodwill of approximately $60 million. The goodwill, recognized within the Financial Institution Services (“Financial”) segment, from this transaction is deductible for tax purposes and is primarily attributed to synergies and anticipated revenue and earnings growth associated with the products and services that this business provides. The results of operations for OBS have been included in the accompanying consolidated statements of income from the acquisition date. Pro forma information is not provided because the acquisition did not have a material effect on the Company’s consolidated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Unconsolidated Affiliate</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owns a 49% interest in StoneRiver Group, L.P. (“StoneRiver”), which is accounted for as an equity method investment, and reports its share of StoneRiver’s net income as income from investment in unconsolidated affiliate. During the three months ended March 31, 2017, StoneRiver recognized a gain on the sale of a subsidiary business. The Company’s $26 million pre-tax share of the gain was recorded within income from investment in unconsolidated affiliate, with the related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tax expense of $9 million recorded through the income tax provision, in the consolidated statements of income. During the three months ended March 31, 2017, the Company received cash dividends of $31 million from StoneRiver, which were funded from the sale transaction and recorded as reductions in the Company’s investment in StoneRiver.</w:t>
      </w:r>
    </w:p>
    <w:p>
      <w:pPr>
        <w:spacing w:after="0" w:line="12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During the three months ended March 31, 2016, StoneRiver recognized a gain on the sale of a business interest in which the Company’s pre-tax share of this gain was $190 million. During the three months ended March 31, 2016, the Company also received cash dividends of $140 million from StoneRiver, which were funded from the sale transaction and recorded as reductions in the Company’s investment in StoneRiver. In conjunction with this activity, the Company evaluated its equity method investment in StoneRiver for its ability to recover the remaining carrying amount of such investment. Utilizing a discounted cash flow analysis (level 3 of the fair value hierarchy) to arrive at a measure of the investment’s fair value, the Company recognized an impairment loss of</w:t>
      </w:r>
    </w:p>
    <w:p>
      <w:pPr>
        <w:spacing w:after="0" w:line="2"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$44 million. The Company’s $146 million pre-tax share of the gain, net of the impairment loss, was recorded within income from investment in unconsolidated affiliate, with the related tax expense of $54 million recorded through the income tax provision, in the consolidated statements of income.</w:t>
      </w:r>
    </w:p>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investment in StoneRiver was $9 million and $14 million at March 31, 2017 and December 31, 2016, respectively, and is reported within other long-term assets in the consolidated balance sheets. The dividends, in their entirety, represented returns on the Company’s investment and are reported in cash flows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7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recognized $16 million and $22 million of share-based compensation expense during the three months ended March 31, 2017 and 2016, respectively. The Company’s annual grant of share-based awards generally occurs in the first quarter. During the three months ended March 31, 2017 and 2016, stock options to purchase 0.7 million and 1.0 million shares, respectively, were exercised.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restricted stock unit and performance share unit grant activity is as follows:</w:t>
      </w:r>
    </w:p>
    <w:p>
      <w:pPr>
        <w:spacing w:after="0" w:line="334" w:lineRule="exact"/>
        <w:rPr>
          <w:sz w:val="20"/>
          <w:szCs w:val="20"/>
          <w:color w:val="auto"/>
        </w:rPr>
      </w:pPr>
    </w:p>
    <w:p>
      <w:pPr>
        <w:jc w:val="center"/>
        <w:ind w:left="51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1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33020</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2017</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2016</w:t>
            </w: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5160" w:type="dxa"/>
            <w:vAlign w:val="bottom"/>
          </w:tcPr>
          <w:p>
            <w:pPr>
              <w:spacing w:after="0"/>
              <w:rPr>
                <w:sz w:val="17"/>
                <w:szCs w:val="17"/>
                <w:color w:val="auto"/>
              </w:rPr>
            </w:pPr>
          </w:p>
        </w:tc>
        <w:tc>
          <w:tcPr>
            <w:tcW w:w="1380" w:type="dxa"/>
            <w:vAlign w:val="bottom"/>
          </w:tcPr>
          <w:p>
            <w:pPr>
              <w:jc w:val="right"/>
              <w:ind w:right="14"/>
              <w:spacing w:after="0"/>
              <w:rPr>
                <w:sz w:val="20"/>
                <w:szCs w:val="20"/>
                <w:color w:val="auto"/>
              </w:rPr>
            </w:pPr>
            <w:r>
              <w:rPr>
                <w:rFonts w:ascii="Arial" w:cs="Arial" w:eastAsia="Arial" w:hAnsi="Arial"/>
                <w:sz w:val="16"/>
                <w:szCs w:val="16"/>
                <w:b w:val="1"/>
                <w:bCs w:val="1"/>
                <w:color w:val="auto"/>
              </w:rPr>
              <w:t>Shares Granted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380" w:type="dxa"/>
            <w:vAlign w:val="bottom"/>
          </w:tcPr>
          <w:p>
            <w:pPr>
              <w:jc w:val="right"/>
              <w:ind w:right="14"/>
              <w:spacing w:after="0"/>
              <w:rPr>
                <w:sz w:val="20"/>
                <w:szCs w:val="20"/>
                <w:color w:val="auto"/>
              </w:rPr>
            </w:pPr>
            <w:r>
              <w:rPr>
                <w:rFonts w:ascii="Arial" w:cs="Arial" w:eastAsia="Arial" w:hAnsi="Arial"/>
                <w:sz w:val="16"/>
                <w:szCs w:val="16"/>
                <w:b w:val="1"/>
                <w:bCs w:val="1"/>
                <w:color w:val="auto"/>
              </w:rPr>
              <w:t>Shares Granted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516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113.65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96.73</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113.82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100.68</w:t>
            </w:r>
          </w:p>
        </w:tc>
      </w:tr>
      <w:tr>
        <w:trPr>
          <w:trHeight w:val="27"/>
        </w:trPr>
        <w:tc>
          <w:tcPr>
            <w:tcW w:w="5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Shares Used in Computing Net Income Per Share</w:t>
      </w:r>
    </w:p>
    <w:p>
      <w:pPr>
        <w:sectPr>
          <w:pgSz w:w="11900" w:h="16838" w:orient="portrait"/>
          <w:cols w:equalWidth="0" w:num="1">
            <w:col w:w="11420"/>
          </w:cols>
          <w:pgMar w:left="240" w:top="125"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shares used in calculating basic and diluted net income per common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Weighted-average common shares outstanding used for the calculation of net income per share – basic</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Weighted-average common shares outstanding used for the calculation of net income per share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33020</wp:posOffset>
            </wp:positionV>
            <wp:extent cx="2238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86" w:lineRule="exact"/>
        <w:rPr>
          <w:sz w:val="20"/>
          <w:szCs w:val="20"/>
          <w:color w:val="auto"/>
        </w:rPr>
      </w:pPr>
    </w:p>
    <w:p>
      <w:pPr>
        <w:jc w:val="right"/>
        <w:ind w:right="100"/>
        <w:spacing w:after="0"/>
        <w:tabs>
          <w:tab w:leader="none" w:pos="400" w:val="left"/>
        </w:tabs>
        <w:rPr>
          <w:sz w:val="20"/>
          <w:szCs w:val="20"/>
          <w:color w:val="auto"/>
        </w:rPr>
      </w:pPr>
      <w:r>
        <w:rPr>
          <w:rFonts w:ascii="Arial" w:cs="Arial" w:eastAsia="Arial" w:hAnsi="Arial"/>
          <w:sz w:val="18"/>
          <w:szCs w:val="18"/>
          <w:color w:val="auto"/>
        </w:rPr>
        <w:t>214.5</w:t>
      </w:r>
      <w:r>
        <w:rPr>
          <w:sz w:val="20"/>
          <w:szCs w:val="20"/>
          <w:color w:val="auto"/>
        </w:rPr>
        <w:tab/>
      </w:r>
      <w:r>
        <w:rPr>
          <w:rFonts w:ascii="Arial" w:cs="Arial" w:eastAsia="Arial" w:hAnsi="Arial"/>
          <w:sz w:val="16"/>
          <w:szCs w:val="16"/>
          <w:color w:val="auto"/>
        </w:rPr>
        <w:t>223.5</w:t>
      </w:r>
    </w:p>
    <w:p>
      <w:pPr>
        <w:spacing w:after="0" w:line="63" w:lineRule="exact"/>
        <w:rPr>
          <w:sz w:val="20"/>
          <w:szCs w:val="20"/>
          <w:color w:val="auto"/>
        </w:rPr>
      </w:pPr>
    </w:p>
    <w:p>
      <w:pPr>
        <w:jc w:val="right"/>
        <w:ind w:right="100"/>
        <w:spacing w:after="0"/>
        <w:tabs>
          <w:tab w:leader="none" w:pos="2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3.8</w:t>
      </w:r>
    </w:p>
    <w:p>
      <w:pPr>
        <w:spacing w:after="0" w:line="77" w:lineRule="exact"/>
        <w:rPr>
          <w:sz w:val="20"/>
          <w:szCs w:val="20"/>
          <w:color w:val="auto"/>
        </w:rPr>
      </w:pPr>
    </w:p>
    <w:p>
      <w:pPr>
        <w:jc w:val="right"/>
        <w:ind w:right="100"/>
        <w:spacing w:after="0"/>
        <w:tabs>
          <w:tab w:leader="none" w:pos="400" w:val="left"/>
        </w:tabs>
        <w:rPr>
          <w:sz w:val="20"/>
          <w:szCs w:val="20"/>
          <w:color w:val="auto"/>
        </w:rPr>
      </w:pPr>
      <w:r>
        <w:rPr>
          <w:rFonts w:ascii="Arial" w:cs="Arial" w:eastAsia="Arial" w:hAnsi="Arial"/>
          <w:sz w:val="18"/>
          <w:szCs w:val="18"/>
          <w:color w:val="auto"/>
        </w:rPr>
        <w:t>219.2</w:t>
      </w:r>
      <w:r>
        <w:rPr>
          <w:sz w:val="20"/>
          <w:szCs w:val="20"/>
          <w:color w:val="auto"/>
        </w:rPr>
        <w:tab/>
      </w:r>
      <w:r>
        <w:rPr>
          <w:rFonts w:ascii="Arial" w:cs="Arial" w:eastAsia="Arial" w:hAnsi="Arial"/>
          <w:sz w:val="16"/>
          <w:szCs w:val="16"/>
          <w:color w:val="auto"/>
        </w:rPr>
        <w:t>227.3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48895</wp:posOffset>
            </wp:positionV>
            <wp:extent cx="2238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125" w:right="239" w:bottom="1440" w:gutter="0" w:footer="0" w:header="0"/>
          <w:type w:val="continuous"/>
        </w:sectPr>
      </w:pP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2017 and 2016, stock options for 1.2 million and 0.6 million shares, respectively, were excluded from the calculation of diluted weighted-average outstanding shares because their impact was anti-dilutive.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March 31, 2017</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3,755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 2016</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3,695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estimates that annual amortization expense with respect to acquired intangible assets recorded at March 31, 2017, which include customer related intangible assets, acquired software and technology, and trade names, will be approximately $150 million in each of 2017 and 2018, $140 million in 2019, $120 million in 2020, and $110 million in 2021. Annual amortization expense in 2017 with respect to capitalized and purchased software recorded is estimated to approximate $150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4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9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960" w:type="dxa"/>
            <w:vAlign w:val="bottom"/>
            <w:tcBorders>
              <w:bottom w:val="single" w:sz="8" w:color="CCEEFF"/>
            </w:tcBorders>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Client deposits</w:t>
            </w:r>
          </w:p>
        </w:tc>
        <w:tc>
          <w:tcPr>
            <w:tcW w:w="3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3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Accrued income taxes</w:t>
            </w:r>
          </w:p>
        </w:tc>
        <w:tc>
          <w:tcPr>
            <w:tcW w:w="3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Other accrued expenses</w:t>
            </w:r>
          </w:p>
        </w:tc>
        <w:tc>
          <w:tcPr>
            <w:tcW w:w="3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960" w:type="dxa"/>
            <w:vAlign w:val="bottom"/>
            <w:tcBorders>
              <w:bottom w:val="single" w:sz="8" w:color="CCEEFF"/>
            </w:tcBorders>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052"/>
              <w:spacing w:after="0"/>
              <w:rPr>
                <w:sz w:val="20"/>
                <w:szCs w:val="20"/>
                <w:color w:val="auto"/>
              </w:rPr>
            </w:pPr>
            <w:r>
              <w:rPr>
                <w:rFonts w:ascii="Arial" w:cs="Arial" w:eastAsia="Arial" w:hAnsi="Arial"/>
                <w:sz w:val="18"/>
                <w:szCs w:val="18"/>
                <w:color w:val="auto"/>
              </w:rPr>
              <w:t>9</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amounts recorded in accumulated other comprehensive loss at March 31, 2017, the Company estimates that it will recognize approximately $9 million in interest expense during the next twelve months related to settled interest rate hedge contracts.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entered into foreign currency forward exchange contracts, which have been designated as cash flow hedges, to hedge foreign currency exposure to the Indian Rupee. As of March 31, 2017 and December 31, 2016, the notional amount of these derivatives was approximately $161 million and $86 million, respectively, and the fair value totaling approximately $6 million and $1 million, respectively, is reported in prepaid expenses and other current assets in the consolidated balance sheet.</w:t>
      </w:r>
    </w:p>
    <w:p>
      <w:pPr>
        <w:sectPr>
          <w:pgSz w:w="11900" w:h="16838" w:orient="portrait"/>
          <w:cols w:equalWidth="0" w:num="1">
            <w:col w:w="11420"/>
          </w:cols>
          <w:pgMar w:left="240" w:top="125" w:right="23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was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paid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Treasury stock purchases settled after the balance sheet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p>
      <w:pPr>
        <w:ind w:left="680"/>
        <w:spacing w:after="0"/>
        <w:tabs>
          <w:tab w:leader="none" w:pos="246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86" w:lineRule="exact"/>
        <w:rPr>
          <w:sz w:val="20"/>
          <w:szCs w:val="20"/>
          <w:color w:val="auto"/>
        </w:rPr>
      </w:pPr>
    </w:p>
    <w:p>
      <w:pPr>
        <w:spacing w:after="0"/>
        <w:tabs>
          <w:tab w:leader="none" w:pos="1480" w:val="left"/>
          <w:tab w:leader="none" w:pos="1800" w:val="left"/>
          <w:tab w:leader="none" w:pos="3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w:t>
        <w:tab/>
        <w:t>$</w:t>
      </w:r>
      <w:r>
        <w:rPr>
          <w:sz w:val="20"/>
          <w:szCs w:val="20"/>
          <w:color w:val="auto"/>
        </w:rPr>
        <w:tab/>
      </w:r>
      <w:r>
        <w:rPr>
          <w:rFonts w:ascii="Arial" w:cs="Arial" w:eastAsia="Arial" w:hAnsi="Arial"/>
          <w:sz w:val="17"/>
          <w:szCs w:val="17"/>
          <w:color w:val="auto"/>
        </w:rPr>
        <w:t>5</w:t>
      </w:r>
    </w:p>
    <w:p>
      <w:pPr>
        <w:spacing w:after="0" w:line="63" w:lineRule="exact"/>
        <w:rPr>
          <w:sz w:val="20"/>
          <w:szCs w:val="20"/>
          <w:color w:val="auto"/>
        </w:rPr>
      </w:pPr>
    </w:p>
    <w:p>
      <w:pPr>
        <w:jc w:val="both"/>
        <w:ind w:left="1400"/>
        <w:spacing w:after="0"/>
        <w:tabs>
          <w:tab w:leader="none" w:pos="32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23</w:t>
      </w:r>
    </w:p>
    <w:p>
      <w:pPr>
        <w:spacing w:after="0" w:line="63" w:lineRule="exact"/>
        <w:rPr>
          <w:sz w:val="20"/>
          <w:szCs w:val="20"/>
          <w:color w:val="auto"/>
        </w:rPr>
      </w:pPr>
    </w:p>
    <w:p>
      <w:pPr>
        <w:jc w:val="both"/>
        <w:ind w:left="1400"/>
        <w:spacing w:after="0"/>
        <w:tabs>
          <w:tab w:leader="none" w:pos="3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8</w:t>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Information</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operations are comprised of the Payments and Industry Products (“Payments”) segment and the Financial segment. The Payments segment primarily provides electronic bill payment and presentment services, internet and mobile banking software and services, person-to-person payment services, debit and credit card processing and services, and other electronic payments software and services. The businesses in this segment also provide card and print personalization services, investment account processing services for separately managed accounts, and fraud and risk management products and services. The Financial segment provides banks, thrifts, credit unions, and leasing and finance companies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unallocated corporate expenses including compensation costs, amortization of acquisition-related intangible assets, intercompany eliminations and other costs that are not considered when management evaluates segment performance.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Financial</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March 31, 2016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both March 31, 2017 and December 31, 2016, goodwill was $3.6 billion and $1.8 billion in the Payments and Financial segments,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pricing and other actions by competitors; the capacity of our technology to keep pace with a rapidly evolving marketplace; the impact of market and economic conditions on the financial services industry; the impact of a security breach or operational failure on our business; the effect of legislative and regulatory actions in the United States and internationally; our ability to comply with government regulations; our ability to successfully identify, complete and integrate acquisitions, and to realize the anticipated benefits associated with the same; the impact of our strategic initiatives; and other factors identified in our Annual Report on Form 10-K for the year ended December 31, 2016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81" w:lineRule="exact"/>
        <w:rPr>
          <w:sz w:val="20"/>
          <w:szCs w:val="20"/>
          <w:color w:val="auto"/>
        </w:rPr>
      </w:pPr>
    </w:p>
    <w:p>
      <w:pPr>
        <w:ind w:left="660" w:right="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our enterprise priorities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trends affecting our industry in order to provide context for management’s discussion and analysis of our financial condition and results of operations.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contains an analysis of our results of operations presented in the accompanying unaudited consolidated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by comparing the results for the three months ended March 31, 2017 to the comparable period in 2016.</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as of March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a leading global provider of financial services technology. We provide account processing systems, electronic payments processing products and services, internet and mobile banking systems, and related services. We serve over 12,000 clients worldwide, including banks, thrifts, credit unions, investment management firms, leasing and finance companies, retailers, merchants, mutual savings banks, and building societies. The majority of our revenue is generated from recurring account- and transaction-based fees under contracts that generally have terms of three to five years and high renewal rates. Most of the services we provide are necessary for our clients to operate their businesses and are, therefore, non-discretionary in nature.</w:t>
      </w:r>
    </w:p>
    <w:p>
      <w:pPr>
        <w:spacing w:after="0" w:line="1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operations are principally located in the United States and are comprised of the Payments and Industry Products (“Payments”) segment and the Financial Institution Services (“Financial”) segment. The Payments segment primarily provides electronic bill payment and presentment services, internet and mobile banking software and services, person-to-person payment services, debit and credit card processing and services, and other electronic payments software and services. Our businesses in this segment also provide card and print personalization services, investment account processing services for separately managed accounts, and fraud and risk management products and services. The Financial segment provides banks, thrifts, credit unions, and leasing and finance companies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unallocated corporate expenses including compensation costs, amortization of acquisition-related intangible assets, intercompany eliminations and other costs that are not considered when management evaluates segment performance.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first quarter of 2017, StoneRiver Group, L.P. (“StoneRiver”), a joint venture in which we own a 49% interest and account for under the equity method, recognized a gain on the sale of a subsidiary business, and in the first quarter of 2016, recognized a net gain on the sale of a business interest. Our pre-tax share of the net gains on these transactions was $26 million in the first quarter of 2017 and $146 million in the first quarter of 2016, with related tax expense of $9 million and $54 million, respectively. In addition, we received cash dividends from StoneRiver of $31 million and $140 million during the first quarter of 2017 and 2016, respectively, which were funded from the sale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Priorities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to implement a series of strategic initiatives to help accomplish our mission of providing integrated technology and services solutions that enable best-in-class results for our clients. These strategic initiatives include active portfolio management of our businesses, enhancing the overall value of our existing client relationships, improving operational effectiveness, being disciplined in our allocation of capital, and differentiating our products and services through innovation. Our key enterprise priorities for 2017 are: (i) to continue to build high-quality revenue while meeting our earnings goals; (ii) to enhance client relationships with an emphasis on digital and payments solutions; and (iii) to deliver innovation and integration which enables differentiated value for our clients.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market for products and services offered by financial institutions continues to evolve rapidly. The financial industry regularly introduces and implements new payment, deposit, lending, investment and risk management products, and the distinctions among the products and services traditionally offered by different types of financial institutions continue to narrow as they seek to serve the same customers. At the same time, regulatory conditions and increased focus on cybersecurity have continued to create a challenging operating environment for financial institutions. For example, legislation such as the Dodd-Frank Wall Street Reform and Consumer Protection Act has generated, and may continue to generate, new regulations impacting the financial industry. These conditions, along with mild economic improvement, have created heightened interest in solutions that help financial institutions win and retain customers, generate incremental revenue, comply with regulations and enhance operating efficiency. Examples of these solutions include our electronic payments solutions and channels such as internet, mobile and tablet banking, sometimes referred to as “digital channels.”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increased focus on digital channels by both financial institutions and their customers, as well as the growing volume and types of payment transactions in the marketplace, have increased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amidst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 Based on these market conditions, we believe that our sizable and diverse client base, combined with our position as a leading provider of non-discretionary, recurring revenue-based products and services, gives us a solid foundation for growth. Furthermore, we believe that the integration of our products and services creates a compelling value proposition for our clients.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An acquisition benefits us when a newly combined institution is processed on our system, or elects to move to one of our systems, and negatively impacts us when a competing system is selected. Financial institution acquisitions also impact our financial results due to early contract termination fees in our multi-year client contracts, which are primarily generated when an existing client with a multi-year contract is acquired by another financial institution. These fees can vary from period to period based on the number and size of clients that are acquired and how early in the contract term the contract is terminated. Our revenue is diversified, and our focus on long-term client relationships and recurring, transaction-oriented products and services has reduced the impact that consolidation in the financial services industry has had on us. We have clients that span the entire range of financial institutions in terms of asset size and business model, and our 50 largest financial institution clients represent less than 25% of our annual revenue. In addition, we believe that our products and services can assist financial institutions with the regulatory and market challenges that they currently face by providing, among other things, new sources of revenue and opportunities to reduce their costs.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investment loss, net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investment in unconsolidated affiliate</w:t>
            </w: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right="2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Corporate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3"/>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6"/>
                <w:szCs w:val="16"/>
                <w:b w:val="1"/>
                <w:bCs w:val="1"/>
                <w:color w:val="auto"/>
              </w:rPr>
              <w:t>Payments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71"/>
              <w:spacing w:after="0"/>
              <w:rPr>
                <w:sz w:val="20"/>
                <w:szCs w:val="20"/>
                <w:color w:val="auto"/>
              </w:rPr>
            </w:pPr>
            <w:r>
              <w:rPr>
                <w:rFonts w:ascii="Arial" w:cs="Arial" w:eastAsia="Arial" w:hAnsi="Arial"/>
                <w:sz w:val="16"/>
                <w:szCs w:val="16"/>
                <w:b w:val="1"/>
                <w:bCs w:val="1"/>
                <w:color w:val="auto"/>
              </w:rPr>
              <w:t>Financial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and Other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2017</w:t>
            </w:r>
          </w:p>
        </w:tc>
        <w:tc>
          <w:tcPr>
            <w:tcW w:w="3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794</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620</w:t>
            </w:r>
          </w:p>
        </w:tc>
        <w:tc>
          <w:tcPr>
            <w:tcW w:w="1820" w:type="dxa"/>
            <w:vAlign w:val="bottom"/>
            <w:gridSpan w:val="3"/>
          </w:tcPr>
          <w:p>
            <w:pPr>
              <w:jc w:val="right"/>
              <w:ind w:right="105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1,394</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2016</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749</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599</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1,331</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820" w:type="dxa"/>
            <w:vAlign w:val="bottom"/>
            <w:gridSpan w:val="3"/>
          </w:tcPr>
          <w:p>
            <w:pPr>
              <w:jc w:val="right"/>
              <w:ind w:right="105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2017</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259</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w:t>
            </w:r>
          </w:p>
        </w:tc>
        <w:tc>
          <w:tcPr>
            <w:tcW w:w="1820" w:type="dxa"/>
            <w:vAlign w:val="bottom"/>
            <w:tcBorders>
              <w:bottom w:val="single" w:sz="8" w:color="CCEEFF"/>
            </w:tcBorders>
            <w:gridSpan w:val="3"/>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365</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2016</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339</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9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CCEEFF"/>
            </w:tcBorders>
            <w:gridSpan w:val="3"/>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2017</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2016</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16"/>
                <w:szCs w:val="16"/>
                <w:color w:val="auto"/>
              </w:rPr>
              <w:t>(1)</w:t>
            </w:r>
          </w:p>
        </w:tc>
        <w:tc>
          <w:tcPr>
            <w:tcW w:w="3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270</w:t>
            </w:r>
          </w:p>
        </w:tc>
        <w:tc>
          <w:tcPr>
            <w:tcW w:w="940" w:type="dxa"/>
            <w:vAlign w:val="bottom"/>
            <w:gridSpan w:val="3"/>
          </w:tcPr>
          <w:p>
            <w:pPr>
              <w:jc w:val="right"/>
              <w:ind w:right="640"/>
              <w:spacing w:after="0"/>
              <w:rPr>
                <w:sz w:val="20"/>
                <w:szCs w:val="20"/>
                <w:color w:val="auto"/>
              </w:rPr>
            </w:pPr>
            <w:r>
              <w:rPr>
                <w:rFonts w:ascii="Arial" w:cs="Arial" w:eastAsia="Arial" w:hAnsi="Arial"/>
                <w:sz w:val="18"/>
                <w:szCs w:val="18"/>
                <w:color w:val="auto"/>
                <w:w w:val="96"/>
              </w:rPr>
              <w:t>bps</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820" w:type="dxa"/>
            <w:vAlign w:val="bottom"/>
            <w:gridSpan w:val="3"/>
          </w:tcPr>
          <w:p>
            <w:pPr>
              <w:jc w:val="right"/>
              <w:ind w:right="1459"/>
              <w:spacing w:after="0"/>
              <w:rPr>
                <w:sz w:val="20"/>
                <w:szCs w:val="20"/>
                <w:color w:val="auto"/>
              </w:rPr>
            </w:pPr>
            <w:r>
              <w:rPr>
                <w:rFonts w:ascii="Arial" w:cs="Arial" w:eastAsia="Arial" w:hAnsi="Arial"/>
                <w:sz w:val="18"/>
                <w:szCs w:val="18"/>
                <w:color w:val="auto"/>
                <w:w w:val="89"/>
              </w:rPr>
              <w:t>bps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70</w:t>
            </w:r>
          </w:p>
        </w:tc>
        <w:tc>
          <w:tcPr>
            <w:tcW w:w="460" w:type="dxa"/>
            <w:vAlign w:val="bottom"/>
          </w:tcPr>
          <w:p>
            <w:pPr>
              <w:ind w:left="40"/>
              <w:spacing w:after="0"/>
              <w:rPr>
                <w:sz w:val="20"/>
                <w:szCs w:val="20"/>
                <w:color w:val="auto"/>
              </w:rPr>
            </w:pPr>
            <w:r>
              <w:rPr>
                <w:rFonts w:ascii="Arial" w:cs="Arial" w:eastAsia="Arial" w:hAnsi="Arial"/>
                <w:sz w:val="18"/>
                <w:szCs w:val="18"/>
                <w:color w:val="auto"/>
              </w:rPr>
              <w:t>bps</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basis point growth or decline in operating margin.</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revenue increased $63 million, or 5%, in the first quarter of 2017 compared to 2016, with revenue growth of 6% in our Payments segment and 4% in our Financial segment.</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in our Payments segment increased $45 million, or 6%, during the first quarter of 2017 compared to 2016. Payments segment revenue growth in the first quarter of 2017 was positively impacted by revenue from acquired businesses of $13 million, which represented a contribution of approximately 2%. Revenue growth at our card services and output solutions businesses contributed approximately 3% and 1% to the Payments segment growth, respectively, due to increased transaction volumes and product sales.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in our Financial segment increased $21 million, or 4%, during the first quarter of 2017 compared to 2016, and included revenue from an acquired business of $2 million in 2017. Financial segment revenue growth was primarily attributable to contributions of approximately 2% from our lending solutions business and approximately 1% from our account processing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expenses increased $37 million, or 4%, in the first quarter of 2017 compared to 2016. Total expenses as a percentage of total revenue decreased 70 basis points from 74.5% in the first quarter of 2016 to 73.8% in the first quarter of 2017.</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processing and services as a percentage of processing and services revenue decreased to 48.4% in the first quarter of 2017 compared to 49.3% in the first quarter of 2016. The decrease in cost of processing and services as a percentage of processing and services revenue in 2017 was largely due to a $10 million non-cash impairment charge in the first quarter of 2016 associated with the decision to replace an existing software solution with software purchased in a business acquisition.</w:t>
      </w:r>
    </w:p>
    <w:p>
      <w:pPr>
        <w:spacing w:after="0" w:line="133"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Cost of product as a percentage of product revenue decreased to 84.3% in the first quarter of 2017 compared to 86.6% in the first quarter of 2016. The decrease in cost of product as a percentage of product revenue in 2017 was primarily due to an increase in higher-margin software license revenue.</w:t>
      </w:r>
    </w:p>
    <w:p>
      <w:pPr>
        <w:spacing w:after="0" w:line="7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Selling, general and administrative expenses as a percentage of total revenue increased to 19.9% in the first quarter of 2017 compared to 19.4% in the first quarter of 2016. The increase in selling, general and administrative expenses as a percentage of total revenue in 2017 was primarily impacted by increased costs of approximately 30 basis points each for acquisition-related integration and for efforts to achieve the company's operational effectiveness objectives.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income increased $26 million, or 8%, in the first quarter of 2017 compared to 2016. Total operating margin increased 70 basis points to 26.2% in the first quarter of 2017 compared to 25.5% in 2016.</w:t>
      </w:r>
    </w:p>
    <w:p>
      <w:pPr>
        <w:spacing w:after="0" w:line="11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Operating income in our Payments segment increased $34 million, or 15%, and operating margin increased 270 basis points to 32.7% in the first quarter of 2017 compared to 2016. Payments segment operating margin was positively impacted by approximately 120 basis points in the first quarter of 2017 from scalable revenue growth in our card services business and by approximately 60 basis points from higher-margin revenue mix. The remaining Payments segment operating margin growth was attributable to operating efficiency in a number of our businesses.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income in our Financial segment increased $1 million, or 1%, and operating margin decreased 100 basis points to 31.6% in the first quarter of 2017 compared to 2016. Financial segment operating margin was negatively impacted in the first quarter of 2017 by approximately 90 basis points from increased variable compensation expenses, primarily consisting of commissions related to higher sales performance.</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operating loss in Corporate and Other increased by $9 million in the first quarter of 2017 compared to 2016 primarily due to increased severance costs of $8 million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increased by $2 million, or 5%, in the first quarter of 2017 compared to 2016 due to higher average outstanding debt and slightly higher variable interest rates in 2017, both of which had a similar impact on interest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Investment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net interest and investment loss in the first quarter of 2016 was attributable to a non-cash write-off of a $7 million cost-method investment.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Income tax provision as a percentage of income before income from investment in unconsolidated affiliate was 31.7% and 51.0% in the first quarter of 2017 and 2016, respectively. The rate in the first quarter of 2017 included $25 million of excess tax benefits from share-based compensation awards recognized as a reduction in the income tax provision as a result of the adoption of ASU 2016-09, partially offset by $9 million of income tax expense associated with our share of the gain on the sale of a subsidiary business by StoneRiver, our unconsolidated affiliate. The rate in the first quarter of 2016 included $54 million of income tax expense associated with our share of the net gain on the sale of a business interest by StoneRiver, partially reduced by $10 million of discrete benefits from the favorable resolution of tax matters.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 in Unconsolidated Affiliate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share of StoneRiver's net income was $26 million and $146 million in the first quarter of 2017 and 2016, respectively, and was attributed to the net gains on the sales of a subsidiary business and a business interest at StoneRiver.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per share-diluted was $1.13 and $1.27 in the first quarter of 2017 and 2016, respectively. Net income per share-diluted was favorably impacted by $0.08 per share and $0.39 per share in the first quarter of 2017 and 2016, respectively, due to our share of net investment gains, primarily from StoneRiver capital transactions. Amortization of acquisition-related intangible assets reduced net income per share-diluted by $0.12 per share in both the first quarter of 2017 and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primary liquidity needs are: (i) to fund normal operating expenses; (ii) to meet the interest and principal requirements of our outstanding indebtedness; and (iii) to fund capital expenditures and operating lease payments. We believe these needs will be satisfied using cash flow generated by our operations, along with our cash and cash equivalents of $308 million and available borrowings under our revolving credit facility of $1.3 billion at March 31, 2017. The following table summarizes our operating cash flow and capital expenditure amounts for the three months ended March 31, 2017 and 2016, respectively.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March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Increase (Decrease)</w:t>
            </w: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5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80" w:type="dxa"/>
            <w:vAlign w:val="bottom"/>
          </w:tcPr>
          <w:p>
            <w:pPr>
              <w:jc w:val="right"/>
              <w:ind w:right="573"/>
              <w:spacing w:after="0"/>
              <w:rPr>
                <w:sz w:val="20"/>
                <w:szCs w:val="20"/>
                <w:color w:val="auto"/>
              </w:rPr>
            </w:pPr>
            <w:r>
              <w:rPr>
                <w:rFonts w:ascii="Arial" w:cs="Arial" w:eastAsia="Arial" w:hAnsi="Arial"/>
                <w:sz w:val="16"/>
                <w:szCs w:val="16"/>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Excess tax benefits from share-based awards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Income from investment in unconsolidated affiliate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from unconsolidated affiliate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changes in working capital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Operating cash flow</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7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56"/>
        </w:trPr>
        <w:tc>
          <w:tcPr>
            <w:tcW w:w="55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Our net cash provided by operating activities, or operating cash flow, was $463 million in the first three months of 2017, a decrease of 9% compared with</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$509 million in the first three months of 2016. This decrease was primarily due to lower cash dividends received from our StoneRiver joint venture, partially offset by improved operating results.</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current policy is to use our operating cash flow primarily to fund capital expenditures, share repurchases and acquisitions, and to repay debt rather than to pay dividends. Our capital expenditures were approximately 5% of our total revenue in both the first three months of 2017 and 2016.</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first three months of 2017 and 2016, we received cash dividends of $31 million and $140 million, respectively, from our StoneRiver joint venture. These dividends, in their entirety, represented returns on our investment and are reported in cash flows from operating activities. During the first three months of 2017, we also acquired Online Banking Solutions, Inc. for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purchase price of $78 million, net of cash acquired, with earn-out provisions of up to $20 million. We funded the acquisition by utilizing a combination of available cash and existing availability under our revolving credit facility.</w:t>
      </w:r>
    </w:p>
    <w:p>
      <w:pPr>
        <w:spacing w:after="0" w:line="1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purchased $389 million of our common stock during the first three months of 2017. As of March 31, 2017, we had approximately 17.0 million shares remaining under our current share repurchase authorizations. Shares repurchased are generally held for issuance in connection with our equity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4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2.7% senior notes due 2020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4.625% senior notes due 2020</w:t>
            </w: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448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4.75% senior notes due 2021</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3.5% senior notes due 2022</w:t>
            </w: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3.85% senior notes due 2025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debt (including current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March 31, 2017, our debt consisted primarily of $3.3 billion of senior notes, $726 million of revolving credit facility borrowings and $629 million of term loan borrowings. Interest on our senior notes is paid semi-annually. During the first three months of 2017, we were in compliance with all financial debt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Rate Debt</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$2.0 billion revolving credit agreement and a term loan with a syndicate of banks. Both the outstanding borrowings under the revolving credit facility and the term loan bear interest at a variable rate based on LIBOR or on a base rate, plus a specified margin based on our long-term debt rating in effect from time to time. The variable interest rate was 2.04% on the revolving credit facility borrowings and 2.23% on the term loan borrowings at March 31, 2017. There are no significant commitment fees and no compensating balance requirements on the revolving credit facility, which expires in April 2020. A scheduled principal payment on the term loan of $90 million is due on December 31, 2017, with the outstanding principal balance of $540 million due at maturity in October 2018. The revolving credit facility and the term loan contain various, substantially similar restrictions and covenants that require us, among other things, to: (i) limit our consolidated indebtedness as of the end of each fiscal quarter to no more than three and one-half times consolidated net earnings before interest, taxes, depreciation and amortization and certain other adjustments during the period of four fiscal quarters then ended, and (ii) maintain consolidated net earnings before interest, taxes, depreciation and amortization and certain other adjustments of at least three times consolidated interest expense as of the end of each fiscal quarter for the period of four fiscal quarters then 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quantitative and qualitative disclosures about market risk required by this item are incorporated by reference to Item 7A of our Annual Report on Form 10-K for the year ended December 31, 2016 and have not materially changed since December 31,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2017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purchases made by or on behalf of the company or any “affiliated purchaser” (as defined in Rule 10b-18(a)(3) under the Exchange Act) of shares of our common stock during the quarter ended March 31,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1-31, 2017</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600,000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108.79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600,000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19,878,000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February 1-28, 2017</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1,220,000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111.58</w:t>
            </w:r>
          </w:p>
        </w:tc>
        <w:tc>
          <w:tcPr>
            <w:tcW w:w="100" w:type="dxa"/>
            <w:vAlign w:val="bottom"/>
          </w:tcPr>
          <w:p>
            <w:pPr>
              <w:spacing w:after="0"/>
              <w:rPr>
                <w:sz w:val="21"/>
                <w:szCs w:val="21"/>
                <w:color w:val="auto"/>
              </w:rPr>
            </w:pPr>
          </w:p>
        </w:tc>
        <w:tc>
          <w:tcPr>
            <w:tcW w:w="1940" w:type="dxa"/>
            <w:vAlign w:val="bottom"/>
          </w:tcPr>
          <w:p>
            <w:pPr>
              <w:jc w:val="right"/>
              <w:ind w:right="40"/>
              <w:spacing w:after="0"/>
              <w:rPr>
                <w:sz w:val="20"/>
                <w:szCs w:val="20"/>
                <w:color w:val="auto"/>
              </w:rPr>
            </w:pPr>
            <w:r>
              <w:rPr>
                <w:rFonts w:ascii="Arial" w:cs="Arial" w:eastAsia="Arial" w:hAnsi="Arial"/>
                <w:sz w:val="18"/>
                <w:szCs w:val="18"/>
                <w:color w:val="auto"/>
              </w:rPr>
              <w:t>1,220,000</w:t>
            </w:r>
          </w:p>
        </w:tc>
        <w:tc>
          <w:tcPr>
            <w:tcW w:w="2140" w:type="dxa"/>
            <w:vAlign w:val="bottom"/>
            <w:gridSpan w:val="2"/>
          </w:tcPr>
          <w:p>
            <w:pPr>
              <w:jc w:val="right"/>
              <w:ind w:right="28"/>
              <w:spacing w:after="0"/>
              <w:rPr>
                <w:sz w:val="20"/>
                <w:szCs w:val="20"/>
                <w:color w:val="auto"/>
              </w:rPr>
            </w:pPr>
            <w:r>
              <w:rPr>
                <w:rFonts w:ascii="Arial" w:cs="Arial" w:eastAsia="Arial" w:hAnsi="Arial"/>
                <w:sz w:val="18"/>
                <w:szCs w:val="18"/>
                <w:color w:val="auto"/>
              </w:rPr>
              <w:t>18,658,000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1-31, 2017</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116.69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1,610,000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17,048,000</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3,430,000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3,430,000</w:t>
            </w: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220" w:hanging="316"/>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each of November 18, 2015 and November 16, 2016, our board of directors authorized the purchase of up to 15.0 million shares of our common stock. These authorizations do not expire.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540" w:type="dxa"/>
            <w:vAlign w:val="bottom"/>
            <w:gridSpan w:val="2"/>
          </w:tcPr>
          <w:p>
            <w:pPr>
              <w:ind w:left="1980"/>
              <w:spacing w:after="0"/>
              <w:rPr>
                <w:sz w:val="20"/>
                <w:szCs w:val="20"/>
                <w:color w:val="auto"/>
              </w:rPr>
            </w:pPr>
            <w:r>
              <w:rPr>
                <w:rFonts w:ascii="Arial" w:cs="Arial" w:eastAsia="Arial" w:hAnsi="Arial"/>
                <w:sz w:val="18"/>
                <w:szCs w:val="18"/>
                <w:b w:val="1"/>
                <w:bCs w:val="1"/>
                <w:color w:val="auto"/>
              </w:rPr>
              <w:t>FISERV,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27, 2017</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Hau</w:t>
            </w:r>
          </w:p>
        </w:tc>
      </w:tr>
      <w:tr>
        <w:trPr>
          <w:trHeight w:val="27"/>
        </w:trPr>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70"/>
        </w:trPr>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27, 2017</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Kenneth F. Best</w:t>
            </w:r>
          </w:p>
        </w:tc>
      </w:tr>
      <w:tr>
        <w:trPr>
          <w:trHeight w:val="27"/>
        </w:trPr>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70"/>
        </w:trPr>
        <w:tc>
          <w:tcPr>
            <w:tcW w:w="6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0" w:type="dxa"/>
            <w:vAlign w:val="bottom"/>
          </w:tcPr>
          <w:p>
            <w:pPr>
              <w:ind w:left="19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34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1260" w:type="dxa"/>
            <w:vAlign w:val="bottom"/>
          </w:tcPr>
          <w:p>
            <w:pPr>
              <w:spacing w:after="0"/>
              <w:rPr>
                <w:sz w:val="15"/>
                <w:szCs w:val="15"/>
                <w:color w:val="auto"/>
              </w:rPr>
            </w:pPr>
          </w:p>
        </w:tc>
        <w:tc>
          <w:tcPr>
            <w:tcW w:w="67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80"/>
        </w:trPr>
        <w:tc>
          <w:tcPr>
            <w:tcW w:w="580" w:type="dxa"/>
            <w:vAlign w:val="bottom"/>
          </w:tcPr>
          <w:p>
            <w:pPr>
              <w:ind w:left="140"/>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dated April 27, 2017</w:t>
            </w:r>
          </w:p>
        </w:tc>
      </w:tr>
      <w:tr>
        <w:trPr>
          <w:trHeight w:val="459"/>
        </w:trPr>
        <w:tc>
          <w:tcPr>
            <w:tcW w:w="580" w:type="dxa"/>
            <w:vAlign w:val="bottom"/>
          </w:tcPr>
          <w:p>
            <w:pPr>
              <w:ind w:left="14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dated April 27, 2017</w:t>
            </w:r>
          </w:p>
        </w:tc>
      </w:tr>
      <w:tr>
        <w:trPr>
          <w:trHeight w:val="459"/>
        </w:trPr>
        <w:tc>
          <w:tcPr>
            <w:tcW w:w="580" w:type="dxa"/>
            <w:vAlign w:val="bottom"/>
          </w:tcPr>
          <w:p>
            <w:pPr>
              <w:ind w:left="140"/>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w w:val="93"/>
              </w:rPr>
              <w:t>Certification of the Chief Executive Officer and Chief Financial Officer, dated April 27, 2017</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7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7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7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7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7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7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40" w:hanging="332"/>
        <w:spacing w:after="0" w:line="29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with this quarterly report on Form 10-Q are the following documents formatted in XBRL (Extensible Business Reporting Language): (i) the Consolidated Statements of Income for the three months ended March 31, 2017 and 2016, (ii) the Consolidated Statements of Comprehensive Income for the three months ended March 31, 2017 and 2016, (iii) the Consolidated Balance Sheets at March 31, 2017 and December 31, 2016, (iv) the Consolidated Statements of Cash Flows for the three months ended March 31, 2017 and 2016, and (v) Notes to Consolidated Financial Statements.</w:t>
      </w:r>
    </w:p>
    <w:p>
      <w:pPr>
        <w:sectPr>
          <w:pgSz w:w="11900" w:h="16838" w:orient="portrait"/>
          <w:cols w:equalWidth="0" w:num="1">
            <w:col w:w="11400"/>
          </w:cols>
          <w:pgMar w:left="240" w:top="125"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March 31, 2017 as filed with the Securities and Exchange Commission on the date hereof (the “Report”), Jeffery W. Yabuki, as President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April 27,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2019-12-29T07:18:17Z</dcterms:created>
  <dcterms:modified xsi:type="dcterms:W3CDTF">2019-12-29T07:18:17Z</dcterms:modified>
</cp:coreProperties>
</file>