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52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20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OLEARY DENIS</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BROOKFIELD</w:t>
            </w:r>
          </w:p>
        </w:tc>
        <w:tc>
          <w:tcPr>
            <w:tcW w:w="920" w:type="dxa"/>
            <w:vAlign w:val="bottom"/>
          </w:tcPr>
          <w:p>
            <w:pPr>
              <w:ind w:left="10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53045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00" w:type="dxa"/>
            <w:vAlign w:val="bottom"/>
          </w:tcPr>
          <w:p>
            <w:pPr>
              <w:ind w:left="60"/>
              <w:spacing w:after="0" w:line="147" w:lineRule="exact"/>
              <w:rPr>
                <w:sz w:val="20"/>
                <w:szCs w:val="20"/>
                <w:color w:val="auto"/>
              </w:rPr>
            </w:pPr>
            <w:r>
              <w:rPr>
                <w:rFonts w:ascii="Arial" w:cs="Arial" w:eastAsia="Arial" w:hAnsi="Arial"/>
                <w:sz w:val="13"/>
                <w:szCs w:val="13"/>
                <w:color w:val="0000FF"/>
                <w:w w:val="97"/>
              </w:rPr>
              <w:t>Compensation</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vMerge w:val="restart"/>
          </w:tcPr>
          <w:p>
            <w:pPr>
              <w:jc w:val="right"/>
              <w:ind w:right="178"/>
              <w:spacing w:after="0"/>
              <w:rPr>
                <w:sz w:val="20"/>
                <w:szCs w:val="20"/>
                <w:color w:val="auto"/>
              </w:rPr>
            </w:pPr>
            <w:r>
              <w:rPr>
                <w:rFonts w:ascii="Arial" w:cs="Arial" w:eastAsia="Arial" w:hAnsi="Arial"/>
                <w:sz w:val="13"/>
                <w:szCs w:val="13"/>
                <w:color w:val="0000FF"/>
              </w:rPr>
              <w:t>09/30/2019</w:t>
            </w:r>
          </w:p>
        </w:tc>
        <w:tc>
          <w:tcPr>
            <w:tcW w:w="112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285</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1"/>
              <w:spacing w:after="0"/>
              <w:rPr>
                <w:sz w:val="20"/>
                <w:szCs w:val="20"/>
                <w:color w:val="auto"/>
              </w:rPr>
            </w:pPr>
            <w:r>
              <w:rPr>
                <w:rFonts w:ascii="Arial" w:cs="Arial" w:eastAsia="Arial" w:hAnsi="Arial"/>
                <w:sz w:val="11"/>
                <w:szCs w:val="11"/>
                <w:color w:val="008000"/>
              </w:rPr>
              <w:t>(1)</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7"/>
                <w:szCs w:val="17"/>
                <w:color w:val="0000FF"/>
              </w:rPr>
              <w:t>285</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103.59</w:t>
            </w:r>
            <w:r>
              <w:rPr>
                <w:rFonts w:ascii="Arial" w:cs="Arial" w:eastAsia="Arial" w:hAnsi="Arial"/>
                <w:sz w:val="22"/>
                <w:szCs w:val="22"/>
                <w:color w:val="008000"/>
                <w:w w:val="93"/>
                <w:vertAlign w:val="superscript"/>
              </w:rPr>
              <w:t>(1)</w:t>
            </w:r>
          </w:p>
        </w:tc>
        <w:tc>
          <w:tcPr>
            <w:tcW w:w="980" w:type="dxa"/>
            <w:vAlign w:val="bottom"/>
            <w:vMerge w:val="restart"/>
          </w:tcPr>
          <w:p>
            <w:pPr>
              <w:ind w:left="320"/>
              <w:spacing w:after="0"/>
              <w:rPr>
                <w:sz w:val="20"/>
                <w:szCs w:val="20"/>
                <w:color w:val="auto"/>
              </w:rPr>
            </w:pPr>
            <w:r>
              <w:rPr>
                <w:rFonts w:ascii="Arial" w:cs="Arial" w:eastAsia="Arial" w:hAnsi="Arial"/>
                <w:sz w:val="13"/>
                <w:szCs w:val="13"/>
                <w:color w:val="0000FF"/>
              </w:rPr>
              <w:t>37,360</w:t>
            </w:r>
          </w:p>
        </w:tc>
        <w:tc>
          <w:tcPr>
            <w:tcW w:w="7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0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8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9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2019 in respect of $29,500 of deferred compensation. The number of notional units credited is calculated by dividing the amount of compensation that is deferred by the closing price of the company's common stock on the date of deferral, or last business day prior. On September 30, 2019, the closing price of Fiserv's common stock was $103.59 per share. Following cessation of the reporting person's service to the company, each notional unit will be settled in shares of Fiserv common stock on a one-for-one basis.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Arial" w:cs="Arial" w:eastAsia="Arial" w:hAnsi="Arial"/>
          <w:sz w:val="17"/>
          <w:szCs w:val="17"/>
          <w:color w:val="0000FF"/>
        </w:rPr>
        <w:t xml:space="preserve">/s/ Lynn S. McCreary (attorney- </w:t>
      </w:r>
      <w:r>
        <w:rPr>
          <w:rFonts w:ascii="Arial" w:cs="Arial" w:eastAsia="Arial" w:hAnsi="Arial"/>
          <w:sz w:val="34"/>
          <w:szCs w:val="34"/>
          <w:color w:val="0000FF"/>
          <w:vertAlign w:val="subscript"/>
        </w:rPr>
        <w:t>10/01/2019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323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3512"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2019-12-24T04:54:41Z</dcterms:created>
  <dcterms:modified xsi:type="dcterms:W3CDTF">2019-12-24T04:54:41Z</dcterms:modified>
</cp:coreProperties>
</file>