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339" w:lineRule="exact"/>
        <w:rPr>
          <w:sz w:val="24"/>
          <w:szCs w:val="24"/>
          <w:color w:val="auto"/>
        </w:rPr>
      </w:pPr>
    </w:p>
    <w:p>
      <w:pPr>
        <w:jc w:val="center"/>
        <w:ind w:right="3090"/>
        <w:spacing w:after="0"/>
        <w:rPr>
          <w:sz w:val="20"/>
          <w:szCs w:val="20"/>
          <w:color w:val="auto"/>
        </w:rPr>
      </w:pPr>
      <w:r>
        <w:rPr>
          <w:rFonts w:ascii="Courier New" w:cs="Courier New" w:eastAsia="Courier New" w:hAnsi="Courier New"/>
          <w:sz w:val="15"/>
          <w:szCs w:val="15"/>
          <w:color w:val="auto"/>
        </w:rPr>
        <w:t>UNITED STATES</w:t>
      </w:r>
    </w:p>
    <w:p>
      <w:pPr>
        <w:jc w:val="center"/>
        <w:ind w:right="319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190"/>
        <w:spacing w:after="0"/>
        <w:rPr>
          <w:sz w:val="20"/>
          <w:szCs w:val="20"/>
          <w:color w:val="auto"/>
        </w:rPr>
      </w:pPr>
      <w:r>
        <w:rPr>
          <w:rFonts w:ascii="Courier New" w:cs="Courier New" w:eastAsia="Courier New" w:hAnsi="Courier New"/>
          <w:sz w:val="15"/>
          <w:szCs w:val="15"/>
          <w:color w:val="auto"/>
        </w:rPr>
        <w:t>WASHINGTON, D.C. 20549</w:t>
      </w:r>
    </w:p>
    <w:p>
      <w:pPr>
        <w:spacing w:after="0" w:line="338" w:lineRule="exact"/>
        <w:rPr>
          <w:sz w:val="24"/>
          <w:szCs w:val="24"/>
          <w:color w:val="auto"/>
        </w:rPr>
      </w:pPr>
    </w:p>
    <w:p>
      <w:pPr>
        <w:ind w:left="3170"/>
        <w:spacing w:after="0"/>
        <w:rPr>
          <w:sz w:val="20"/>
          <w:szCs w:val="20"/>
          <w:color w:val="auto"/>
        </w:rPr>
      </w:pPr>
      <w:r>
        <w:rPr>
          <w:rFonts w:ascii="Courier New" w:cs="Courier New" w:eastAsia="Courier New" w:hAnsi="Courier New"/>
          <w:sz w:val="15"/>
          <w:szCs w:val="15"/>
          <w:color w:val="auto"/>
        </w:rPr>
        <w:t>FORM 10-Q/A No. 1</w:t>
      </w:r>
    </w:p>
    <w:p>
      <w:pPr>
        <w:spacing w:after="0" w:line="33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(Mark One)</w:t>
      </w:r>
    </w:p>
    <w:p>
      <w:pPr>
        <w:spacing w:after="0" w:line="175" w:lineRule="exact"/>
        <w:rPr>
          <w:sz w:val="24"/>
          <w:szCs w:val="24"/>
          <w:color w:val="auto"/>
        </w:rPr>
      </w:pPr>
    </w:p>
    <w:p>
      <w:pPr>
        <w:ind w:left="710" w:right="3439" w:hanging="710"/>
        <w:spacing w:after="0" w:line="235" w:lineRule="auto"/>
        <w:tabs>
          <w:tab w:leader="none" w:pos="18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QUARTERLY REPORT UNDER SECTION 13 OR 15(D) OF THE SECURITIES EXCHANGE ACT OF 1934</w:t>
      </w:r>
    </w:p>
    <w:p>
      <w:pPr>
        <w:spacing w:after="0" w:line="17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For the quarterly period ended March 31, 2000</w:t>
      </w:r>
    </w:p>
    <w:p>
      <w:pPr>
        <w:spacing w:after="0" w:line="169" w:lineRule="exact"/>
        <w:rPr>
          <w:sz w:val="24"/>
          <w:szCs w:val="24"/>
          <w:color w:val="auto"/>
        </w:rPr>
      </w:pPr>
    </w:p>
    <w:p>
      <w:pPr>
        <w:ind w:left="3430"/>
        <w:spacing w:after="0"/>
        <w:rPr>
          <w:sz w:val="20"/>
          <w:szCs w:val="20"/>
          <w:color w:val="auto"/>
        </w:rPr>
      </w:pPr>
      <w:r>
        <w:rPr>
          <w:rFonts w:ascii="Courier New" w:cs="Courier New" w:eastAsia="Courier New" w:hAnsi="Courier New"/>
          <w:sz w:val="15"/>
          <w:szCs w:val="15"/>
          <w:color w:val="auto"/>
        </w:rPr>
        <w:t>OR</w:t>
      </w:r>
    </w:p>
    <w:p>
      <w:pPr>
        <w:spacing w:after="0" w:line="175" w:lineRule="exact"/>
        <w:rPr>
          <w:sz w:val="24"/>
          <w:szCs w:val="24"/>
          <w:color w:val="auto"/>
        </w:rPr>
      </w:pPr>
    </w:p>
    <w:p>
      <w:pPr>
        <w:ind w:left="710" w:right="3359" w:hanging="710"/>
        <w:spacing w:after="0" w:line="235" w:lineRule="auto"/>
        <w:tabs>
          <w:tab w:leader="none" w:pos="35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UNDER SECTION 13 OR 15(D) OF THE SECURITIES EXCHANGE ACT OF 1934</w:t>
      </w:r>
    </w:p>
    <w:p>
      <w:pPr>
        <w:sectPr>
          <w:pgSz w:w="11900" w:h="16838" w:orient="portrait"/>
          <w:cols w:equalWidth="0" w:num="1">
            <w:col w:w="10229"/>
          </w:cols>
          <w:pgMar w:left="230" w:top="226" w:right="1440" w:bottom="1440" w:gutter="0" w:footer="0" w:header="0"/>
        </w:sectPr>
      </w:pPr>
    </w:p>
    <w:p>
      <w:pPr>
        <w:spacing w:after="0" w:line="176"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For the transition period from</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3"/>
          <w:szCs w:val="13"/>
          <w:color w:val="auto"/>
        </w:rPr>
        <w:t>to</w:t>
      </w:r>
    </w:p>
    <w:p>
      <w:pPr>
        <w:spacing w:after="0" w:line="22" w:lineRule="exact"/>
        <w:rPr>
          <w:sz w:val="24"/>
          <w:szCs w:val="24"/>
          <w:color w:val="auto"/>
        </w:rPr>
      </w:pPr>
    </w:p>
    <w:p>
      <w:pPr>
        <w:sectPr>
          <w:pgSz w:w="11900" w:h="16838" w:orient="portrait"/>
          <w:cols w:equalWidth="0" w:num="2">
            <w:col w:w="4050" w:space="720"/>
            <w:col w:w="5459"/>
          </w:cols>
          <w:pgMar w:left="230" w:top="226" w:right="1440" w:bottom="1440" w:gutter="0" w:footer="0" w:header="0"/>
          <w:type w:val="continuous"/>
        </w:sectPr>
      </w:pPr>
    </w:p>
    <w:p>
      <w:pPr>
        <w:ind w:left="273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670" w:space="260"/>
            <w:col w:w="5299"/>
          </w:cols>
          <w:pgMar w:left="230" w:top="226" w:right="1440" w:bottom="1440" w:gutter="0" w:footer="0" w:header="0"/>
          <w:type w:val="continuous"/>
        </w:sectPr>
      </w:pPr>
    </w:p>
    <w:p>
      <w:pPr>
        <w:ind w:left="2210"/>
        <w:spacing w:after="0"/>
        <w:rPr>
          <w:sz w:val="20"/>
          <w:szCs w:val="20"/>
          <w:color w:val="auto"/>
        </w:rPr>
      </w:pPr>
      <w:r>
        <w:rPr>
          <w:rFonts w:ascii="Courier New" w:cs="Courier New" w:eastAsia="Courier New" w:hAnsi="Courier New"/>
          <w:sz w:val="15"/>
          <w:szCs w:val="15"/>
          <w:color w:val="auto"/>
        </w:rPr>
        <w:t>Commission file number: 0-26802</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CHECKFREE HOLDINGS CORPORATION</w:t>
      </w:r>
    </w:p>
    <w:p>
      <w:pPr>
        <w:jc w:val="center"/>
        <w:ind w:right="317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9" w:lineRule="exact"/>
        <w:rPr>
          <w:sz w:val="24"/>
          <w:szCs w:val="24"/>
          <w:color w:val="auto"/>
        </w:rPr>
      </w:pPr>
    </w:p>
    <w:tbl>
      <w:tblPr>
        <w:tblLayout w:type="fixed"/>
        <w:tblInd w:w="10" w:type="dxa"/>
        <w:tblCellMar>
          <w:top w:w="0" w:type="dxa"/>
          <w:left w:w="0" w:type="dxa"/>
          <w:bottom w:w="0" w:type="dxa"/>
          <w:right w:w="0" w:type="dxa"/>
        </w:tblCellMar>
      </w:tblPr>
      <w:tr>
        <w:trPr>
          <w:trHeight w:val="170"/>
        </w:trPr>
        <w:tc>
          <w:tcPr>
            <w:tcW w:w="4000" w:type="dxa"/>
            <w:vAlign w:val="bottom"/>
          </w:tcPr>
          <w:p>
            <w:pPr>
              <w:jc w:val="right"/>
              <w:ind w:right="2167"/>
              <w:spacing w:after="0"/>
              <w:rPr>
                <w:sz w:val="20"/>
                <w:szCs w:val="20"/>
                <w:color w:val="auto"/>
              </w:rPr>
            </w:pPr>
            <w:r>
              <w:rPr>
                <w:rFonts w:ascii="Courier New" w:cs="Courier New" w:eastAsia="Courier New" w:hAnsi="Courier New"/>
                <w:sz w:val="15"/>
                <w:szCs w:val="15"/>
                <w:color w:val="auto"/>
              </w:rPr>
              <w:t>DELAWARE</w:t>
            </w:r>
          </w:p>
        </w:tc>
        <w:tc>
          <w:tcPr>
            <w:tcW w:w="2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58-2360335</w:t>
            </w:r>
          </w:p>
        </w:tc>
      </w:tr>
      <w:tr>
        <w:trPr>
          <w:trHeight w:val="170"/>
        </w:trPr>
        <w:tc>
          <w:tcPr>
            <w:tcW w:w="400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96"/>
              </w:rPr>
              <w:t>(State or other jurisdiction of</w:t>
            </w:r>
          </w:p>
        </w:tc>
        <w:tc>
          <w:tcPr>
            <w:tcW w:w="2960" w:type="dxa"/>
            <w:vAlign w:val="bottom"/>
          </w:tcPr>
          <w:p>
            <w:pPr>
              <w:jc w:val="center"/>
              <w:ind w:left="1107"/>
              <w:spacing w:after="0"/>
              <w:rPr>
                <w:sz w:val="20"/>
                <w:szCs w:val="20"/>
                <w:color w:val="auto"/>
              </w:rPr>
            </w:pPr>
            <w:r>
              <w:rPr>
                <w:rFonts w:ascii="Courier New" w:cs="Courier New" w:eastAsia="Courier New" w:hAnsi="Courier New"/>
                <w:sz w:val="15"/>
                <w:szCs w:val="15"/>
                <w:color w:val="auto"/>
                <w:w w:val="98"/>
              </w:rPr>
              <w:t>(I.R.S. Employer</w:t>
            </w:r>
          </w:p>
        </w:tc>
      </w:tr>
      <w:tr>
        <w:trPr>
          <w:trHeight w:val="170"/>
        </w:trPr>
        <w:tc>
          <w:tcPr>
            <w:tcW w:w="4000" w:type="dxa"/>
            <w:vAlign w:val="bottom"/>
          </w:tcPr>
          <w:p>
            <w:pPr>
              <w:jc w:val="right"/>
              <w:ind w:right="1207"/>
              <w:spacing w:after="0"/>
              <w:rPr>
                <w:sz w:val="20"/>
                <w:szCs w:val="20"/>
                <w:color w:val="auto"/>
              </w:rPr>
            </w:pPr>
            <w:r>
              <w:rPr>
                <w:rFonts w:ascii="Courier New" w:cs="Courier New" w:eastAsia="Courier New" w:hAnsi="Courier New"/>
                <w:sz w:val="15"/>
                <w:szCs w:val="15"/>
                <w:color w:val="auto"/>
                <w:w w:val="99"/>
              </w:rPr>
              <w:t>incorporation or organization)</w:t>
            </w:r>
          </w:p>
        </w:tc>
        <w:tc>
          <w:tcPr>
            <w:tcW w:w="2960" w:type="dxa"/>
            <w:vAlign w:val="bottom"/>
          </w:tcPr>
          <w:p>
            <w:pPr>
              <w:ind w:left="1280"/>
              <w:spacing w:after="0"/>
              <w:rPr>
                <w:sz w:val="20"/>
                <w:szCs w:val="20"/>
                <w:color w:val="auto"/>
              </w:rPr>
            </w:pPr>
            <w:r>
              <w:rPr>
                <w:rFonts w:ascii="Courier New" w:cs="Courier New" w:eastAsia="Courier New" w:hAnsi="Courier New"/>
                <w:sz w:val="15"/>
                <w:szCs w:val="15"/>
                <w:color w:val="auto"/>
                <w:w w:val="97"/>
              </w:rPr>
              <w:t>Identification No.)</w:t>
            </w:r>
          </w:p>
        </w:tc>
      </w:tr>
    </w:tbl>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4411 EAST JONES BRIDGE ROAD, NORCROSS, GEORGIA 30092</w:t>
      </w:r>
    </w:p>
    <w:p>
      <w:pPr>
        <w:jc w:val="center"/>
        <w:ind w:right="3170"/>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(678) 375-3000</w:t>
      </w:r>
    </w:p>
    <w:p>
      <w:pPr>
        <w:jc w:val="center"/>
        <w:ind w:right="317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NOT APPLICABLE</w:t>
      </w:r>
    </w:p>
    <w:p>
      <w:pPr>
        <w:jc w:val="center"/>
        <w:ind w:right="3170"/>
        <w:spacing w:after="0"/>
        <w:rPr>
          <w:sz w:val="20"/>
          <w:szCs w:val="20"/>
          <w:color w:val="auto"/>
        </w:rPr>
      </w:pPr>
      <w:r>
        <w:rPr>
          <w:rFonts w:ascii="Courier New" w:cs="Courier New" w:eastAsia="Courier New" w:hAnsi="Courier New"/>
          <w:sz w:val="15"/>
          <w:szCs w:val="15"/>
          <w:color w:val="auto"/>
        </w:rPr>
        <w:t>(Former name, former address and former fiscal year,</w:t>
      </w:r>
    </w:p>
    <w:p>
      <w:pPr>
        <w:jc w:val="center"/>
        <w:ind w:right="3250"/>
        <w:spacing w:after="0"/>
        <w:rPr>
          <w:sz w:val="20"/>
          <w:szCs w:val="20"/>
          <w:color w:val="auto"/>
        </w:rPr>
      </w:pPr>
      <w:r>
        <w:rPr>
          <w:rFonts w:ascii="Courier New" w:cs="Courier New" w:eastAsia="Courier New" w:hAnsi="Courier New"/>
          <w:sz w:val="15"/>
          <w:szCs w:val="15"/>
          <w:color w:val="auto"/>
        </w:rPr>
        <w:t>if changed since last report)</w:t>
      </w:r>
    </w:p>
    <w:p>
      <w:pPr>
        <w:spacing w:after="0" w:line="174" w:lineRule="exact"/>
        <w:rPr>
          <w:sz w:val="24"/>
          <w:szCs w:val="24"/>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at least the past 90 days. YES X NO</w:t>
      </w:r>
    </w:p>
    <w:p>
      <w:pPr>
        <w:spacing w:after="0" w:line="3" w:lineRule="exact"/>
        <w:rPr>
          <w:sz w:val="24"/>
          <w:szCs w:val="24"/>
          <w:color w:val="auto"/>
        </w:rPr>
      </w:pPr>
    </w:p>
    <w:p>
      <w:pPr>
        <w:jc w:val="center"/>
        <w:ind w:left="380"/>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175" w:lineRule="exact"/>
        <w:rPr>
          <w:sz w:val="24"/>
          <w:szCs w:val="24"/>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 57,863,363 shares of Common Stock, $.01 par value, were outstanding at May 11, 2000.</w:t>
      </w:r>
    </w:p>
    <w:p>
      <w:pPr>
        <w:sectPr>
          <w:pgSz w:w="11900" w:h="16838" w:orient="portrait"/>
          <w:cols w:equalWidth="0" w:num="1">
            <w:col w:w="10229"/>
          </w:cols>
          <w:pgMar w:left="230" w:top="22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0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FORM 10-Q</w:t>
      </w:r>
    </w:p>
    <w:p>
      <w:pPr>
        <w:spacing w:after="0" w:line="169"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TABLE OF CONTENTS</w:t>
      </w:r>
    </w:p>
    <w:p>
      <w:pPr>
        <w:ind w:left="28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8" w:lineRule="exact"/>
        <w:rPr>
          <w:sz w:val="20"/>
          <w:szCs w:val="20"/>
          <w:color w:val="auto"/>
        </w:rPr>
      </w:pPr>
    </w:p>
    <w:p>
      <w:pPr>
        <w:jc w:val="right"/>
        <w:ind w:right="2479"/>
        <w:spacing w:after="0"/>
        <w:rPr>
          <w:sz w:val="20"/>
          <w:szCs w:val="20"/>
          <w:color w:val="auto"/>
        </w:rPr>
      </w:pPr>
      <w:r>
        <w:rPr>
          <w:rFonts w:ascii="Courier New" w:cs="Courier New" w:eastAsia="Courier New" w:hAnsi="Courier New"/>
          <w:sz w:val="15"/>
          <w:szCs w:val="15"/>
          <w:color w:val="auto"/>
        </w:rPr>
        <w:t>PAGE NO.</w:t>
      </w:r>
    </w:p>
    <w:p>
      <w:pPr>
        <w:spacing w:after="0" w:line="5" w:lineRule="exact"/>
        <w:rPr>
          <w:sz w:val="20"/>
          <w:szCs w:val="20"/>
          <w:color w:val="auto"/>
        </w:rPr>
      </w:pPr>
    </w:p>
    <w:p>
      <w:pPr>
        <w:ind w:left="7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w:t>
            </w:r>
          </w:p>
        </w:tc>
        <w:tc>
          <w:tcPr>
            <w:tcW w:w="58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Balance Sheets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March 31, 2000 and June 30, 1999</w:t>
            </w:r>
          </w:p>
        </w:tc>
        <w:tc>
          <w:tcPr>
            <w:tcW w:w="58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Statements of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Operations For the Three and Nine Months Ended</w:t>
            </w:r>
          </w:p>
        </w:tc>
        <w:tc>
          <w:tcPr>
            <w:tcW w:w="58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March 31, 2000 and 1999</w:t>
            </w:r>
          </w:p>
        </w:tc>
        <w:tc>
          <w:tcPr>
            <w:tcW w:w="58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Condensed Consolidated Statements of</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Cash Flows For the Three and Nine Months Ended</w:t>
            </w:r>
          </w:p>
        </w:tc>
        <w:tc>
          <w:tcPr>
            <w:tcW w:w="58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March 31, 2000 and 1999</w:t>
            </w:r>
          </w:p>
        </w:tc>
        <w:tc>
          <w:tcPr>
            <w:tcW w:w="580" w:type="dxa"/>
            <w:vAlign w:val="bottom"/>
          </w:tcPr>
          <w:p>
            <w:pPr>
              <w:spacing w:after="0"/>
              <w:rPr>
                <w:sz w:val="14"/>
                <w:szCs w:val="14"/>
                <w:color w:val="auto"/>
              </w:rPr>
            </w:pPr>
          </w:p>
        </w:tc>
      </w:tr>
      <w:tr>
        <w:trPr>
          <w:trHeight w:val="339"/>
        </w:trPr>
        <w:tc>
          <w:tcPr>
            <w:tcW w:w="1480" w:type="dxa"/>
            <w:vAlign w:val="bottom"/>
          </w:tcPr>
          <w:p>
            <w:pPr>
              <w:spacing w:after="0"/>
              <w:rPr>
                <w:sz w:val="24"/>
                <w:szCs w:val="24"/>
                <w:color w:val="auto"/>
              </w:rPr>
            </w:pP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Financial Statements For the Three and Nine Months</w:t>
            </w:r>
          </w:p>
        </w:tc>
        <w:tc>
          <w:tcPr>
            <w:tcW w:w="580" w:type="dxa"/>
            <w:vAlign w:val="bottom"/>
          </w:tcPr>
          <w:p>
            <w:pPr>
              <w:spacing w:after="0"/>
              <w:rPr>
                <w:sz w:val="14"/>
                <w:szCs w:val="14"/>
                <w:color w:val="auto"/>
              </w:rPr>
            </w:pPr>
          </w:p>
        </w:tc>
      </w:tr>
      <w:tr>
        <w:trPr>
          <w:trHeight w:val="170"/>
        </w:trPr>
        <w:tc>
          <w:tcPr>
            <w:tcW w:w="1480" w:type="dxa"/>
            <w:vAlign w:val="bottom"/>
          </w:tcPr>
          <w:p>
            <w:pPr>
              <w:spacing w:after="0"/>
              <w:rPr>
                <w:sz w:val="14"/>
                <w:szCs w:val="14"/>
                <w:color w:val="auto"/>
              </w:rPr>
            </w:pPr>
          </w:p>
        </w:tc>
        <w:tc>
          <w:tcPr>
            <w:tcW w:w="5520" w:type="dxa"/>
            <w:vAlign w:val="bottom"/>
          </w:tcPr>
          <w:p>
            <w:pPr>
              <w:ind w:left="900"/>
              <w:spacing w:after="0"/>
              <w:rPr>
                <w:sz w:val="20"/>
                <w:szCs w:val="20"/>
                <w:color w:val="auto"/>
              </w:rPr>
            </w:pPr>
            <w:r>
              <w:rPr>
                <w:rFonts w:ascii="Courier New" w:cs="Courier New" w:eastAsia="Courier New" w:hAnsi="Courier New"/>
                <w:sz w:val="15"/>
                <w:szCs w:val="15"/>
                <w:color w:val="auto"/>
              </w:rPr>
              <w:t>Ended March 31, 2000 and 1999</w:t>
            </w:r>
          </w:p>
        </w:tc>
        <w:tc>
          <w:tcPr>
            <w:tcW w:w="580" w:type="dxa"/>
            <w:vAlign w:val="bottom"/>
          </w:tcPr>
          <w:p>
            <w:pPr>
              <w:spacing w:after="0"/>
              <w:rPr>
                <w:sz w:val="14"/>
                <w:szCs w:val="14"/>
                <w:color w:val="auto"/>
              </w:rPr>
            </w:pP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580" w:type="dxa"/>
            <w:vAlign w:val="bottom"/>
          </w:tcPr>
          <w:p>
            <w:pPr>
              <w:spacing w:after="0"/>
              <w:rPr>
                <w:sz w:val="24"/>
                <w:szCs w:val="24"/>
                <w:color w:val="auto"/>
              </w:rPr>
            </w:pPr>
          </w:p>
        </w:tc>
      </w:tr>
      <w:tr>
        <w:trPr>
          <w:trHeight w:val="170"/>
        </w:trPr>
        <w:tc>
          <w:tcPr>
            <w:tcW w:w="1480" w:type="dxa"/>
            <w:vAlign w:val="bottom"/>
          </w:tcPr>
          <w:p>
            <w:pPr>
              <w:spacing w:after="0"/>
              <w:rPr>
                <w:sz w:val="14"/>
                <w:szCs w:val="14"/>
                <w:color w:val="auto"/>
              </w:rPr>
            </w:pPr>
          </w:p>
        </w:tc>
        <w:tc>
          <w:tcPr>
            <w:tcW w:w="5520" w:type="dxa"/>
            <w:vAlign w:val="bottom"/>
          </w:tcPr>
          <w:p>
            <w:pPr>
              <w:ind w:left="440"/>
              <w:spacing w:after="0"/>
              <w:rPr>
                <w:sz w:val="20"/>
                <w:szCs w:val="20"/>
                <w:color w:val="auto"/>
              </w:rPr>
            </w:pPr>
            <w:r>
              <w:rPr>
                <w:rFonts w:ascii="Courier New" w:cs="Courier New" w:eastAsia="Courier New" w:hAnsi="Courier New"/>
                <w:sz w:val="15"/>
                <w:szCs w:val="15"/>
                <w:color w:val="auto"/>
              </w:rPr>
              <w:t>Condition and Results of Operations.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9-19</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00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580" w:type="dxa"/>
            <w:vAlign w:val="bottom"/>
          </w:tcPr>
          <w:p>
            <w:pPr>
              <w:spacing w:after="0"/>
              <w:rPr>
                <w:sz w:val="24"/>
                <w:szCs w:val="24"/>
                <w:color w:val="auto"/>
              </w:rPr>
            </w:pPr>
          </w:p>
        </w:tc>
      </w:tr>
      <w:tr>
        <w:trPr>
          <w:trHeight w:val="339"/>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1.</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2.  Changes in Securities and Use of Proceeds.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3.  Defaults Upon Senior Securities.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4.  Submission of Matters to a Vote of Security Holders.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1480" w:type="dxa"/>
            <w:vAlign w:val="bottom"/>
          </w:tcPr>
          <w:p>
            <w:pPr>
              <w:ind w:left="780"/>
              <w:spacing w:after="0"/>
              <w:rPr>
                <w:sz w:val="20"/>
                <w:szCs w:val="20"/>
                <w:color w:val="auto"/>
              </w:rPr>
            </w:pPr>
            <w:r>
              <w:rPr>
                <w:rFonts w:ascii="Courier New" w:cs="Courier New" w:eastAsia="Courier New" w:hAnsi="Courier New"/>
                <w:sz w:val="15"/>
                <w:szCs w:val="15"/>
                <w:color w:val="auto"/>
              </w:rPr>
              <w:t>Item 5.</w:t>
            </w:r>
          </w:p>
        </w:tc>
        <w:tc>
          <w:tcPr>
            <w:tcW w:w="552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Item 6.  Exhibits and Reports on Form 8-K.</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339"/>
        </w:trPr>
        <w:tc>
          <w:tcPr>
            <w:tcW w:w="70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Signatures.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848"/>
        </w:trPr>
        <w:tc>
          <w:tcPr>
            <w:tcW w:w="1480" w:type="dxa"/>
            <w:vAlign w:val="bottom"/>
          </w:tcPr>
          <w:p>
            <w:pPr>
              <w:spacing w:after="0"/>
              <w:rPr>
                <w:sz w:val="24"/>
                <w:szCs w:val="24"/>
                <w:color w:val="auto"/>
              </w:rPr>
            </w:pPr>
          </w:p>
        </w:tc>
        <w:tc>
          <w:tcPr>
            <w:tcW w:w="5520" w:type="dxa"/>
            <w:vAlign w:val="bottom"/>
          </w:tcPr>
          <w:p>
            <w:pPr>
              <w:ind w:left="1940"/>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spacing w:after="0"/>
              <w:rPr>
                <w:sz w:val="24"/>
                <w:szCs w:val="24"/>
                <w:color w:val="auto"/>
              </w:rPr>
            </w:pPr>
          </w:p>
        </w:tc>
      </w:tr>
    </w:tbl>
    <w:p>
      <w:pPr>
        <w:sectPr>
          <w:pgSz w:w="11900" w:h="16838" w:orient="portrait"/>
          <w:cols w:equalWidth="0" w:num="1">
            <w:col w:w="10219"/>
          </w:cols>
          <w:pgMar w:left="240" w:top="283"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33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PART I. FINANCIAL INFORMATION</w:t>
      </w:r>
    </w:p>
    <w:p>
      <w:pPr>
        <w:spacing w:after="0" w:line="16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9"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CHECKFREE HOLDINGS CORPORATION AND SUBSIDIARIES</w:t>
      </w:r>
    </w:p>
    <w:p>
      <w:pPr>
        <w:ind w:left="148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JUNE 30,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6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spacing w:after="0"/>
              <w:rPr>
                <w:sz w:val="14"/>
                <w:szCs w:val="14"/>
                <w:color w:val="auto"/>
              </w:rPr>
            </w:pPr>
          </w:p>
        </w:tc>
        <w:tc>
          <w:tcPr>
            <w:tcW w:w="3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39"/>
        </w:trPr>
        <w:tc>
          <w:tcPr>
            <w:tcW w:w="6900" w:type="dxa"/>
            <w:vAlign w:val="bottom"/>
          </w:tcPr>
          <w:p>
            <w:pPr>
              <w:jc w:val="right"/>
              <w:ind w:right="2867"/>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Cash and cash equivalents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12,446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$ 125,043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Investments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10,266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26,292</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receivable, net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45,660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53,343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Prepaid expenses and other assets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7,800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11,716</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income taxes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6,513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9,444</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assets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82,685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225,838</w:t>
            </w:r>
          </w:p>
        </w:tc>
      </w:tr>
      <w:tr>
        <w:trPr>
          <w:trHeight w:val="339"/>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Property and equipment, net ................................................</w:t>
            </w:r>
          </w:p>
        </w:tc>
        <w:tc>
          <w:tcPr>
            <w:tcW w:w="5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69,823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84,461</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Capitalized software, net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20,059</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23,006</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Intangible assets, net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45,875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41,763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Investments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52,869</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Deferred income taxes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21,920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34,436</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Other noncurrent assets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10,524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13,760</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$ 252,761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$ 476,133</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339"/>
        </w:trPr>
        <w:tc>
          <w:tcPr>
            <w:tcW w:w="690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LIABILITIES AND STOCKHOLDERS' EQUITY</w:t>
            </w: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Accounts payable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9,634</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6,573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Accrued liabilities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26,971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41,032</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Current portion of long-term obligations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1,640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6,533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Deferred revenue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20,195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29,638</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current liabilities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58,440</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83,776</w:t>
            </w:r>
          </w:p>
        </w:tc>
      </w:tr>
      <w:tr>
        <w:trPr>
          <w:trHeight w:val="339"/>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Accrued rent and other .....................................................</w:t>
            </w:r>
          </w:p>
        </w:tc>
        <w:tc>
          <w:tcPr>
            <w:tcW w:w="58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3,536</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6,653</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Convertible subordinated notes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172,500</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Obligations under capital leases - less current portion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3,882</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7"/>
              </w:rPr>
              <w:t>Commitments and contingencies ..............................................</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stock- 15,000,000 authorized shares, $.01 par value;</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no amounts issued or outstanding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ind w:left="440"/>
              <w:spacing w:after="0"/>
              <w:rPr>
                <w:sz w:val="20"/>
                <w:szCs w:val="20"/>
                <w:color w:val="auto"/>
              </w:rPr>
            </w:pPr>
            <w:r>
              <w:rPr>
                <w:rFonts w:ascii="Courier New" w:cs="Courier New" w:eastAsia="Courier New" w:hAnsi="Courier New"/>
                <w:sz w:val="15"/>
                <w:szCs w:val="15"/>
                <w:color w:val="auto"/>
              </w:rPr>
              <w:t>Common stock- 150,000,000 authorized shares, $.01 par value;</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issued 57,305,659  and 58,661,612 shares, respectively;</w:t>
            </w: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outstanding 51,756,278 and 53,112,231 shares, respectively.........</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518</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531</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Additional paid-in-capital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480,385</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517,912</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Other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(281)</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Accumulated deficit ...................................................</w:t>
            </w:r>
          </w:p>
        </w:tc>
        <w:tc>
          <w:tcPr>
            <w:tcW w:w="580" w:type="dxa"/>
            <w:vAlign w:val="bottom"/>
          </w:tcPr>
          <w:p>
            <w:pPr>
              <w:spacing w:after="0"/>
              <w:rPr>
                <w:sz w:val="14"/>
                <w:szCs w:val="1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6"/>
              </w:rPr>
              <w:t>(294,000)</w:t>
            </w:r>
          </w:p>
        </w:tc>
        <w:tc>
          <w:tcPr>
            <w:tcW w:w="1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(305,778)</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stockholders' equity ........................................</w:t>
            </w:r>
          </w:p>
        </w:tc>
        <w:tc>
          <w:tcPr>
            <w:tcW w:w="5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186,903</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212,384</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Total ........................................................</w:t>
            </w: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$ 252,761</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$ 476,133</w:t>
            </w:r>
          </w:p>
        </w:tc>
      </w:tr>
      <w:tr>
        <w:trPr>
          <w:trHeight w:val="170"/>
        </w:trPr>
        <w:tc>
          <w:tcPr>
            <w:tcW w:w="6900" w:type="dxa"/>
            <w:vAlign w:val="bottom"/>
          </w:tcPr>
          <w:p>
            <w:pPr>
              <w:spacing w:after="0"/>
              <w:rPr>
                <w:sz w:val="14"/>
                <w:szCs w:val="14"/>
                <w:color w:val="auto"/>
              </w:rPr>
            </w:pPr>
          </w:p>
        </w:tc>
        <w:tc>
          <w:tcPr>
            <w:tcW w:w="17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3"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jc w:val="center"/>
        <w:ind w:right="3180"/>
        <w:spacing w:after="0"/>
        <w:rPr>
          <w:sz w:val="20"/>
          <w:szCs w:val="20"/>
          <w:color w:val="auto"/>
        </w:rPr>
      </w:pPr>
      <w:r>
        <w:rPr>
          <w:rFonts w:ascii="Courier New" w:cs="Courier New" w:eastAsia="Courier New" w:hAnsi="Courier New"/>
          <w:sz w:val="15"/>
          <w:szCs w:val="15"/>
          <w:color w:val="auto"/>
        </w:rPr>
        <w:t>CHECKFREE HOLDINGS CORPORATION AND SUBSIDIARIES</w:t>
      </w:r>
    </w:p>
    <w:p>
      <w:pPr>
        <w:jc w:val="center"/>
        <w:ind w:right="318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620" w:type="dxa"/>
            <w:vAlign w:val="bottom"/>
          </w:tcPr>
          <w:p>
            <w:pPr>
              <w:spacing w:after="0"/>
              <w:rPr>
                <w:sz w:val="14"/>
                <w:szCs w:val="14"/>
                <w:color w:val="auto"/>
              </w:rPr>
            </w:pPr>
          </w:p>
        </w:tc>
        <w:tc>
          <w:tcPr>
            <w:tcW w:w="2060" w:type="dxa"/>
            <w:vAlign w:val="bottom"/>
            <w:gridSpan w:val="3"/>
          </w:tcPr>
          <w:p>
            <w:pPr>
              <w:jc w:val="right"/>
              <w:ind w:right="26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6"/>
              </w:rPr>
              <w:t>MARCH 31,</w:t>
            </w: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520" w:type="dxa"/>
            <w:vAlign w:val="bottom"/>
          </w:tcPr>
          <w:p>
            <w:pPr>
              <w:spacing w:after="0"/>
              <w:rPr>
                <w:sz w:val="14"/>
                <w:szCs w:val="14"/>
                <w:color w:val="auto"/>
              </w:rPr>
            </w:pPr>
          </w:p>
        </w:tc>
        <w:tc>
          <w:tcPr>
            <w:tcW w:w="1500" w:type="dxa"/>
            <w:vAlign w:val="bottom"/>
            <w:gridSpan w:val="2"/>
          </w:tcPr>
          <w:p>
            <w:pPr>
              <w:ind w:left="500"/>
              <w:spacing w:after="0"/>
              <w:rPr>
                <w:sz w:val="20"/>
                <w:szCs w:val="20"/>
                <w:color w:val="auto"/>
              </w:rPr>
            </w:pPr>
            <w:r>
              <w:rPr>
                <w:rFonts w:ascii="Courier New" w:cs="Courier New" w:eastAsia="Courier New" w:hAnsi="Courier New"/>
                <w:sz w:val="10"/>
                <w:szCs w:val="10"/>
                <w:color w:val="auto"/>
                <w:w w:val="70"/>
              </w:rPr>
              <w:t>-----------------------</w:t>
            </w: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8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500" w:type="dxa"/>
            <w:vAlign w:val="bottom"/>
          </w:tcPr>
          <w:p>
            <w:pPr>
              <w:spacing w:after="0"/>
              <w:rPr>
                <w:sz w:val="14"/>
                <w:szCs w:val="14"/>
                <w:color w:val="auto"/>
              </w:rPr>
            </w:pPr>
          </w:p>
        </w:tc>
        <w:tc>
          <w:tcPr>
            <w:tcW w:w="1100" w:type="dxa"/>
            <w:vAlign w:val="bottom"/>
          </w:tcPr>
          <w:p>
            <w:pPr>
              <w:jc w:val="right"/>
              <w:ind w:right="687"/>
              <w:spacing w:after="0"/>
              <w:rPr>
                <w:sz w:val="20"/>
                <w:szCs w:val="20"/>
                <w:color w:val="auto"/>
              </w:rPr>
            </w:pPr>
            <w:r>
              <w:rPr>
                <w:rFonts w:ascii="Courier New" w:cs="Courier New" w:eastAsia="Courier New" w:hAnsi="Courier New"/>
                <w:sz w:val="15"/>
                <w:szCs w:val="15"/>
                <w:color w:val="auto"/>
                <w:w w:val="88"/>
              </w:rPr>
              <w:t>2000</w:t>
            </w:r>
          </w:p>
        </w:tc>
        <w:tc>
          <w:tcPr>
            <w:tcW w:w="620" w:type="dxa"/>
            <w:vAlign w:val="bottom"/>
          </w:tcPr>
          <w:p>
            <w:pPr>
              <w:spacing w:after="0"/>
              <w:rPr>
                <w:sz w:val="14"/>
                <w:szCs w:val="14"/>
                <w:color w:val="auto"/>
              </w:rPr>
            </w:pPr>
          </w:p>
        </w:tc>
        <w:tc>
          <w:tcPr>
            <w:tcW w:w="104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1999</w:t>
            </w:r>
          </w:p>
        </w:tc>
        <w:tc>
          <w:tcPr>
            <w:tcW w:w="2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60" w:type="dxa"/>
            <w:vAlign w:val="bottom"/>
            <w:gridSpan w:val="4"/>
          </w:tcPr>
          <w:p>
            <w:pPr>
              <w:jc w:val="right"/>
              <w:ind w:right="47"/>
              <w:spacing w:after="0"/>
              <w:rPr>
                <w:sz w:val="20"/>
                <w:szCs w:val="20"/>
                <w:color w:val="auto"/>
              </w:rPr>
            </w:pPr>
            <w:r>
              <w:rPr>
                <w:rFonts w:ascii="Courier New" w:cs="Courier New" w:eastAsia="Courier New" w:hAnsi="Courier New"/>
                <w:sz w:val="15"/>
                <w:szCs w:val="15"/>
                <w:color w:val="auto"/>
              </w:rPr>
              <w:t>(IN THOUSANDS, EXCEPT SHARE DATA)</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Processing and servicing ................</w:t>
            </w: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$ 51,893</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$ 68,499</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$ 145,468</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$ 189,430</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License fees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3,593</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4,098</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10,005</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10,295</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Maintenance fees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4,112</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4,615</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13,314</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13,571</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3,362</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2,494</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10,592</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8,399</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Total revenues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62,960</w:t>
            </w:r>
          </w:p>
        </w:tc>
        <w:tc>
          <w:tcPr>
            <w:tcW w:w="5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79,706</w:t>
            </w:r>
          </w:p>
        </w:tc>
        <w:tc>
          <w:tcPr>
            <w:tcW w:w="62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179,379</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221,695</w:t>
            </w:r>
          </w:p>
        </w:tc>
      </w:tr>
      <w:tr>
        <w:trPr>
          <w:trHeight w:val="509"/>
        </w:trPr>
        <w:tc>
          <w:tcPr>
            <w:tcW w:w="45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520" w:type="dxa"/>
            <w:vAlign w:val="bottom"/>
          </w:tcPr>
          <w:p>
            <w:pPr>
              <w:jc w:val="right"/>
              <w:ind w:right="1467"/>
              <w:spacing w:after="0"/>
              <w:rPr>
                <w:sz w:val="20"/>
                <w:szCs w:val="20"/>
                <w:color w:val="auto"/>
              </w:rPr>
            </w:pPr>
            <w:r>
              <w:rPr>
                <w:rFonts w:ascii="Courier New" w:cs="Courier New" w:eastAsia="Courier New" w:hAnsi="Courier New"/>
                <w:sz w:val="15"/>
                <w:szCs w:val="15"/>
                <w:color w:val="auto"/>
              </w:rPr>
              <w:t>Cost of processing, servicing</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and support............................</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36,115</w:t>
            </w:r>
          </w:p>
        </w:tc>
        <w:tc>
          <w:tcPr>
            <w:tcW w:w="5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46,785</w:t>
            </w:r>
          </w:p>
        </w:tc>
        <w:tc>
          <w:tcPr>
            <w:tcW w:w="62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107,572</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133,684</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Research and development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4,382</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9,166</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16,539</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24,276</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Sales and marketing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6,713</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10,945</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21,945</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29,522</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General and administrative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7,198</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9,550</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21,556</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28,837</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Depreciation and amortization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6,002</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9,033</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18,001</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23,789</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In-process research and development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2,201</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2,201</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Total expenses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62,611</w:t>
            </w:r>
          </w:p>
        </w:tc>
        <w:tc>
          <w:tcPr>
            <w:tcW w:w="5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85,479</w:t>
            </w:r>
          </w:p>
        </w:tc>
        <w:tc>
          <w:tcPr>
            <w:tcW w:w="62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187,814</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240,108</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gain on dispositions of assets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3,914</w:t>
            </w:r>
          </w:p>
        </w:tc>
        <w:tc>
          <w:tcPr>
            <w:tcW w:w="2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Loss from operations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349</w:t>
            </w:r>
          </w:p>
        </w:tc>
        <w:tc>
          <w:tcPr>
            <w:tcW w:w="5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(5,773)</w:t>
            </w:r>
          </w:p>
        </w:tc>
        <w:tc>
          <w:tcPr>
            <w:tcW w:w="620" w:type="dxa"/>
            <w:vAlign w:val="bottom"/>
          </w:tcPr>
          <w:p>
            <w:pPr>
              <w:spacing w:after="0"/>
              <w:rPr>
                <w:sz w:val="14"/>
                <w:szCs w:val="1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(4,521)</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(18,413)</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Net interest income (expense)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479</w:t>
            </w:r>
          </w:p>
        </w:tc>
        <w:tc>
          <w:tcPr>
            <w:tcW w:w="50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(226)</w:t>
            </w:r>
          </w:p>
        </w:tc>
        <w:tc>
          <w:tcPr>
            <w:tcW w:w="620" w:type="dxa"/>
            <w:vAlign w:val="bottom"/>
          </w:tcPr>
          <w:p>
            <w:pPr>
              <w:spacing w:after="0"/>
              <w:rPr>
                <w:sz w:val="24"/>
                <w:szCs w:val="2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1,698</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Loss before income taxes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828</w:t>
            </w:r>
          </w:p>
        </w:tc>
        <w:tc>
          <w:tcPr>
            <w:tcW w:w="500" w:type="dxa"/>
            <w:vAlign w:val="bottom"/>
          </w:tcPr>
          <w:p>
            <w:pPr>
              <w:spacing w:after="0"/>
              <w:rPr>
                <w:sz w:val="14"/>
                <w:szCs w:val="1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(5,999)</w:t>
            </w:r>
          </w:p>
        </w:tc>
        <w:tc>
          <w:tcPr>
            <w:tcW w:w="620" w:type="dxa"/>
            <w:vAlign w:val="bottom"/>
          </w:tcPr>
          <w:p>
            <w:pPr>
              <w:spacing w:after="0"/>
              <w:rPr>
                <w:sz w:val="14"/>
                <w:szCs w:val="1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(2,823)</w:t>
            </w:r>
          </w:p>
        </w:tc>
        <w:tc>
          <w:tcPr>
            <w:tcW w:w="2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(18,496)</w:t>
            </w:r>
          </w:p>
        </w:tc>
      </w:tr>
      <w:tr>
        <w:trPr>
          <w:trHeight w:val="339"/>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Income tax benefit ...........................</w:t>
            </w:r>
          </w:p>
        </w:tc>
        <w:tc>
          <w:tcPr>
            <w:tcW w:w="6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1,136</w:t>
            </w:r>
          </w:p>
        </w:tc>
        <w:tc>
          <w:tcPr>
            <w:tcW w:w="500" w:type="dxa"/>
            <w:vAlign w:val="bottom"/>
          </w:tcPr>
          <w:p>
            <w:pPr>
              <w:spacing w:after="0"/>
              <w:rPr>
                <w:sz w:val="24"/>
                <w:szCs w:val="24"/>
                <w:color w:val="auto"/>
              </w:rPr>
            </w:pP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5"/>
              </w:rPr>
              <w:t>(2,126)</w:t>
            </w:r>
          </w:p>
        </w:tc>
        <w:tc>
          <w:tcPr>
            <w:tcW w:w="620" w:type="dxa"/>
            <w:vAlign w:val="bottom"/>
          </w:tcPr>
          <w:p>
            <w:pPr>
              <w:spacing w:after="0"/>
              <w:rPr>
                <w:sz w:val="24"/>
                <w:szCs w:val="24"/>
                <w:color w:val="auto"/>
              </w:rPr>
            </w:pPr>
          </w:p>
        </w:tc>
        <w:tc>
          <w:tcPr>
            <w:tcW w:w="10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(12,422)</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(6,718)</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Net income (loss) ............................</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(308)</w:t>
            </w:r>
          </w:p>
        </w:tc>
        <w:tc>
          <w:tcPr>
            <w:tcW w:w="16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(3,873)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9,599</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(11,778)</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45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income (loss) per common share ......</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Equivalent number of shares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51,218</w:t>
            </w:r>
          </w:p>
        </w:tc>
        <w:tc>
          <w:tcPr>
            <w:tcW w:w="5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52,716</w:t>
            </w:r>
          </w:p>
        </w:tc>
        <w:tc>
          <w:tcPr>
            <w:tcW w:w="62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52,696</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52,246</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income (loss) per common share ......</w:t>
            </w:r>
          </w:p>
        </w:tc>
        <w:tc>
          <w:tcPr>
            <w:tcW w:w="6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(0.01)</w:t>
            </w:r>
          </w:p>
        </w:tc>
        <w:tc>
          <w:tcPr>
            <w:tcW w:w="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(0.07)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Equivalent number of shares .............</w:t>
            </w:r>
          </w:p>
        </w:tc>
        <w:tc>
          <w:tcPr>
            <w:tcW w:w="680" w:type="dxa"/>
            <w:vAlign w:val="bottom"/>
          </w:tcPr>
          <w:p>
            <w:pPr>
              <w:spacing w:after="0"/>
              <w:rPr>
                <w:sz w:val="14"/>
                <w:szCs w:val="1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2"/>
              </w:rPr>
              <w:t>51,218</w:t>
            </w:r>
          </w:p>
        </w:tc>
        <w:tc>
          <w:tcPr>
            <w:tcW w:w="500" w:type="dxa"/>
            <w:vAlign w:val="bottom"/>
          </w:tcPr>
          <w:p>
            <w:pPr>
              <w:spacing w:after="0"/>
              <w:rPr>
                <w:sz w:val="14"/>
                <w:szCs w:val="14"/>
                <w:color w:val="auto"/>
              </w:rPr>
            </w:pPr>
          </w:p>
        </w:tc>
        <w:tc>
          <w:tcPr>
            <w:tcW w:w="1100" w:type="dxa"/>
            <w:vAlign w:val="bottom"/>
          </w:tcPr>
          <w:p>
            <w:pPr>
              <w:jc w:val="right"/>
              <w:ind w:right="507"/>
              <w:spacing w:after="0"/>
              <w:rPr>
                <w:sz w:val="20"/>
                <w:szCs w:val="20"/>
                <w:color w:val="auto"/>
              </w:rPr>
            </w:pPr>
            <w:r>
              <w:rPr>
                <w:rFonts w:ascii="Courier New" w:cs="Courier New" w:eastAsia="Courier New" w:hAnsi="Courier New"/>
                <w:sz w:val="15"/>
                <w:szCs w:val="15"/>
                <w:color w:val="auto"/>
                <w:w w:val="92"/>
              </w:rPr>
              <w:t>52,716</w:t>
            </w:r>
          </w:p>
        </w:tc>
        <w:tc>
          <w:tcPr>
            <w:tcW w:w="620" w:type="dxa"/>
            <w:vAlign w:val="bottom"/>
          </w:tcPr>
          <w:p>
            <w:pPr>
              <w:spacing w:after="0"/>
              <w:rPr>
                <w:sz w:val="14"/>
                <w:szCs w:val="14"/>
                <w:color w:val="auto"/>
              </w:rPr>
            </w:pPr>
          </w:p>
        </w:tc>
        <w:tc>
          <w:tcPr>
            <w:tcW w:w="10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56,117</w:t>
            </w:r>
          </w:p>
        </w:tc>
        <w:tc>
          <w:tcPr>
            <w:tcW w:w="280" w:type="dxa"/>
            <w:vAlign w:val="bottom"/>
          </w:tcPr>
          <w:p>
            <w:pPr>
              <w:spacing w:after="0"/>
              <w:rPr>
                <w:sz w:val="14"/>
                <w:szCs w:val="1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52,246</w:t>
            </w:r>
          </w:p>
        </w:tc>
      </w:tr>
      <w:tr>
        <w:trPr>
          <w:trHeight w:val="170"/>
        </w:trPr>
        <w:tc>
          <w:tcPr>
            <w:tcW w:w="4520" w:type="dxa"/>
            <w:vAlign w:val="bottom"/>
          </w:tcPr>
          <w:p>
            <w:pPr>
              <w:spacing w:after="0"/>
              <w:rPr>
                <w:sz w:val="14"/>
                <w:szCs w:val="14"/>
                <w:color w:val="auto"/>
              </w:rPr>
            </w:pPr>
          </w:p>
        </w:tc>
        <w:tc>
          <w:tcPr>
            <w:tcW w:w="15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300"/>
          </w:cols>
          <w:pgMar w:left="240" w:top="283" w:right="1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820" w:type="dxa"/>
            <w:vAlign w:val="bottom"/>
          </w:tcPr>
          <w:p>
            <w:pPr>
              <w:jc w:val="right"/>
              <w:ind w:right="6407"/>
              <w:spacing w:after="0"/>
              <w:rPr>
                <w:sz w:val="20"/>
                <w:szCs w:val="20"/>
                <w:color w:val="auto"/>
              </w:rPr>
            </w:pPr>
            <w:r>
              <w:rPr>
                <w:rFonts w:ascii="Courier New" w:cs="Courier New" w:eastAsia="Courier New" w:hAnsi="Courier New"/>
                <w:sz w:val="15"/>
                <w:szCs w:val="15"/>
                <w:color w:val="auto"/>
              </w:rPr>
              <w:t>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82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UNAUDITED CONDENSED CONSOLIDATED STATEMENTS OF CASH FLOWS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6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60" w:type="dxa"/>
            <w:vAlign w:val="bottom"/>
            <w:gridSpan w:val="3"/>
          </w:tcPr>
          <w:p>
            <w:pPr>
              <w:jc w:val="right"/>
              <w:ind w:right="647"/>
              <w:spacing w:after="0"/>
              <w:rPr>
                <w:sz w:val="20"/>
                <w:szCs w:val="20"/>
                <w:color w:val="auto"/>
              </w:rPr>
            </w:pPr>
            <w:r>
              <w:rPr>
                <w:rFonts w:ascii="Courier New" w:cs="Courier New" w:eastAsia="Courier New" w:hAnsi="Courier New"/>
                <w:sz w:val="15"/>
                <w:szCs w:val="15"/>
                <w:color w:val="auto"/>
              </w:rPr>
              <w:t>NINE MONTHS ENDED</w:t>
            </w:r>
          </w:p>
        </w:tc>
      </w:tr>
      <w:tr>
        <w:trPr>
          <w:trHeight w:val="170"/>
        </w:trPr>
        <w:tc>
          <w:tcPr>
            <w:tcW w:w="6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MARCH 31,</w:t>
            </w:r>
          </w:p>
        </w:tc>
        <w:tc>
          <w:tcPr>
            <w:tcW w:w="800" w:type="dxa"/>
            <w:vAlign w:val="bottom"/>
          </w:tcPr>
          <w:p>
            <w:pPr>
              <w:spacing w:after="0"/>
              <w:rPr>
                <w:sz w:val="14"/>
                <w:szCs w:val="14"/>
                <w:color w:val="auto"/>
              </w:rPr>
            </w:pPr>
          </w:p>
        </w:tc>
      </w:tr>
      <w:tr>
        <w:trPr>
          <w:trHeight w:val="170"/>
        </w:trPr>
        <w:tc>
          <w:tcPr>
            <w:tcW w:w="6820" w:type="dxa"/>
            <w:vAlign w:val="bottom"/>
          </w:tcPr>
          <w:p>
            <w:pPr>
              <w:spacing w:after="0"/>
              <w:rPr>
                <w:sz w:val="14"/>
                <w:szCs w:val="14"/>
                <w:color w:val="auto"/>
              </w:rPr>
            </w:pPr>
          </w:p>
        </w:tc>
        <w:tc>
          <w:tcPr>
            <w:tcW w:w="314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00" w:type="dxa"/>
            <w:vAlign w:val="bottom"/>
          </w:tcPr>
          <w:p>
            <w:pPr>
              <w:spacing w:after="0"/>
              <w:rPr>
                <w:sz w:val="14"/>
                <w:szCs w:val="14"/>
                <w:color w:val="auto"/>
              </w:rPr>
            </w:pP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Net income (loss)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9,599</w:t>
            </w: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(11,778)</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ind w:left="600"/>
              <w:spacing w:after="0"/>
              <w:rPr>
                <w:sz w:val="20"/>
                <w:szCs w:val="20"/>
                <w:color w:val="auto"/>
              </w:rPr>
            </w:pPr>
            <w:r>
              <w:rPr>
                <w:rFonts w:ascii="Courier New" w:cs="Courier New" w:eastAsia="Courier New" w:hAnsi="Courier New"/>
                <w:sz w:val="15"/>
                <w:szCs w:val="15"/>
                <w:color w:val="auto"/>
              </w:rPr>
              <w:t>(used in) operating activities: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18,001</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23,789</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Deferred income tax provision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(10,418)</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(6,718)</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Net gain on dispositions of assets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(3,914)</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Write-off of in-process research and development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2,201</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property and equipment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202</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Purchases of investments - Trading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(3,061)</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(15,202)</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maturities and sales of investments, net - Trading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18,169</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18,929</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Change in certain assets and liabilities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ind w:left="600"/>
              <w:spacing w:after="0"/>
              <w:rPr>
                <w:sz w:val="20"/>
                <w:szCs w:val="20"/>
                <w:color w:val="auto"/>
              </w:rPr>
            </w:pPr>
            <w:r>
              <w:rPr>
                <w:rFonts w:ascii="Courier New" w:cs="Courier New" w:eastAsia="Courier New" w:hAnsi="Courier New"/>
                <w:sz w:val="15"/>
                <w:szCs w:val="15"/>
                <w:color w:val="auto"/>
              </w:rPr>
              <w:t>(net of acquisitions and dispositions):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Accounts receivable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(6,401)</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(7,683)</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Prepaid expenses and other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1,570</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Other noncurrent assets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Accounts payable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(943)</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(3,459)</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Accrued liabilities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(1,012)</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15,168</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Deferred revenue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5,257</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9,443</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 tax accounts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(4,541)</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Accrued rent and other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943</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24,709</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22,547</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 of property and software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(21,581)</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(26,222)</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sale of assets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11,421</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 of business, net of cash acquired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(1,157)</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Capitalization of software development costs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(5,111)</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(5,379)</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 of investments - held to maturity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(70,747)</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maturities and sales of investments - held to</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maturity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1,006</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cash used in investing activities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(14,390)</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(103,505)</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Repayment of notes payable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(752)</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Principal payments under capital lease obligations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c>
          <w:tcPr>
            <w:tcW w:w="10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(659)</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sale of stock and exercise of warrants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16,093</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issuance of convertible subordinated notes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166,903</w:t>
            </w:r>
          </w:p>
        </w:tc>
      </w:tr>
      <w:tr>
        <w:trPr>
          <w:trHeight w:val="170"/>
        </w:trPr>
        <w:tc>
          <w:tcPr>
            <w:tcW w:w="682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stock options exercised, including related tax</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benefits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1,184</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9,034</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Proceeds from employee stock purchase plan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1,070</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2,184</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Purchase of treasury stock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(31,335)</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Net cash provided by (used in) financing activities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(30,655)</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193,555</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7"/>
              </w:rPr>
              <w:t>Net increase (decrease) in cash and cash equivalents ...................</w:t>
            </w:r>
          </w:p>
        </w:tc>
        <w:tc>
          <w:tcPr>
            <w:tcW w:w="5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(20,336)</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112,597</w:t>
            </w:r>
          </w:p>
        </w:tc>
      </w:tr>
      <w:tr>
        <w:trPr>
          <w:trHeight w:val="339"/>
        </w:trPr>
        <w:tc>
          <w:tcPr>
            <w:tcW w:w="68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Beginning of period ...............................................</w:t>
            </w:r>
          </w:p>
        </w:tc>
        <w:tc>
          <w:tcPr>
            <w:tcW w:w="580" w:type="dxa"/>
            <w:vAlign w:val="bottom"/>
          </w:tcPr>
          <w:p>
            <w:pPr>
              <w:spacing w:after="0"/>
              <w:rPr>
                <w:sz w:val="14"/>
                <w:szCs w:val="1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36,535</w:t>
            </w:r>
          </w:p>
        </w:tc>
        <w:tc>
          <w:tcPr>
            <w:tcW w:w="1020" w:type="dxa"/>
            <w:vAlign w:val="bottom"/>
          </w:tcPr>
          <w:p>
            <w:pPr>
              <w:spacing w:after="0"/>
              <w:rPr>
                <w:sz w:val="14"/>
                <w:szCs w:val="1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12,446</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End of period .....................................................</w:t>
            </w: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$ 16,199</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$ 125,043</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Interest paid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145</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Income taxes paid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2,392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56</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Capital lease additions and purchase of other long-term assets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1,583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4,964</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68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Stock funding of 401(k) match .....................................</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1,059</w:t>
            </w:r>
          </w:p>
        </w:tc>
      </w:tr>
      <w:tr>
        <w:trPr>
          <w:trHeight w:val="170"/>
        </w:trPr>
        <w:tc>
          <w:tcPr>
            <w:tcW w:w="6820" w:type="dxa"/>
            <w:vAlign w:val="bottom"/>
          </w:tcPr>
          <w:p>
            <w:pPr>
              <w:spacing w:after="0"/>
              <w:rPr>
                <w:sz w:val="14"/>
                <w:szCs w:val="14"/>
                <w:color w:val="auto"/>
              </w:rPr>
            </w:pPr>
          </w:p>
        </w:tc>
        <w:tc>
          <w:tcPr>
            <w:tcW w:w="13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ectPr>
          <w:pgSz w:w="11900" w:h="16838" w:orient="portrait"/>
          <w:cols w:equalWidth="0" w:num="1">
            <w:col w:w="10219"/>
          </w:cols>
          <w:pgMar w:left="240" w:top="283" w:right="1440" w:bottom="1440" w:gutter="0" w:footer="0" w:header="0"/>
        </w:sectPr>
      </w:pP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3" w:right="1440" w:bottom="1440" w:gutter="0" w:footer="0" w:header="0"/>
          <w:type w:val="continuous"/>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jc w:val="center"/>
        <w:ind w:right="3510"/>
        <w:spacing w:after="0" w:line="237" w:lineRule="auto"/>
        <w:rPr>
          <w:sz w:val="20"/>
          <w:szCs w:val="20"/>
          <w:color w:val="auto"/>
        </w:rPr>
      </w:pPr>
      <w:r>
        <w:rPr>
          <w:rFonts w:ascii="Courier New" w:cs="Courier New" w:eastAsia="Courier New" w:hAnsi="Courier New"/>
          <w:sz w:val="15"/>
          <w:szCs w:val="15"/>
          <w:color w:val="auto"/>
        </w:rPr>
        <w:t>CHECKFREE HOLDINGS CORPORATION AND SUBSIDIARIES NOTES TO INTERIM CONDENSED CONSOLIDATED UNAUDITED FINANCIAL STATEMENTS FOR THE NINE MONTHS ENDED MARCH 31, 1999 AND 2000</w:t>
      </w:r>
    </w:p>
    <w:p>
      <w:pPr>
        <w:spacing w:after="0" w:line="169" w:lineRule="exact"/>
        <w:rPr>
          <w:sz w:val="20"/>
          <w:szCs w:val="20"/>
          <w:color w:val="auto"/>
        </w:rPr>
      </w:pPr>
    </w:p>
    <w:p>
      <w:pPr>
        <w:ind w:left="790" w:hanging="790"/>
        <w:spacing w:after="0"/>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175" w:lineRule="exact"/>
        <w:rPr>
          <w:sz w:val="20"/>
          <w:szCs w:val="20"/>
          <w:color w:val="auto"/>
        </w:rPr>
      </w:pPr>
    </w:p>
    <w:p>
      <w:pPr>
        <w:ind w:left="10" w:right="3520" w:firstLine="793"/>
        <w:spacing w:after="0" w:line="238" w:lineRule="auto"/>
        <w:rPr>
          <w:sz w:val="20"/>
          <w:szCs w:val="20"/>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nine months ended March 31, 1999 and 2000 are not necessarily indicative of the results for the full year.</w:t>
      </w:r>
    </w:p>
    <w:p>
      <w:pPr>
        <w:spacing w:after="0" w:line="177" w:lineRule="exact"/>
        <w:rPr>
          <w:sz w:val="20"/>
          <w:szCs w:val="20"/>
          <w:color w:val="auto"/>
        </w:rPr>
      </w:pPr>
    </w:p>
    <w:p>
      <w:pPr>
        <w:ind w:left="10" w:right="3520" w:firstLine="793"/>
        <w:spacing w:after="0" w:line="238" w:lineRule="auto"/>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filed with the Securities and Exchange Commission on Form 10-K.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7" w:lineRule="exact"/>
        <w:rPr>
          <w:sz w:val="20"/>
          <w:szCs w:val="20"/>
          <w:color w:val="auto"/>
        </w:rPr>
      </w:pPr>
    </w:p>
    <w:p>
      <w:pPr>
        <w:ind w:left="10" w:right="3960" w:firstLine="793"/>
        <w:spacing w:after="0" w:line="235" w:lineRule="auto"/>
        <w:rPr>
          <w:sz w:val="20"/>
          <w:szCs w:val="20"/>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170"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10" w:right="3700" w:firstLine="793"/>
        <w:spacing w:after="0" w:line="237"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780" w:type="dxa"/>
            <w:vAlign w:val="bottom"/>
            <w:gridSpan w:val="2"/>
          </w:tcPr>
          <w:p>
            <w:pPr>
              <w:jc w:val="right"/>
              <w:ind w:right="427"/>
              <w:spacing w:after="0"/>
              <w:rPr>
                <w:sz w:val="20"/>
                <w:szCs w:val="20"/>
                <w:color w:val="auto"/>
              </w:rPr>
            </w:pPr>
            <w:r>
              <w:rPr>
                <w:rFonts w:ascii="Courier New" w:cs="Courier New" w:eastAsia="Courier New" w:hAnsi="Courier New"/>
                <w:sz w:val="15"/>
                <w:szCs w:val="15"/>
                <w:color w:val="auto"/>
              </w:rPr>
              <w:t>FOR THE NINE MONTHS ENDED</w:t>
            </w: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818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MARCH 31, 1999</w:t>
            </w: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MARCH 31, 2000</w:t>
            </w:r>
          </w:p>
        </w:tc>
        <w:tc>
          <w:tcPr>
            <w:tcW w:w="10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264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1320" w:type="dxa"/>
            <w:vAlign w:val="bottom"/>
          </w:tcPr>
          <w:p>
            <w:pPr>
              <w:spacing w:after="0"/>
              <w:rPr>
                <w:sz w:val="14"/>
                <w:szCs w:val="14"/>
                <w:color w:val="auto"/>
              </w:rPr>
            </w:pPr>
          </w:p>
        </w:tc>
        <w:tc>
          <w:tcPr>
            <w:tcW w:w="42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INCOME</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c>
          <w:tcPr>
            <w:tcW w:w="1320" w:type="dxa"/>
            <w:vAlign w:val="bottom"/>
          </w:tcPr>
          <w:p>
            <w:pPr>
              <w:ind w:left="340"/>
              <w:spacing w:after="0"/>
              <w:rPr>
                <w:sz w:val="20"/>
                <w:szCs w:val="20"/>
                <w:color w:val="auto"/>
              </w:rPr>
            </w:pPr>
            <w:r>
              <w:rPr>
                <w:rFonts w:ascii="Courier New" w:cs="Courier New" w:eastAsia="Courier New" w:hAnsi="Courier New"/>
                <w:sz w:val="15"/>
                <w:szCs w:val="15"/>
                <w:color w:val="auto"/>
              </w:rPr>
              <w:t>PER-SHARE</w:t>
            </w:r>
          </w:p>
        </w:tc>
        <w:tc>
          <w:tcPr>
            <w:tcW w:w="146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INCOME</w:t>
            </w:r>
          </w:p>
        </w:tc>
        <w:tc>
          <w:tcPr>
            <w:tcW w:w="176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PER-SHARE</w:t>
            </w:r>
          </w:p>
        </w:tc>
      </w:tr>
      <w:tr>
        <w:trPr>
          <w:trHeight w:val="170"/>
        </w:trPr>
        <w:tc>
          <w:tcPr>
            <w:tcW w:w="238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(NUMERATOR)</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(DENOMINATOR)</w:t>
            </w:r>
          </w:p>
        </w:tc>
        <w:tc>
          <w:tcPr>
            <w:tcW w:w="1320" w:type="dxa"/>
            <w:vAlign w:val="bottom"/>
          </w:tcPr>
          <w:p>
            <w:pPr>
              <w:ind w:left="440"/>
              <w:spacing w:after="0"/>
              <w:rPr>
                <w:sz w:val="20"/>
                <w:szCs w:val="20"/>
                <w:color w:val="auto"/>
              </w:rPr>
            </w:pPr>
            <w:r>
              <w:rPr>
                <w:rFonts w:ascii="Courier New" w:cs="Courier New" w:eastAsia="Courier New" w:hAnsi="Courier New"/>
                <w:sz w:val="15"/>
                <w:szCs w:val="15"/>
                <w:color w:val="auto"/>
              </w:rPr>
              <w:t>AMOUNT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(NUMERATOR)</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(DENOMINATOR)</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AMOUNT</w:t>
            </w:r>
          </w:p>
        </w:tc>
      </w:tr>
      <w:tr>
        <w:trPr>
          <w:trHeight w:val="170"/>
        </w:trPr>
        <w:tc>
          <w:tcPr>
            <w:tcW w:w="23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8"/>
              </w:rPr>
              <w:t>---------</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Basic EPS ................</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$9,599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52,696</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$0.18</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$(11,778)</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52,246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2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spacing w:after="0"/>
              <w:rPr>
                <w:sz w:val="14"/>
                <w:szCs w:val="14"/>
                <w:color w:val="auto"/>
              </w:rPr>
            </w:pP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0"/>
        </w:trPr>
        <w:tc>
          <w:tcPr>
            <w:tcW w:w="2380" w:type="dxa"/>
            <w:vAlign w:val="bottom"/>
          </w:tcPr>
          <w:p>
            <w:pPr>
              <w:ind w:left="160"/>
              <w:spacing w:after="0"/>
              <w:rPr>
                <w:sz w:val="20"/>
                <w:szCs w:val="20"/>
                <w:color w:val="auto"/>
              </w:rPr>
            </w:pPr>
            <w:r>
              <w:rPr>
                <w:rFonts w:ascii="Courier New" w:cs="Courier New" w:eastAsia="Courier New" w:hAnsi="Courier New"/>
                <w:sz w:val="15"/>
                <w:szCs w:val="15"/>
                <w:color w:val="auto"/>
                <w:w w:val="97"/>
              </w:rPr>
              <w:t>Options and warrants.....</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3,421</w:t>
            </w:r>
          </w:p>
        </w:tc>
        <w:tc>
          <w:tcPr>
            <w:tcW w:w="13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spacing w:after="0"/>
              <w:rPr>
                <w:sz w:val="14"/>
                <w:szCs w:val="14"/>
                <w:color w:val="auto"/>
              </w:rPr>
            </w:pPr>
          </w:p>
        </w:tc>
      </w:tr>
      <w:tr>
        <w:trPr>
          <w:trHeight w:val="170"/>
        </w:trPr>
        <w:tc>
          <w:tcPr>
            <w:tcW w:w="238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spacing w:after="0"/>
              <w:rPr>
                <w:sz w:val="14"/>
                <w:szCs w:val="14"/>
                <w:color w:val="auto"/>
              </w:rPr>
            </w:pPr>
          </w:p>
        </w:tc>
      </w:t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Diluted EPS ...............</w:t>
            </w: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$9,599</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56,117</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$0.17</w:t>
            </w: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$(11,778)</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52,246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0"/>
        </w:trPr>
        <w:tc>
          <w:tcPr>
            <w:tcW w:w="238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w:t>
            </w:r>
          </w:p>
        </w:tc>
        <w:tc>
          <w:tcPr>
            <w:tcW w:w="14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ind w:right="3160"/>
        <w:spacing w:after="0"/>
        <w:rPr>
          <w:sz w:val="20"/>
          <w:szCs w:val="20"/>
          <w:color w:val="auto"/>
        </w:rPr>
      </w:pPr>
      <w:r>
        <w:rPr>
          <w:rFonts w:ascii="Courier New" w:cs="Courier New" w:eastAsia="Courier New" w:hAnsi="Courier New"/>
          <w:sz w:val="15"/>
          <w:szCs w:val="15"/>
          <w:color w:val="auto"/>
        </w:rPr>
        <w:t>FOR THE THREE MONTHS ENDED</w:t>
      </w:r>
    </w:p>
    <w:p>
      <w:pPr>
        <w:spacing w:after="0" w:line="5" w:lineRule="exact"/>
        <w:rPr>
          <w:sz w:val="20"/>
          <w:szCs w:val="20"/>
          <w:color w:val="auto"/>
        </w:rPr>
      </w:pPr>
    </w:p>
    <w:p>
      <w:pPr>
        <w:ind w:left="239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jc w:val="right"/>
        <w:ind w:right="1220"/>
        <w:spacing w:after="0"/>
        <w:tabs>
          <w:tab w:leader="none" w:pos="2440" w:val="left"/>
        </w:tabs>
        <w:rPr>
          <w:sz w:val="20"/>
          <w:szCs w:val="20"/>
          <w:color w:val="auto"/>
        </w:rPr>
      </w:pPr>
      <w:r>
        <w:rPr>
          <w:rFonts w:ascii="Courier New" w:cs="Courier New" w:eastAsia="Courier New" w:hAnsi="Courier New"/>
          <w:sz w:val="15"/>
          <w:szCs w:val="15"/>
          <w:color w:val="auto"/>
        </w:rPr>
        <w:t>MARCH 31, 1999</w:t>
      </w:r>
      <w:r>
        <w:rPr>
          <w:sz w:val="20"/>
          <w:szCs w:val="20"/>
          <w:color w:val="auto"/>
        </w:rPr>
        <w:tab/>
      </w:r>
      <w:r>
        <w:rPr>
          <w:rFonts w:ascii="Courier New" w:cs="Courier New" w:eastAsia="Courier New" w:hAnsi="Courier New"/>
          <w:sz w:val="14"/>
          <w:szCs w:val="14"/>
          <w:color w:val="auto"/>
        </w:rPr>
        <w:t>MARCH 31, 2000</w:t>
      </w:r>
    </w:p>
    <w:p>
      <w:pPr>
        <w:spacing w:after="0" w:line="5" w:lineRule="exact"/>
        <w:rPr>
          <w:sz w:val="20"/>
          <w:szCs w:val="20"/>
          <w:color w:val="auto"/>
        </w:rPr>
      </w:pPr>
    </w:p>
    <w:p>
      <w:pPr>
        <w:ind w:left="2390"/>
        <w:spacing w:after="0"/>
        <w:tabs>
          <w:tab w:leader="none" w:pos="650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5" w:lineRule="exact"/>
        <w:rPr>
          <w:sz w:val="20"/>
          <w:szCs w:val="20"/>
          <w:color w:val="auto"/>
        </w:rPr>
      </w:pPr>
    </w:p>
    <w:p>
      <w:pPr>
        <w:jc w:val="both"/>
        <w:ind w:left="2550"/>
        <w:spacing w:after="0"/>
        <w:tabs>
          <w:tab w:leader="none" w:pos="4029" w:val="left"/>
          <w:tab w:leader="none" w:pos="5349" w:val="left"/>
          <w:tab w:leader="none" w:pos="6769" w:val="left"/>
          <w:tab w:leader="none" w:pos="8449" w:val="left"/>
          <w:tab w:leader="none" w:pos="9769"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4"/>
          <w:szCs w:val="14"/>
          <w:color w:val="auto"/>
        </w:rPr>
        <w:t>PER-SHARE</w:t>
      </w:r>
    </w:p>
    <w:p>
      <w:pPr>
        <w:jc w:val="both"/>
        <w:ind w:left="2390"/>
        <w:spacing w:after="0"/>
        <w:tabs>
          <w:tab w:leader="none" w:pos="3769" w:val="left"/>
          <w:tab w:leader="none" w:pos="5449" w:val="left"/>
          <w:tab w:leader="none" w:pos="6509" w:val="left"/>
          <w:tab w:leader="none" w:pos="8169" w:val="left"/>
          <w:tab w:leader="none" w:pos="9849"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ind w:left="2390"/>
        <w:spacing w:after="0"/>
        <w:tabs>
          <w:tab w:leader="none" w:pos="3769" w:val="left"/>
          <w:tab w:leader="none" w:pos="5349" w:val="left"/>
          <w:tab w:leader="none" w:pos="6509" w:val="left"/>
          <w:tab w:leader="none" w:pos="8169" w:val="left"/>
          <w:tab w:leader="none" w:pos="976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8" w:lineRule="exact"/>
        <w:rPr>
          <w:sz w:val="20"/>
          <w:szCs w:val="20"/>
          <w:color w:val="auto"/>
        </w:rPr>
      </w:pPr>
    </w:p>
    <w:p>
      <w:pPr>
        <w:ind w:left="10"/>
        <w:spacing w:after="0"/>
        <w:tabs>
          <w:tab w:leader="none" w:pos="2529" w:val="left"/>
          <w:tab w:leader="none" w:pos="4129" w:val="left"/>
          <w:tab w:leader="none" w:pos="5629" w:val="left"/>
          <w:tab w:leader="none" w:pos="6669" w:val="left"/>
          <w:tab w:leader="none" w:pos="8529" w:val="left"/>
          <w:tab w:leader="none" w:pos="9949" w:val="left"/>
        </w:tabs>
        <w:rPr>
          <w:sz w:val="20"/>
          <w:szCs w:val="20"/>
          <w:color w:val="auto"/>
        </w:rPr>
      </w:pPr>
      <w:r>
        <w:rPr>
          <w:rFonts w:ascii="Courier New" w:cs="Courier New" w:eastAsia="Courier New" w:hAnsi="Courier New"/>
          <w:sz w:val="15"/>
          <w:szCs w:val="15"/>
          <w:color w:val="auto"/>
        </w:rPr>
        <w:t>Basic EPS .................</w:t>
        <w:tab/>
        <w:t>$(308)</w:t>
      </w:r>
      <w:r>
        <w:rPr>
          <w:sz w:val="20"/>
          <w:szCs w:val="20"/>
          <w:color w:val="auto"/>
        </w:rPr>
        <w:tab/>
      </w:r>
      <w:r>
        <w:rPr>
          <w:rFonts w:ascii="Courier New" w:cs="Courier New" w:eastAsia="Courier New" w:hAnsi="Courier New"/>
          <w:sz w:val="15"/>
          <w:szCs w:val="15"/>
          <w:color w:val="auto"/>
        </w:rPr>
        <w:t>51,218</w:t>
      </w:r>
      <w:r>
        <w:rPr>
          <w:sz w:val="20"/>
          <w:szCs w:val="20"/>
          <w:color w:val="auto"/>
        </w:rPr>
        <w:tab/>
      </w:r>
      <w:r>
        <w:rPr>
          <w:rFonts w:ascii="Courier New" w:cs="Courier New" w:eastAsia="Courier New" w:hAnsi="Courier New"/>
          <w:sz w:val="15"/>
          <w:szCs w:val="15"/>
          <w:color w:val="auto"/>
        </w:rPr>
        <w:t>$(0.01)</w:t>
      </w:r>
      <w:r>
        <w:rPr>
          <w:sz w:val="20"/>
          <w:szCs w:val="20"/>
          <w:color w:val="auto"/>
        </w:rPr>
        <w:tab/>
      </w:r>
      <w:r>
        <w:rPr>
          <w:rFonts w:ascii="Courier New" w:cs="Courier New" w:eastAsia="Courier New" w:hAnsi="Courier New"/>
          <w:sz w:val="15"/>
          <w:szCs w:val="15"/>
          <w:color w:val="auto"/>
        </w:rPr>
        <w:t>$(3,873)</w:t>
      </w:r>
      <w:r>
        <w:rPr>
          <w:sz w:val="20"/>
          <w:szCs w:val="20"/>
          <w:color w:val="auto"/>
        </w:rPr>
        <w:tab/>
      </w:r>
      <w:r>
        <w:rPr>
          <w:rFonts w:ascii="Courier New" w:cs="Courier New" w:eastAsia="Courier New" w:hAnsi="Courier New"/>
          <w:sz w:val="15"/>
          <w:szCs w:val="15"/>
          <w:color w:val="auto"/>
        </w:rPr>
        <w:t>52,716</w:t>
      </w:r>
      <w:r>
        <w:rPr>
          <w:sz w:val="20"/>
          <w:szCs w:val="20"/>
          <w:color w:val="auto"/>
        </w:rPr>
        <w:tab/>
      </w:r>
      <w:r>
        <w:rPr>
          <w:rFonts w:ascii="Courier New" w:cs="Courier New" w:eastAsia="Courier New" w:hAnsi="Courier New"/>
          <w:sz w:val="14"/>
          <w:szCs w:val="14"/>
          <w:color w:val="auto"/>
        </w:rPr>
        <w:t>$(0.07)</w:t>
      </w:r>
    </w:p>
    <w:p>
      <w:pPr>
        <w:jc w:val="both"/>
        <w:ind w:left="5650"/>
        <w:spacing w:after="0"/>
        <w:tabs>
          <w:tab w:leader="none" w:pos="99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10"/>
        <w:spacing w:after="0"/>
        <w:rPr>
          <w:sz w:val="20"/>
          <w:szCs w:val="20"/>
          <w:color w:val="auto"/>
        </w:rPr>
      </w:pPr>
      <w:r>
        <w:rPr>
          <w:rFonts w:ascii="Courier New" w:cs="Courier New" w:eastAsia="Courier New" w:hAnsi="Courier New"/>
          <w:sz w:val="15"/>
          <w:szCs w:val="15"/>
          <w:color w:val="auto"/>
        </w:rPr>
        <w:t>Effect of dilutive</w:t>
      </w:r>
    </w:p>
    <w:p>
      <w:pPr>
        <w:ind w:left="10"/>
        <w:spacing w:after="0" w:line="238" w:lineRule="auto"/>
        <w:rPr>
          <w:sz w:val="20"/>
          <w:szCs w:val="20"/>
          <w:color w:val="auto"/>
        </w:rPr>
      </w:pPr>
      <w:r>
        <w:rPr>
          <w:rFonts w:ascii="Courier New" w:cs="Courier New" w:eastAsia="Courier New" w:hAnsi="Courier New"/>
          <w:sz w:val="15"/>
          <w:szCs w:val="15"/>
          <w:color w:val="auto"/>
        </w:rPr>
        <w:t>securities:</w:t>
      </w:r>
    </w:p>
    <w:p>
      <w:pPr>
        <w:ind w:left="170"/>
        <w:spacing w:after="0"/>
        <w:tabs>
          <w:tab w:leader="none" w:pos="2809" w:val="left"/>
          <w:tab w:leader="none" w:pos="4469" w:val="left"/>
          <w:tab w:leader="none" w:pos="7129" w:val="left"/>
          <w:tab w:leader="none" w:pos="8889" w:val="left"/>
        </w:tabs>
        <w:rPr>
          <w:sz w:val="20"/>
          <w:szCs w:val="20"/>
          <w:color w:val="auto"/>
        </w:rPr>
      </w:pPr>
      <w:r>
        <w:rPr>
          <w:rFonts w:ascii="Courier New" w:cs="Courier New" w:eastAsia="Courier New" w:hAnsi="Courier New"/>
          <w:sz w:val="15"/>
          <w:szCs w:val="15"/>
          <w:color w:val="auto"/>
        </w:rPr>
        <w:t>Options and warrants.....</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3"/>
          <w:szCs w:val="13"/>
          <w:color w:val="auto"/>
        </w:rPr>
        <w:t>--</w:t>
      </w:r>
    </w:p>
    <w:p>
      <w:pPr>
        <w:ind w:left="2550"/>
        <w:spacing w:after="0"/>
        <w:tabs>
          <w:tab w:leader="none" w:pos="4129" w:val="left"/>
          <w:tab w:leader="none" w:pos="6669" w:val="left"/>
          <w:tab w:leader="none" w:pos="85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ind w:left="10"/>
        <w:spacing w:after="0"/>
        <w:tabs>
          <w:tab w:leader="none" w:pos="2529" w:val="left"/>
          <w:tab w:leader="none" w:pos="4129" w:val="left"/>
          <w:tab w:leader="none" w:pos="5629" w:val="left"/>
          <w:tab w:leader="none" w:pos="6669" w:val="left"/>
          <w:tab w:leader="none" w:pos="8529" w:val="left"/>
          <w:tab w:leader="none" w:pos="9949" w:val="left"/>
        </w:tabs>
        <w:rPr>
          <w:sz w:val="20"/>
          <w:szCs w:val="20"/>
          <w:color w:val="auto"/>
        </w:rPr>
      </w:pPr>
      <w:r>
        <w:rPr>
          <w:rFonts w:ascii="Courier New" w:cs="Courier New" w:eastAsia="Courier New" w:hAnsi="Courier New"/>
          <w:sz w:val="15"/>
          <w:szCs w:val="15"/>
          <w:color w:val="auto"/>
        </w:rPr>
        <w:t>Diluted EPS ...............</w:t>
        <w:tab/>
        <w:t>$(308)</w:t>
      </w:r>
      <w:r>
        <w:rPr>
          <w:sz w:val="20"/>
          <w:szCs w:val="20"/>
          <w:color w:val="auto"/>
        </w:rPr>
        <w:tab/>
      </w:r>
      <w:r>
        <w:rPr>
          <w:rFonts w:ascii="Courier New" w:cs="Courier New" w:eastAsia="Courier New" w:hAnsi="Courier New"/>
          <w:sz w:val="15"/>
          <w:szCs w:val="15"/>
          <w:color w:val="auto"/>
        </w:rPr>
        <w:t>51,218</w:t>
      </w:r>
      <w:r>
        <w:rPr>
          <w:sz w:val="20"/>
          <w:szCs w:val="20"/>
          <w:color w:val="auto"/>
        </w:rPr>
        <w:tab/>
      </w:r>
      <w:r>
        <w:rPr>
          <w:rFonts w:ascii="Courier New" w:cs="Courier New" w:eastAsia="Courier New" w:hAnsi="Courier New"/>
          <w:sz w:val="15"/>
          <w:szCs w:val="15"/>
          <w:color w:val="auto"/>
        </w:rPr>
        <w:t>$(0.01)</w:t>
      </w:r>
      <w:r>
        <w:rPr>
          <w:sz w:val="20"/>
          <w:szCs w:val="20"/>
          <w:color w:val="auto"/>
        </w:rPr>
        <w:tab/>
      </w:r>
      <w:r>
        <w:rPr>
          <w:rFonts w:ascii="Courier New" w:cs="Courier New" w:eastAsia="Courier New" w:hAnsi="Courier New"/>
          <w:sz w:val="15"/>
          <w:szCs w:val="15"/>
          <w:color w:val="auto"/>
        </w:rPr>
        <w:t>$(3,873)</w:t>
      </w:r>
      <w:r>
        <w:rPr>
          <w:sz w:val="20"/>
          <w:szCs w:val="20"/>
          <w:color w:val="auto"/>
        </w:rPr>
        <w:tab/>
      </w:r>
      <w:r>
        <w:rPr>
          <w:rFonts w:ascii="Courier New" w:cs="Courier New" w:eastAsia="Courier New" w:hAnsi="Courier New"/>
          <w:sz w:val="15"/>
          <w:szCs w:val="15"/>
          <w:color w:val="auto"/>
        </w:rPr>
        <w:t>52,716</w:t>
      </w:r>
      <w:r>
        <w:rPr>
          <w:sz w:val="20"/>
          <w:szCs w:val="20"/>
          <w:color w:val="auto"/>
        </w:rPr>
        <w:tab/>
      </w:r>
      <w:r>
        <w:rPr>
          <w:rFonts w:ascii="Courier New" w:cs="Courier New" w:eastAsia="Courier New" w:hAnsi="Courier New"/>
          <w:sz w:val="14"/>
          <w:szCs w:val="14"/>
          <w:color w:val="auto"/>
        </w:rPr>
        <w:t>$(0.07)</w:t>
      </w:r>
    </w:p>
    <w:p>
      <w:pPr>
        <w:jc w:val="both"/>
        <w:ind w:left="2550"/>
        <w:spacing w:after="0"/>
        <w:tabs>
          <w:tab w:leader="none" w:pos="4129" w:val="left"/>
          <w:tab w:leader="none" w:pos="5629" w:val="left"/>
          <w:tab w:leader="none" w:pos="6669" w:val="left"/>
          <w:tab w:leader="none" w:pos="8529" w:val="left"/>
          <w:tab w:leader="none" w:pos="99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44" w:lineRule="exact"/>
        <w:rPr>
          <w:sz w:val="20"/>
          <w:szCs w:val="20"/>
          <w:color w:val="auto"/>
        </w:rPr>
      </w:pPr>
    </w:p>
    <w:p>
      <w:pPr>
        <w:ind w:left="10" w:right="3520" w:firstLine="793"/>
        <w:spacing w:after="0" w:line="257" w:lineRule="auto"/>
        <w:rPr>
          <w:sz w:val="20"/>
          <w:szCs w:val="20"/>
          <w:color w:val="auto"/>
        </w:rPr>
      </w:pPr>
      <w:r>
        <w:rPr>
          <w:rFonts w:ascii="Courier New" w:cs="Courier New" w:eastAsia="Courier New" w:hAnsi="Courier New"/>
          <w:sz w:val="14"/>
          <w:szCs w:val="14"/>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During the quarter ended December 31, 1999, the Company issued convertible subordinated notes. Statement of Financial Accounting Standards ("SFAS") No. 128, "Earnings per Share", requires that interest charges applicable to the convertible debt be added back to income in computing diluted earnings per share, except in loss periods when such an adjustment would be anti-dilutive. The number of anti-dilutive interest charges and equivalent shares excluded from the per share calculations were as follows (in thousands):</w:t>
      </w:r>
    </w:p>
    <w:p>
      <w:pPr>
        <w:sectPr>
          <w:pgSz w:w="11900" w:h="16838" w:orient="portrait"/>
          <w:cols w:equalWidth="0" w:num="1">
            <w:col w:w="10570"/>
          </w:cols>
          <w:pgMar w:left="230" w:top="283" w:right="1099"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570"/>
          </w:cols>
          <w:pgMar w:left="230" w:top="283" w:right="1099" w:bottom="904" w:gutter="0" w:footer="0" w:header="0"/>
          <w:type w:val="continuous"/>
        </w:sectPr>
      </w:pPr>
    </w:p>
    <w:bookmarkStart w:id="6" w:name="page7"/>
    <w:bookmarkEnd w:id="6"/>
    <w:p>
      <w:pPr>
        <w:ind w:left="270"/>
        <w:spacing w:after="0"/>
        <w:rPr>
          <w:sz w:val="20"/>
          <w:szCs w:val="20"/>
          <w:color w:val="auto"/>
        </w:rPr>
      </w:pPr>
      <w:r>
        <w:rPr>
          <w:rFonts w:ascii="Courier New" w:cs="Courier New" w:eastAsia="Courier New" w:hAnsi="Courier New"/>
          <w:sz w:val="15"/>
          <w:szCs w:val="15"/>
          <w:color w:val="auto"/>
        </w:rPr>
        <w:t>7</w:t>
      </w:r>
    </w:p>
    <w:p>
      <w:pPr>
        <w:spacing w:after="0" w:line="33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2340" w:type="dxa"/>
            <w:vAlign w:val="bottom"/>
          </w:tcPr>
          <w:p>
            <w:pPr>
              <w:spacing w:after="0"/>
              <w:rPr>
                <w:sz w:val="14"/>
                <w:szCs w:val="14"/>
                <w:color w:val="auto"/>
              </w:rPr>
            </w:pPr>
          </w:p>
        </w:tc>
        <w:tc>
          <w:tcPr>
            <w:tcW w:w="3660" w:type="dxa"/>
            <w:vAlign w:val="bottom"/>
            <w:gridSpan w:val="2"/>
          </w:tcPr>
          <w:p>
            <w:pPr>
              <w:ind w:left="1200"/>
              <w:spacing w:after="0"/>
              <w:rPr>
                <w:sz w:val="20"/>
                <w:szCs w:val="20"/>
                <w:color w:val="auto"/>
              </w:rPr>
            </w:pPr>
            <w:r>
              <w:rPr>
                <w:rFonts w:ascii="Courier New" w:cs="Courier New" w:eastAsia="Courier New" w:hAnsi="Courier New"/>
                <w:sz w:val="15"/>
                <w:szCs w:val="15"/>
                <w:color w:val="auto"/>
              </w:rPr>
              <w:t>MARCH 31, 1999</w:t>
            </w:r>
          </w:p>
        </w:tc>
        <w:tc>
          <w:tcPr>
            <w:tcW w:w="3080" w:type="dxa"/>
            <w:vAlign w:val="bottom"/>
            <w:gridSpan w:val="2"/>
          </w:tcPr>
          <w:p>
            <w:pPr>
              <w:ind w:left="980"/>
              <w:spacing w:after="0"/>
              <w:rPr>
                <w:sz w:val="20"/>
                <w:szCs w:val="20"/>
                <w:color w:val="auto"/>
              </w:rPr>
            </w:pPr>
            <w:r>
              <w:rPr>
                <w:rFonts w:ascii="Courier New" w:cs="Courier New" w:eastAsia="Courier New" w:hAnsi="Courier New"/>
                <w:sz w:val="15"/>
                <w:szCs w:val="15"/>
                <w:color w:val="auto"/>
              </w:rPr>
              <w:t>MARCH 31, 2000</w:t>
            </w:r>
          </w:p>
        </w:tc>
      </w:tr>
      <w:tr>
        <w:trPr>
          <w:trHeight w:val="170"/>
        </w:trPr>
        <w:tc>
          <w:tcPr>
            <w:tcW w:w="2340" w:type="dxa"/>
            <w:vAlign w:val="bottom"/>
          </w:tcPr>
          <w:p>
            <w:pPr>
              <w:spacing w:after="0"/>
              <w:rPr>
                <w:sz w:val="14"/>
                <w:szCs w:val="14"/>
                <w:color w:val="auto"/>
              </w:rPr>
            </w:pPr>
          </w:p>
        </w:tc>
        <w:tc>
          <w:tcPr>
            <w:tcW w:w="36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30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2340" w:type="dxa"/>
            <w:vAlign w:val="bottom"/>
          </w:tcPr>
          <w:p>
            <w:pPr>
              <w:spacing w:after="0"/>
              <w:rPr>
                <w:sz w:val="14"/>
                <w:szCs w:val="14"/>
                <w:color w:val="auto"/>
              </w:rPr>
            </w:pPr>
          </w:p>
        </w:tc>
        <w:tc>
          <w:tcPr>
            <w:tcW w:w="1980" w:type="dxa"/>
            <w:vAlign w:val="bottom"/>
          </w:tcPr>
          <w:p>
            <w:pPr>
              <w:ind w:left="580"/>
              <w:spacing w:after="0"/>
              <w:rPr>
                <w:sz w:val="20"/>
                <w:szCs w:val="20"/>
                <w:color w:val="auto"/>
              </w:rPr>
            </w:pPr>
            <w:r>
              <w:rPr>
                <w:rFonts w:ascii="Courier New" w:cs="Courier New" w:eastAsia="Courier New" w:hAnsi="Courier New"/>
                <w:sz w:val="15"/>
                <w:szCs w:val="15"/>
                <w:color w:val="auto"/>
              </w:rPr>
              <w:t>INCOME</w:t>
            </w:r>
          </w:p>
        </w:tc>
        <w:tc>
          <w:tcPr>
            <w:tcW w:w="1680" w:type="dxa"/>
            <w:vAlign w:val="bottom"/>
          </w:tcPr>
          <w:p>
            <w:pPr>
              <w:ind w:left="360"/>
              <w:spacing w:after="0"/>
              <w:rPr>
                <w:sz w:val="20"/>
                <w:szCs w:val="20"/>
                <w:color w:val="auto"/>
              </w:rPr>
            </w:pPr>
            <w:r>
              <w:rPr>
                <w:rFonts w:ascii="Courier New" w:cs="Courier New" w:eastAsia="Courier New" w:hAnsi="Courier New"/>
                <w:sz w:val="15"/>
                <w:szCs w:val="15"/>
                <w:color w:val="auto"/>
              </w:rPr>
              <w:t>SHARES</w:t>
            </w:r>
          </w:p>
        </w:tc>
        <w:tc>
          <w:tcPr>
            <w:tcW w:w="16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INCOME</w:t>
            </w:r>
          </w:p>
        </w:tc>
        <w:tc>
          <w:tcPr>
            <w:tcW w:w="1440" w:type="dxa"/>
            <w:vAlign w:val="bottom"/>
          </w:tcPr>
          <w:p>
            <w:pPr>
              <w:ind w:left="560"/>
              <w:spacing w:after="0"/>
              <w:rPr>
                <w:sz w:val="20"/>
                <w:szCs w:val="20"/>
                <w:color w:val="auto"/>
              </w:rPr>
            </w:pPr>
            <w:r>
              <w:rPr>
                <w:rFonts w:ascii="Courier New" w:cs="Courier New" w:eastAsia="Courier New" w:hAnsi="Courier New"/>
                <w:sz w:val="15"/>
                <w:szCs w:val="15"/>
                <w:color w:val="auto"/>
              </w:rPr>
              <w:t>SHARES</w:t>
            </w:r>
          </w:p>
        </w:tc>
      </w:tr>
      <w:tr>
        <w:trPr>
          <w:trHeight w:val="170"/>
        </w:trPr>
        <w:tc>
          <w:tcPr>
            <w:tcW w:w="2340" w:type="dxa"/>
            <w:vAlign w:val="bottom"/>
          </w:tcPr>
          <w:p>
            <w:pPr>
              <w:spacing w:after="0"/>
              <w:rPr>
                <w:sz w:val="14"/>
                <w:szCs w:val="14"/>
                <w:color w:val="auto"/>
              </w:rPr>
            </w:pPr>
          </w:p>
        </w:tc>
        <w:tc>
          <w:tcPr>
            <w:tcW w:w="198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(NUMERATOR)</w:t>
            </w:r>
          </w:p>
        </w:tc>
        <w:tc>
          <w:tcPr>
            <w:tcW w:w="1680" w:type="dxa"/>
            <w:vAlign w:val="bottom"/>
          </w:tcPr>
          <w:p>
            <w:pPr>
              <w:ind w:left="100"/>
              <w:spacing w:after="0"/>
              <w:rPr>
                <w:sz w:val="20"/>
                <w:szCs w:val="20"/>
                <w:color w:val="auto"/>
              </w:rPr>
            </w:pPr>
            <w:r>
              <w:rPr>
                <w:rFonts w:ascii="Courier New" w:cs="Courier New" w:eastAsia="Courier New" w:hAnsi="Courier New"/>
                <w:sz w:val="15"/>
                <w:szCs w:val="15"/>
                <w:color w:val="auto"/>
              </w:rPr>
              <w:t>(DENOMINATOR)</w:t>
            </w:r>
          </w:p>
        </w:tc>
        <w:tc>
          <w:tcPr>
            <w:tcW w:w="164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(NUMERATOR)</w:t>
            </w:r>
          </w:p>
        </w:tc>
        <w:tc>
          <w:tcPr>
            <w:tcW w:w="1440" w:type="dxa"/>
            <w:vAlign w:val="bottom"/>
          </w:tcPr>
          <w:p>
            <w:pPr>
              <w:ind w:left="300"/>
              <w:spacing w:after="0"/>
              <w:rPr>
                <w:sz w:val="20"/>
                <w:szCs w:val="20"/>
                <w:color w:val="auto"/>
              </w:rPr>
            </w:pPr>
            <w:r>
              <w:rPr>
                <w:rFonts w:ascii="Courier New" w:cs="Courier New" w:eastAsia="Courier New" w:hAnsi="Courier New"/>
                <w:sz w:val="15"/>
                <w:szCs w:val="15"/>
                <w:color w:val="auto"/>
                <w:w w:val="95"/>
              </w:rPr>
              <w:t>(DENOMINATOR)</w:t>
            </w:r>
          </w:p>
        </w:tc>
      </w:tr>
      <w:tr>
        <w:trPr>
          <w:trHeight w:val="170"/>
        </w:trPr>
        <w:tc>
          <w:tcPr>
            <w:tcW w:w="2340" w:type="dxa"/>
            <w:vAlign w:val="bottom"/>
          </w:tcPr>
          <w:p>
            <w:pPr>
              <w:spacing w:after="0"/>
              <w:rPr>
                <w:sz w:val="14"/>
                <w:szCs w:val="14"/>
                <w:color w:val="auto"/>
              </w:rPr>
            </w:pPr>
          </w:p>
        </w:tc>
        <w:tc>
          <w:tcPr>
            <w:tcW w:w="19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w:t>
            </w:r>
          </w:p>
        </w:tc>
        <w:tc>
          <w:tcPr>
            <w:tcW w:w="16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w:t>
            </w:r>
          </w:p>
        </w:tc>
      </w:tr>
      <w:tr>
        <w:trPr>
          <w:trHeight w:val="339"/>
        </w:trPr>
        <w:tc>
          <w:tcPr>
            <w:tcW w:w="2340" w:type="dxa"/>
            <w:vAlign w:val="bottom"/>
          </w:tcPr>
          <w:p>
            <w:pPr>
              <w:spacing w:after="0"/>
              <w:rPr>
                <w:sz w:val="20"/>
                <w:szCs w:val="20"/>
                <w:color w:val="auto"/>
              </w:rPr>
            </w:pPr>
            <w:r>
              <w:rPr>
                <w:rFonts w:ascii="Courier New" w:cs="Courier New" w:eastAsia="Courier New" w:hAnsi="Courier New"/>
                <w:sz w:val="15"/>
                <w:szCs w:val="15"/>
                <w:color w:val="auto"/>
              </w:rPr>
              <w:t>Nine Month Period Ended</w:t>
            </w:r>
          </w:p>
        </w:tc>
        <w:tc>
          <w:tcPr>
            <w:tcW w:w="19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4,652</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$1,499</w:t>
            </w:r>
          </w:p>
        </w:tc>
        <w:tc>
          <w:tcPr>
            <w:tcW w:w="14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6,251</w:t>
            </w:r>
          </w:p>
        </w:tc>
      </w:tr>
      <w:tr>
        <w:trPr>
          <w:trHeight w:val="170"/>
        </w:trPr>
        <w:tc>
          <w:tcPr>
            <w:tcW w:w="2340" w:type="dxa"/>
            <w:vAlign w:val="bottom"/>
          </w:tcPr>
          <w:p>
            <w:pPr>
              <w:spacing w:after="0"/>
              <w:rPr>
                <w:sz w:val="14"/>
                <w:szCs w:val="14"/>
                <w:color w:val="auto"/>
              </w:rPr>
            </w:pPr>
          </w:p>
        </w:tc>
        <w:tc>
          <w:tcPr>
            <w:tcW w:w="19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w:t>
            </w:r>
          </w:p>
        </w:tc>
      </w:tr>
      <w:tr>
        <w:trPr>
          <w:trHeight w:val="170"/>
        </w:trPr>
        <w:tc>
          <w:tcPr>
            <w:tcW w:w="2340" w:type="dxa"/>
            <w:vAlign w:val="bottom"/>
          </w:tcPr>
          <w:p>
            <w:pPr>
              <w:spacing w:after="0"/>
              <w:rPr>
                <w:sz w:val="20"/>
                <w:szCs w:val="20"/>
                <w:color w:val="auto"/>
              </w:rPr>
            </w:pPr>
            <w:r>
              <w:rPr>
                <w:rFonts w:ascii="Courier New" w:cs="Courier New" w:eastAsia="Courier New" w:hAnsi="Courier New"/>
                <w:sz w:val="15"/>
                <w:szCs w:val="15"/>
                <w:color w:val="auto"/>
              </w:rPr>
              <w:t>Three Month Period Ended</w:t>
            </w:r>
          </w:p>
        </w:tc>
        <w:tc>
          <w:tcPr>
            <w:tcW w:w="19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3,421</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$1,100</w:t>
            </w:r>
          </w:p>
        </w:tc>
        <w:tc>
          <w:tcPr>
            <w:tcW w:w="14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8,034</w:t>
            </w:r>
          </w:p>
        </w:tc>
      </w:tr>
      <w:tr>
        <w:trPr>
          <w:trHeight w:val="170"/>
        </w:trPr>
        <w:tc>
          <w:tcPr>
            <w:tcW w:w="2340" w:type="dxa"/>
            <w:vAlign w:val="bottom"/>
          </w:tcPr>
          <w:p>
            <w:pPr>
              <w:spacing w:after="0"/>
              <w:rPr>
                <w:sz w:val="14"/>
                <w:szCs w:val="14"/>
                <w:color w:val="auto"/>
              </w:rPr>
            </w:pPr>
          </w:p>
        </w:tc>
        <w:tc>
          <w:tcPr>
            <w:tcW w:w="198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6"/>
              </w:rPr>
              <w:t>===</w:t>
            </w:r>
          </w:p>
        </w:tc>
        <w:tc>
          <w:tcPr>
            <w:tcW w:w="168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w:t>
            </w:r>
          </w:p>
        </w:tc>
        <w:tc>
          <w:tcPr>
            <w:tcW w:w="1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7"/>
              </w:rPr>
              <w:t>=====</w:t>
            </w:r>
          </w:p>
        </w:tc>
      </w:tr>
    </w:tbl>
    <w:p>
      <w:pPr>
        <w:spacing w:after="0" w:line="339" w:lineRule="exact"/>
        <w:rPr>
          <w:sz w:val="20"/>
          <w:szCs w:val="20"/>
          <w:color w:val="auto"/>
        </w:rPr>
      </w:pPr>
    </w:p>
    <w:p>
      <w:pPr>
        <w:ind w:left="790" w:hanging="790"/>
        <w:spacing w:after="0"/>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DIVESTITURES.</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On December 20, 1999, the Company entered into a definitive agreement to purchase BlueGill Technologies, Inc. in exchange for 5.0 million shares of the Company's common stock. The acquisition, which closed on April 28, 2000, will be accounted for under the purchase method of accounting. The final allocation of the purchase price, which is not yet completed, is expected to include a charge for in-process research and development, currently estimated at approximately $11.9 million. BlueGill provides software that facilitates Web based electronic billing and bill payment.</w:t>
      </w:r>
    </w:p>
    <w:p>
      <w:pPr>
        <w:spacing w:after="0" w:line="178" w:lineRule="exact"/>
        <w:rPr>
          <w:sz w:val="20"/>
          <w:szCs w:val="20"/>
          <w:color w:val="auto"/>
        </w:rPr>
      </w:pPr>
    </w:p>
    <w:p>
      <w:pPr>
        <w:ind w:left="10" w:right="3259" w:firstLine="793"/>
        <w:spacing w:after="0" w:line="257" w:lineRule="auto"/>
        <w:rPr>
          <w:sz w:val="20"/>
          <w:szCs w:val="20"/>
          <w:color w:val="auto"/>
        </w:rPr>
      </w:pPr>
      <w:r>
        <w:rPr>
          <w:rFonts w:ascii="Courier New" w:cs="Courier New" w:eastAsia="Courier New" w:hAnsi="Courier New"/>
          <w:sz w:val="14"/>
          <w:szCs w:val="14"/>
          <w:color w:val="auto"/>
        </w:rPr>
        <w:t>On February 15, 2000, the Company entered into a definitive agreement to purchase MSFDC L.L.C (TransPoint) in exchange for 17 million shares of the Company's common stock. TransPoint is a joint venture between Microsoft, First Data Corporation and Citibank. The acquisition, which is expected to close within four to six months, will be accounted for under the purchase method of accounting and is expected to include a charge for in process research and development. As part of the agreement, the selling parties will fund the joint venture with $100 million of cash immediately prior to closing. Additionally, a related commercial agreement with Microsoft provides for a revenue guarantee of $120 million over the next five years and a related marketing agreement with First Data Corporation provides for a revenue and/or expense savings guarantee of $60 million over the next five years. TransPoint provides electronic billing and payment processing services.</w:t>
      </w:r>
    </w:p>
    <w:p>
      <w:pPr>
        <w:spacing w:after="0" w:line="16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In March 1999, the Company acquired Mobius Group and accounted for the acquisition under the purchase method of accounting. In accounting for the acquisition, management identified estimated useful lives for the intangible assets acquired. In conjunction with a periodic review of the reasonableness of assigned useful lives, management has decided to reduce the remaining lives on several of the intangible assets, and for accounting purposes has treated this as a change in accounting estimate. This change in estimate, which was effective January 1, 2000, had an immaterial impact on earnings for the quarter.</w:t>
      </w:r>
    </w:p>
    <w:p>
      <w:pPr>
        <w:spacing w:after="0" w:line="161" w:lineRule="exact"/>
        <w:rPr>
          <w:sz w:val="20"/>
          <w:szCs w:val="20"/>
          <w:color w:val="auto"/>
        </w:rPr>
      </w:pPr>
    </w:p>
    <w:p>
      <w:pPr>
        <w:ind w:left="790" w:hanging="790"/>
        <w:spacing w:after="0"/>
        <w:tabs>
          <w:tab w:leader="none" w:pos="79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AGREEMENTS.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On April 27, 2000, the Company announced a 10-year strategic agreement</w:t>
      </w:r>
    </w:p>
    <w:p>
      <w:pPr>
        <w:ind w:left="10"/>
        <w:spacing w:after="0"/>
        <w:rPr>
          <w:sz w:val="20"/>
          <w:szCs w:val="20"/>
          <w:color w:val="auto"/>
        </w:rPr>
      </w:pPr>
      <w:r>
        <w:rPr>
          <w:rFonts w:ascii="Courier New" w:cs="Courier New" w:eastAsia="Courier New" w:hAnsi="Courier New"/>
          <w:sz w:val="15"/>
          <w:szCs w:val="15"/>
          <w:color w:val="auto"/>
        </w:rPr>
        <w:t>with Bank of America ("BofA"), whereby the Company will acquire the electronic</w:t>
      </w:r>
    </w:p>
    <w:p>
      <w:pPr>
        <w:ind w:left="10"/>
        <w:spacing w:after="0"/>
        <w:rPr>
          <w:sz w:val="20"/>
          <w:szCs w:val="20"/>
          <w:color w:val="auto"/>
        </w:rPr>
      </w:pPr>
      <w:r>
        <w:rPr>
          <w:rFonts w:ascii="Courier New" w:cs="Courier New" w:eastAsia="Courier New" w:hAnsi="Courier New"/>
          <w:sz w:val="15"/>
          <w:szCs w:val="15"/>
          <w:color w:val="auto"/>
        </w:rPr>
        <w:t>billing and payment assets of BofA and will provide electronic billling and</w:t>
      </w:r>
    </w:p>
    <w:p>
      <w:pPr>
        <w:ind w:left="10"/>
        <w:spacing w:after="0" w:line="238" w:lineRule="auto"/>
        <w:rPr>
          <w:sz w:val="20"/>
          <w:szCs w:val="20"/>
          <w:color w:val="auto"/>
        </w:rPr>
      </w:pPr>
      <w:r>
        <w:rPr>
          <w:rFonts w:ascii="Courier New" w:cs="Courier New" w:eastAsia="Courier New" w:hAnsi="Courier New"/>
          <w:sz w:val="15"/>
          <w:szCs w:val="15"/>
          <w:color w:val="auto"/>
        </w:rPr>
        <w:t>payment services to BofA's customer base in exchange for 10 million shares of</w:t>
      </w:r>
    </w:p>
    <w:p>
      <w:pPr>
        <w:ind w:left="10"/>
        <w:spacing w:after="0"/>
        <w:rPr>
          <w:sz w:val="20"/>
          <w:szCs w:val="20"/>
          <w:color w:val="auto"/>
        </w:rPr>
      </w:pPr>
      <w:r>
        <w:rPr>
          <w:rFonts w:ascii="Courier New" w:cs="Courier New" w:eastAsia="Courier New" w:hAnsi="Courier New"/>
          <w:sz w:val="15"/>
          <w:szCs w:val="15"/>
          <w:color w:val="auto"/>
        </w:rPr>
        <w:t>the Company's common stock. The agreement provides for a revenue guarantee of</w:t>
      </w:r>
    </w:p>
    <w:p>
      <w:pPr>
        <w:ind w:left="10"/>
        <w:spacing w:after="0"/>
        <w:rPr>
          <w:sz w:val="20"/>
          <w:szCs w:val="20"/>
          <w:color w:val="auto"/>
        </w:rPr>
      </w:pPr>
      <w:r>
        <w:rPr>
          <w:rFonts w:ascii="Courier New" w:cs="Courier New" w:eastAsia="Courier New" w:hAnsi="Courier New"/>
          <w:sz w:val="15"/>
          <w:szCs w:val="15"/>
          <w:color w:val="auto"/>
        </w:rPr>
        <w:t>$500 million to the Company over the next 10 years. BofA has the ability to earn</w:t>
      </w:r>
    </w:p>
    <w:p>
      <w:pPr>
        <w:ind w:left="10"/>
        <w:spacing w:after="0" w:line="238" w:lineRule="auto"/>
        <w:rPr>
          <w:sz w:val="20"/>
          <w:szCs w:val="20"/>
          <w:color w:val="auto"/>
        </w:rPr>
      </w:pPr>
      <w:r>
        <w:rPr>
          <w:rFonts w:ascii="Courier New" w:cs="Courier New" w:eastAsia="Courier New" w:hAnsi="Courier New"/>
          <w:sz w:val="15"/>
          <w:szCs w:val="15"/>
          <w:color w:val="auto"/>
        </w:rPr>
        <w:t>warrants on up to 10 million additional shares, eight million of which vest</w:t>
      </w:r>
    </w:p>
    <w:p>
      <w:pPr>
        <w:ind w:left="10"/>
        <w:spacing w:after="0"/>
        <w:rPr>
          <w:sz w:val="20"/>
          <w:szCs w:val="20"/>
          <w:color w:val="auto"/>
        </w:rPr>
      </w:pPr>
      <w:r>
        <w:rPr>
          <w:rFonts w:ascii="Courier New" w:cs="Courier New" w:eastAsia="Courier New" w:hAnsi="Courier New"/>
          <w:sz w:val="15"/>
          <w:szCs w:val="15"/>
          <w:color w:val="auto"/>
        </w:rPr>
        <w:t>incrementally upon achievement of specific levels of subscriber adoption of</w:t>
      </w:r>
    </w:p>
    <w:p>
      <w:pPr>
        <w:ind w:left="10"/>
        <w:spacing w:after="0"/>
        <w:rPr>
          <w:sz w:val="20"/>
          <w:szCs w:val="20"/>
          <w:color w:val="auto"/>
        </w:rPr>
      </w:pPr>
      <w:r>
        <w:rPr>
          <w:rFonts w:ascii="Courier New" w:cs="Courier New" w:eastAsia="Courier New" w:hAnsi="Courier New"/>
          <w:sz w:val="15"/>
          <w:szCs w:val="15"/>
          <w:color w:val="auto"/>
        </w:rPr>
        <w:t>electronic billing and payment services and separately, the other two million</w:t>
      </w:r>
    </w:p>
    <w:p>
      <w:pPr>
        <w:ind w:left="10"/>
        <w:spacing w:after="0"/>
        <w:rPr>
          <w:sz w:val="20"/>
          <w:szCs w:val="20"/>
          <w:color w:val="auto"/>
        </w:rPr>
      </w:pPr>
      <w:r>
        <w:rPr>
          <w:rFonts w:ascii="Courier New" w:cs="Courier New" w:eastAsia="Courier New" w:hAnsi="Courier New"/>
          <w:sz w:val="15"/>
          <w:szCs w:val="15"/>
          <w:color w:val="auto"/>
        </w:rPr>
        <w:t>vest upon achievement of specific levels of electronic bills presented to those</w:t>
      </w:r>
    </w:p>
    <w:p>
      <w:pPr>
        <w:ind w:left="10"/>
        <w:spacing w:after="0" w:line="238" w:lineRule="auto"/>
        <w:rPr>
          <w:sz w:val="20"/>
          <w:szCs w:val="20"/>
          <w:color w:val="auto"/>
        </w:rPr>
      </w:pPr>
      <w:r>
        <w:rPr>
          <w:rFonts w:ascii="Courier New" w:cs="Courier New" w:eastAsia="Courier New" w:hAnsi="Courier New"/>
          <w:sz w:val="15"/>
          <w:szCs w:val="15"/>
          <w:color w:val="auto"/>
        </w:rPr>
        <w:t>subscribers. Upon vesting of the warrants, the Company will record a charge for</w:t>
      </w:r>
    </w:p>
    <w:p>
      <w:pPr>
        <w:ind w:left="10"/>
        <w:spacing w:after="0"/>
        <w:rPr>
          <w:sz w:val="20"/>
          <w:szCs w:val="20"/>
          <w:color w:val="auto"/>
        </w:rPr>
      </w:pPr>
      <w:r>
        <w:rPr>
          <w:rFonts w:ascii="Courier New" w:cs="Courier New" w:eastAsia="Courier New" w:hAnsi="Courier New"/>
          <w:sz w:val="15"/>
          <w:szCs w:val="15"/>
          <w:color w:val="auto"/>
        </w:rPr>
        <w:t>the fair value of the warrants, based on a Black-Scholes valuation which will</w:t>
      </w:r>
    </w:p>
    <w:p>
      <w:pPr>
        <w:ind w:left="10"/>
        <w:spacing w:after="0"/>
        <w:rPr>
          <w:sz w:val="20"/>
          <w:szCs w:val="20"/>
          <w:color w:val="auto"/>
        </w:rPr>
      </w:pPr>
      <w:r>
        <w:rPr>
          <w:rFonts w:ascii="Courier New" w:cs="Courier New" w:eastAsia="Courier New" w:hAnsi="Courier New"/>
          <w:sz w:val="15"/>
          <w:szCs w:val="15"/>
          <w:color w:val="auto"/>
        </w:rPr>
        <w:t>take into consideration the market value of our stock, the $32.50 strike price</w:t>
      </w:r>
    </w:p>
    <w:p>
      <w:pPr>
        <w:ind w:left="10"/>
        <w:spacing w:after="0" w:line="238" w:lineRule="auto"/>
        <w:rPr>
          <w:sz w:val="20"/>
          <w:szCs w:val="20"/>
          <w:color w:val="auto"/>
        </w:rPr>
      </w:pPr>
      <w:r>
        <w:rPr>
          <w:rFonts w:ascii="Courier New" w:cs="Courier New" w:eastAsia="Courier New" w:hAnsi="Courier New"/>
          <w:sz w:val="15"/>
          <w:szCs w:val="15"/>
          <w:color w:val="auto"/>
        </w:rPr>
        <w:t>of the warrants, the volatility of our stock and the applicable risk-free</w:t>
      </w:r>
    </w:p>
    <w:p>
      <w:pPr>
        <w:ind w:left="10"/>
        <w:spacing w:after="0"/>
        <w:rPr>
          <w:sz w:val="20"/>
          <w:szCs w:val="20"/>
          <w:color w:val="auto"/>
        </w:rPr>
      </w:pPr>
      <w:r>
        <w:rPr>
          <w:rFonts w:ascii="Courier New" w:cs="Courier New" w:eastAsia="Courier New" w:hAnsi="Courier New"/>
          <w:sz w:val="15"/>
          <w:szCs w:val="15"/>
          <w:color w:val="auto"/>
        </w:rPr>
        <w:t>interest rate at that time. Additionally, the agreement requires the Company to</w:t>
      </w:r>
    </w:p>
    <w:p>
      <w:pPr>
        <w:ind w:left="10"/>
        <w:spacing w:after="0"/>
        <w:rPr>
          <w:sz w:val="20"/>
          <w:szCs w:val="20"/>
          <w:color w:val="auto"/>
        </w:rPr>
      </w:pPr>
      <w:r>
        <w:rPr>
          <w:rFonts w:ascii="Courier New" w:cs="Courier New" w:eastAsia="Courier New" w:hAnsi="Courier New"/>
          <w:sz w:val="15"/>
          <w:szCs w:val="15"/>
          <w:color w:val="auto"/>
        </w:rPr>
        <w:t>invest $25 million into a joint marketing development fund designed to</w:t>
      </w:r>
    </w:p>
    <w:p>
      <w:pPr>
        <w:ind w:left="10"/>
        <w:spacing w:after="0"/>
        <w:rPr>
          <w:sz w:val="20"/>
          <w:szCs w:val="20"/>
          <w:color w:val="auto"/>
        </w:rPr>
      </w:pPr>
      <w:r>
        <w:rPr>
          <w:rFonts w:ascii="Courier New" w:cs="Courier New" w:eastAsia="Courier New" w:hAnsi="Courier New"/>
          <w:sz w:val="15"/>
          <w:szCs w:val="15"/>
          <w:color w:val="auto"/>
        </w:rPr>
        <w:t>accelerate adoption of electronic billing and payment services through BofA's</w:t>
      </w:r>
    </w:p>
    <w:p>
      <w:pPr>
        <w:ind w:left="10"/>
        <w:spacing w:after="0" w:line="238" w:lineRule="auto"/>
        <w:rPr>
          <w:sz w:val="20"/>
          <w:szCs w:val="20"/>
          <w:color w:val="auto"/>
        </w:rPr>
      </w:pPr>
      <w:r>
        <w:rPr>
          <w:rFonts w:ascii="Courier New" w:cs="Courier New" w:eastAsia="Courier New" w:hAnsi="Courier New"/>
          <w:sz w:val="15"/>
          <w:szCs w:val="15"/>
          <w:color w:val="auto"/>
        </w:rPr>
        <w:t>customer base.</w:t>
      </w:r>
    </w:p>
    <w:p>
      <w:pPr>
        <w:spacing w:after="0" w:line="169" w:lineRule="exact"/>
        <w:rPr>
          <w:sz w:val="20"/>
          <w:szCs w:val="20"/>
          <w:color w:val="auto"/>
        </w:rPr>
      </w:pPr>
    </w:p>
    <w:p>
      <w:pPr>
        <w:ind w:left="790" w:hanging="790"/>
        <w:spacing w:after="0"/>
        <w:tabs>
          <w:tab w:leader="none" w:pos="79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AND WARRANTS.</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The Company has issued stock for various employee benefit programs during the current fiscal year. In the quarter ended September 30, 1999, the Company issued 36,226 shares of common stock to fund its 401(k) match, the cost of which was accrued during the year ended June 30, 1999. In the quarter ended September 30, 1999, the Company issued 46,819 shares of common stock and, in the quarter ended March 31, 2000, the Company issued 52,191 shares of common stock in conjunction with the employee stock purchase plan, which was funded through employee payroll deductions accumulated in the immediately preceding six-month period. In the quarter ended September 30, 1999, the Company issued 13,000 shares of restricted stock to certain key employees. Shares issued were recorded at their fair market value on the date of the grant with a corresponding charge to stockholders' equity.</w:t>
      </w:r>
    </w:p>
    <w:p>
      <w:pPr>
        <w:sectPr>
          <w:pgSz w:w="11900" w:h="16838" w:orient="portrait"/>
          <w:cols w:equalWidth="0" w:num="1">
            <w:col w:w="10229"/>
          </w:cols>
          <w:pgMar w:left="230" w:top="283" w:right="1440" w:bottom="1440" w:gutter="0" w:footer="0" w:header="0"/>
        </w:sectPr>
      </w:pPr>
    </w:p>
    <w:p>
      <w:pPr>
        <w:spacing w:after="0" w:line="34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283" w:right="1440" w:bottom="1440" w:gutter="0" w:footer="0" w:header="0"/>
          <w:type w:val="continuous"/>
        </w:sectPr>
      </w:pPr>
    </w:p>
    <w:bookmarkStart w:id="7" w:name="page8"/>
    <w:bookmarkEnd w:id="7"/>
    <w:p>
      <w:pPr>
        <w:ind w:left="27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 w:right="3439"/>
        <w:spacing w:after="0" w:line="237" w:lineRule="auto"/>
        <w:rPr>
          <w:sz w:val="20"/>
          <w:szCs w:val="20"/>
          <w:color w:val="auto"/>
        </w:rPr>
      </w:pPr>
      <w:r>
        <w:rPr>
          <w:rFonts w:ascii="Courier New" w:cs="Courier New" w:eastAsia="Courier New" w:hAnsi="Courier New"/>
          <w:sz w:val="15"/>
          <w:szCs w:val="15"/>
          <w:color w:val="auto"/>
        </w:rPr>
        <w:t>The unearned portion is being amortized as compensation expense on a straight-line basis over the related vesting periods. Sale of these shares is restricted prior to the date of vesting.</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October 1999, the Company announced an agreement with one of its customers. Under the terms of the agreement, the customer has purchased 250,000 shares of the Company's stock, has been issued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vesting of the warrants, the Company will record a charge for the fair value of the warrants, based on a Black-Scholes valuation which will take into consideration the market value of our stock, the $39.25 strike price of the warrants, the volatility of our stock and the applicable risk-free interest rate at that time.</w:t>
      </w:r>
    </w:p>
    <w:p>
      <w:pPr>
        <w:spacing w:after="0" w:line="181" w:lineRule="exact"/>
        <w:rPr>
          <w:sz w:val="20"/>
          <w:szCs w:val="20"/>
          <w:color w:val="auto"/>
        </w:rPr>
      </w:pPr>
    </w:p>
    <w:p>
      <w:pPr>
        <w:ind w:left="10" w:right="3259" w:firstLine="793"/>
        <w:spacing w:after="0" w:line="238" w:lineRule="auto"/>
        <w:rPr>
          <w:sz w:val="20"/>
          <w:szCs w:val="20"/>
          <w:color w:val="auto"/>
        </w:rPr>
      </w:pPr>
      <w:r>
        <w:rPr>
          <w:rFonts w:ascii="Courier New" w:cs="Courier New" w:eastAsia="Courier New" w:hAnsi="Courier New"/>
          <w:sz w:val="15"/>
          <w:szCs w:val="15"/>
          <w:color w:val="auto"/>
        </w:rPr>
        <w:t>During the quarter ended December 31, 1999, the Company received notification of and payment for the exercise of warrants for 300,000 shares of the Company's common stock at an exercise price of $20.9375. Although cash was received for the exercise of all 300,000 shares, 150,000 shares were not issued until January 2000. As a result, $3.1 million of cash received was recorded as an accrued liability in the Company's December 31, 1999 Condensed Consolidated Balance Sheets and subsequently reclassified to equity upon issuance of the shares.</w:t>
      </w:r>
    </w:p>
    <w:p>
      <w:pPr>
        <w:spacing w:after="0" w:line="172" w:lineRule="exact"/>
        <w:rPr>
          <w:sz w:val="20"/>
          <w:szCs w:val="20"/>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On November 29, 1999, the Company issued $172.5 million of 6 1/2% convertible subordinated notes that are due on December 1, 2006. The Company will pay interest on the notes on June 1 and December 1, of each year, commencing June 1, 2000. The notes may be converted, at the holder's option, into 13.6612 shares of common stock per note and the Company may redeem the notes at any time on or after December 1, 2002. On January 14, 2000, the Company filed a shelf registration statement to register the underlying shares. The Company was unable to cause the shelf registration statement to be declared effective by March 28, 2000 and as a result, will incur penalty interest of an additional 1/2% until which time the registration statement is declared effective.</w:t>
      </w:r>
    </w:p>
    <w:p>
      <w:pPr>
        <w:spacing w:after="0" w:line="175" w:lineRule="exact"/>
        <w:rPr>
          <w:sz w:val="20"/>
          <w:szCs w:val="20"/>
          <w:color w:val="auto"/>
        </w:rPr>
      </w:pPr>
    </w:p>
    <w:p>
      <w:pPr>
        <w:ind w:left="790" w:hanging="790"/>
        <w:spacing w:after="0"/>
        <w:tabs>
          <w:tab w:leader="none" w:pos="7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FACILITY.</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 In January 2000, the Company completed a new line-of-credit agreement, which matures on December 30, 2002. The new agreement, which carries an interest rate of LIBOR plus 200 basis points or Prime, enables the Company to borrow up to $30 million and contains certain financial and operating covenants. As of March 31, 2000, no amounts are outstanding.</w:t>
      </w:r>
    </w:p>
    <w:p>
      <w:pPr>
        <w:spacing w:after="0" w:line="172" w:lineRule="exact"/>
        <w:rPr>
          <w:sz w:val="20"/>
          <w:szCs w:val="20"/>
          <w:color w:val="auto"/>
        </w:rPr>
      </w:pPr>
    </w:p>
    <w:p>
      <w:pPr>
        <w:ind w:left="790" w:hanging="790"/>
        <w:spacing w:after="0"/>
        <w:tabs>
          <w:tab w:leader="none" w:pos="79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5"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SFAS No 86, "Accounting for the Costs of Computer Software to Be Sold, Leased, or Otherwise Marketed." The adoption of SOP 98-1 did not result in a material impact on reported results.</w:t>
      </w:r>
    </w:p>
    <w:p>
      <w:pPr>
        <w:spacing w:after="0" w:line="177" w:lineRule="exact"/>
        <w:rPr>
          <w:sz w:val="20"/>
          <w:szCs w:val="20"/>
          <w:color w:val="auto"/>
        </w:rPr>
      </w:pPr>
    </w:p>
    <w:p>
      <w:pPr>
        <w:ind w:left="10" w:right="3179" w:firstLine="793"/>
        <w:spacing w:after="0" w:line="238" w:lineRule="auto"/>
        <w:rPr>
          <w:sz w:val="20"/>
          <w:szCs w:val="20"/>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Company's current investment policy does not allow for the use of hedging instruments. In anticipation of the adoption of SFAS 133, the Company is currently reviewing all outstanding contracts for evidence of embedded derivatives. Based on the procedures undertaken through this point, management does not believe that adoption of SFAS 133 will have a material impact on its results of operations.</w:t>
      </w:r>
    </w:p>
    <w:p>
      <w:pPr>
        <w:spacing w:after="0" w:line="344" w:lineRule="exact"/>
        <w:rPr>
          <w:sz w:val="20"/>
          <w:szCs w:val="20"/>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GUARANTOR FINANCIAL INFORMATION</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CheckFree Management Corporation is a guarantor of the Company's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$172,500,000 convertible subordinated notes that were issued November 29, 1999.</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CheckFree Management Corporation was formed as a medical claims management</w:t>
      </w:r>
    </w:p>
    <w:p>
      <w:pPr>
        <w:ind w:left="10"/>
        <w:spacing w:after="0"/>
        <w:rPr>
          <w:sz w:val="20"/>
          <w:szCs w:val="20"/>
          <w:color w:val="auto"/>
        </w:rPr>
      </w:pPr>
      <w:r>
        <w:rPr>
          <w:rFonts w:ascii="Courier New" w:cs="Courier New" w:eastAsia="Courier New" w:hAnsi="Courier New"/>
          <w:sz w:val="15"/>
          <w:szCs w:val="15"/>
          <w:color w:val="auto"/>
        </w:rPr>
        <w:t>subsidiary in order to appropriately minimize, control, and manage the medical</w:t>
      </w:r>
    </w:p>
    <w:p>
      <w:pPr>
        <w:ind w:left="10"/>
        <w:spacing w:after="0"/>
        <w:rPr>
          <w:sz w:val="20"/>
          <w:szCs w:val="20"/>
          <w:color w:val="auto"/>
        </w:rPr>
      </w:pPr>
      <w:r>
        <w:rPr>
          <w:rFonts w:ascii="Courier New" w:cs="Courier New" w:eastAsia="Courier New" w:hAnsi="Courier New"/>
          <w:sz w:val="15"/>
          <w:szCs w:val="15"/>
          <w:color w:val="auto"/>
        </w:rPr>
        <w:t>claims liabilities of the Company and its subsidiaries. As of March 31, 2000,</w:t>
      </w:r>
    </w:p>
    <w:p>
      <w:pPr>
        <w:ind w:left="10"/>
        <w:spacing w:after="0" w:line="238" w:lineRule="auto"/>
        <w:rPr>
          <w:sz w:val="20"/>
          <w:szCs w:val="20"/>
          <w:color w:val="auto"/>
        </w:rPr>
      </w:pPr>
      <w:r>
        <w:rPr>
          <w:rFonts w:ascii="Courier New" w:cs="Courier New" w:eastAsia="Courier New" w:hAnsi="Courier New"/>
          <w:sz w:val="15"/>
          <w:szCs w:val="15"/>
          <w:color w:val="auto"/>
        </w:rPr>
        <w:t>the Company and its subsidiaries own approximately 89% of CheckFree Management</w:t>
      </w:r>
    </w:p>
    <w:p>
      <w:pPr>
        <w:ind w:left="10"/>
        <w:spacing w:after="0"/>
        <w:rPr>
          <w:sz w:val="20"/>
          <w:szCs w:val="20"/>
          <w:color w:val="auto"/>
        </w:rPr>
      </w:pPr>
      <w:r>
        <w:rPr>
          <w:rFonts w:ascii="Courier New" w:cs="Courier New" w:eastAsia="Courier New" w:hAnsi="Courier New"/>
          <w:sz w:val="15"/>
          <w:szCs w:val="15"/>
          <w:color w:val="auto"/>
        </w:rPr>
        <w:t>Corporation. Separate financial statements of the other guarantor subsidiaries</w:t>
      </w:r>
    </w:p>
    <w:p>
      <w:pPr>
        <w:ind w:left="10"/>
        <w:spacing w:after="0"/>
        <w:rPr>
          <w:sz w:val="20"/>
          <w:szCs w:val="20"/>
          <w:color w:val="auto"/>
        </w:rPr>
      </w:pPr>
      <w:r>
        <w:rPr>
          <w:rFonts w:ascii="Courier New" w:cs="Courier New" w:eastAsia="Courier New" w:hAnsi="Courier New"/>
          <w:sz w:val="15"/>
          <w:szCs w:val="15"/>
          <w:color w:val="auto"/>
        </w:rPr>
        <w:t>have not been separately presented because (1) CheckFree Holdings Corporation,</w:t>
      </w:r>
    </w:p>
    <w:p>
      <w:pPr>
        <w:spacing w:after="0" w:line="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the parent Company, has no operations or assets other than its investment in its</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subsidiaries, (2) all of the subsidiaries have guaranteed the securities on a</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full, unconditional, and joint and several basis and (3) all of the subsidiaries</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other than CheckFree Management Corporation are wholly owned by the Company. The</w:t>
      </w:r>
    </w:p>
    <w:p>
      <w:pPr>
        <w:spacing w:after="0" w:line="1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following table sets forth condensed consolidating financial information of the</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Company, CheckFree Management Corporation, and other wholly owned guarantor</w:t>
      </w:r>
    </w:p>
    <w:p>
      <w:pPr>
        <w:ind w:left="10"/>
        <w:spacing w:after="0"/>
        <w:rPr>
          <w:sz w:val="20"/>
          <w:szCs w:val="20"/>
          <w:color w:val="auto"/>
        </w:rPr>
      </w:pPr>
      <w:r>
        <w:rPr>
          <w:rFonts w:ascii="Courier New" w:cs="Courier New" w:eastAsia="Courier New" w:hAnsi="Courier New"/>
          <w:sz w:val="15"/>
          <w:szCs w:val="15"/>
          <w:color w:val="auto"/>
        </w:rPr>
        <w:t>subsidiaries as of and for the nine months ended March 31, 2000:</w:t>
      </w:r>
    </w:p>
    <w:p>
      <w:pPr>
        <w:sectPr>
          <w:pgSz w:w="11900" w:h="16838" w:orient="portrait"/>
          <w:cols w:equalWidth="0" w:num="1">
            <w:col w:w="10229"/>
          </w:cols>
          <w:pgMar w:left="230" w:top="283" w:right="1440" w:bottom="0" w:gutter="0" w:footer="0" w:header="0"/>
        </w:sectPr>
      </w:pPr>
    </w:p>
    <w:bookmarkStart w:id="8" w:name="page9"/>
    <w:bookmarkEnd w:id="8"/>
    <w:p>
      <w:pPr>
        <w:ind w:left="3430"/>
        <w:spacing w:after="0"/>
        <w:rPr>
          <w:sz w:val="20"/>
          <w:szCs w:val="20"/>
          <w:color w:val="auto"/>
        </w:rPr>
      </w:pPr>
      <w:r>
        <w:rPr>
          <w:rFonts w:ascii="Courier New" w:cs="Courier New" w:eastAsia="Courier New" w:hAnsi="Courier New"/>
          <w:sz w:val="15"/>
          <w:szCs w:val="15"/>
          <w:color w:val="auto"/>
        </w:rPr>
        <w:t>CHECKFREE HOLDINGS CORPORATION AND SUBSIDIARIES</w:t>
      </w:r>
    </w:p>
    <w:p>
      <w:pPr>
        <w:ind w:left="4310"/>
        <w:spacing w:after="0"/>
        <w:rPr>
          <w:sz w:val="20"/>
          <w:szCs w:val="20"/>
          <w:color w:val="auto"/>
        </w:rPr>
      </w:pPr>
      <w:r>
        <w:rPr>
          <w:rFonts w:ascii="Courier New" w:cs="Courier New" w:eastAsia="Courier New" w:hAnsi="Courier New"/>
          <w:sz w:val="15"/>
          <w:szCs w:val="15"/>
          <w:color w:val="auto"/>
        </w:rPr>
        <w:t>CONSOLIDATING BALANCE SHEET</w:t>
      </w:r>
    </w:p>
    <w:p>
      <w:pPr>
        <w:ind w:left="4930"/>
        <w:spacing w:after="0"/>
        <w:rPr>
          <w:sz w:val="20"/>
          <w:szCs w:val="20"/>
          <w:color w:val="auto"/>
        </w:rPr>
      </w:pPr>
      <w:r>
        <w:rPr>
          <w:rFonts w:ascii="Courier New" w:cs="Courier New" w:eastAsia="Courier New" w:hAnsi="Courier New"/>
          <w:sz w:val="15"/>
          <w:szCs w:val="15"/>
          <w:color w:val="auto"/>
        </w:rPr>
        <w:t>MARCH 31, 2000</w:t>
      </w:r>
    </w:p>
    <w:p>
      <w:pPr>
        <w:ind w:left="493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Combined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CheckFree</w:t>
            </w:r>
          </w:p>
        </w:tc>
        <w:tc>
          <w:tcPr>
            <w:tcW w:w="26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CheckFree</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Wholly-owned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Holdings</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Holdings</w:t>
            </w:r>
          </w:p>
        </w:tc>
        <w:tc>
          <w:tcPr>
            <w:tcW w:w="260" w:type="dxa"/>
            <w:vAlign w:val="bottom"/>
          </w:tcPr>
          <w:p>
            <w:pPr>
              <w:spacing w:after="0"/>
              <w:rPr>
                <w:sz w:val="14"/>
                <w:szCs w:val="14"/>
                <w:color w:val="auto"/>
              </w:rPr>
            </w:pP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Management</w:t>
            </w:r>
          </w:p>
        </w:tc>
        <w:tc>
          <w:tcPr>
            <w:tcW w:w="300" w:type="dxa"/>
            <w:vAlign w:val="bottom"/>
          </w:tcPr>
          <w:p>
            <w:pPr>
              <w:spacing w:after="0"/>
              <w:rPr>
                <w:sz w:val="14"/>
                <w:szCs w:val="14"/>
                <w:color w:val="auto"/>
              </w:rPr>
            </w:pPr>
          </w:p>
        </w:tc>
        <w:tc>
          <w:tcPr>
            <w:tcW w:w="1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Guarantor</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Corporation</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4"/>
              </w:rPr>
              <w:t>Corporation</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Eliminations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124,980</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125,043</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Investments....................</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26,292</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26,292</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receivable, net.......</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53,343</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53,343</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14,776</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11,716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9,444</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9,444</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3,061</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228,835</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(6,120)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225,838</w:t>
            </w:r>
          </w:p>
        </w:tc>
      </w:tr>
      <w:tr>
        <w:trPr>
          <w:trHeight w:val="339"/>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24"/>
                <w:szCs w:val="2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84,461</w:t>
            </w:r>
          </w:p>
        </w:tc>
        <w:tc>
          <w:tcPr>
            <w:tcW w:w="360" w:type="dxa"/>
            <w:vAlign w:val="bottom"/>
          </w:tcPr>
          <w:p>
            <w:pPr>
              <w:spacing w:after="0"/>
              <w:rPr>
                <w:sz w:val="24"/>
                <w:szCs w:val="2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84,461</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Capitalized software, net.........</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23,006</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23,006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Intangible assets, net............</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41,763</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41,763</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Investment in subsidiaries........</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392,303</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(392,303)</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Other investments.................</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52,869</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52,869</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Deferred income taxes.............</w:t>
            </w:r>
          </w:p>
        </w:tc>
        <w:tc>
          <w:tcPr>
            <w:tcW w:w="260" w:type="dxa"/>
            <w:vAlign w:val="bottom"/>
          </w:tcPr>
          <w:p>
            <w:pPr>
              <w:spacing w:after="0"/>
              <w:rPr>
                <w:sz w:val="14"/>
                <w:szCs w:val="14"/>
                <w:color w:val="auto"/>
              </w:rPr>
            </w:pPr>
          </w:p>
        </w:tc>
        <w:tc>
          <w:tcPr>
            <w:tcW w:w="1160" w:type="dxa"/>
            <w:vAlign w:val="bottom"/>
          </w:tcPr>
          <w:p>
            <w:pPr>
              <w:jc w:val="center"/>
              <w:ind w:lef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34,436</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34,436</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(24,181)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Other noncurrent assets...........</w:t>
            </w:r>
          </w:p>
        </w:tc>
        <w:tc>
          <w:tcPr>
            <w:tcW w:w="260" w:type="dxa"/>
            <w:vAlign w:val="bottom"/>
          </w:tcPr>
          <w:p>
            <w:pPr>
              <w:spacing w:after="0"/>
              <w:rPr>
                <w:sz w:val="14"/>
                <w:szCs w:val="14"/>
                <w:color w:val="auto"/>
              </w:rPr>
            </w:pPr>
          </w:p>
        </w:tc>
        <w:tc>
          <w:tcPr>
            <w:tcW w:w="1160" w:type="dxa"/>
            <w:vAlign w:val="bottom"/>
          </w:tcPr>
          <w:p>
            <w:pPr>
              <w:jc w:val="center"/>
              <w:ind w:left="87"/>
              <w:spacing w:after="0"/>
              <w:rPr>
                <w:sz w:val="20"/>
                <w:szCs w:val="20"/>
                <w:color w:val="auto"/>
              </w:rPr>
            </w:pPr>
            <w:r>
              <w:rPr>
                <w:rFonts w:ascii="Courier New" w:cs="Courier New" w:eastAsia="Courier New" w:hAnsi="Courier New"/>
                <w:sz w:val="15"/>
                <w:szCs w:val="15"/>
                <w:color w:val="auto"/>
                <w:w w:val="97"/>
              </w:rPr>
              <w:t>5,348</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25,200</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33,272</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(679)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13,760</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397,713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28,261</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498,642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(448,483)</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476,133</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339"/>
        </w:trPr>
        <w:tc>
          <w:tcPr>
            <w:tcW w:w="31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379</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6,573</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6,573</w:t>
            </w: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12,829</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28,074</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(299)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41,032</w:t>
            </w:r>
          </w:p>
        </w:tc>
      </w:tr>
      <w:tr>
        <w:trPr>
          <w:trHeight w:val="170"/>
        </w:trPr>
        <w:tc>
          <w:tcPr>
            <w:tcW w:w="316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obligations................</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9,593</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(3,060)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6,533</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Deferred revenue...............</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29,638</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29,638</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1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12,829</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3,729</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73,878</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(6,660)</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83,776</w:t>
            </w:r>
          </w:p>
        </w:tc>
      </w:tr>
      <w:tr>
        <w:trPr>
          <w:trHeight w:val="339"/>
        </w:trPr>
        <w:tc>
          <w:tcPr>
            <w:tcW w:w="3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(25,200)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(1)</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(24,181)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(2)</w:t>
            </w: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Accrued rent and other............</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24,181</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31,854</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6,653</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Convertible subordinated notes....</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172,500</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172,500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Obligations under capital leases -</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less current portion..........</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3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820</w:t>
            </w:r>
          </w:p>
        </w:tc>
        <w:tc>
          <w:tcPr>
            <w:tcW w:w="360" w:type="dxa"/>
            <w:vAlign w:val="bottom"/>
          </w:tcPr>
          <w:p>
            <w:pPr>
              <w:spacing w:after="0"/>
              <w:rPr>
                <w:sz w:val="14"/>
                <w:szCs w:val="14"/>
                <w:color w:val="auto"/>
              </w:rPr>
            </w:pPr>
          </w:p>
        </w:tc>
        <w:tc>
          <w:tcPr>
            <w:tcW w:w="10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Redeemable Preferred Stock........</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w:t>
            </w:r>
          </w:p>
        </w:tc>
        <w:tc>
          <w:tcPr>
            <w:tcW w:w="300" w:type="dxa"/>
            <w:vAlign w:val="bottom"/>
          </w:tcPr>
          <w:p>
            <w:pPr>
              <w:spacing w:after="0"/>
              <w:rPr>
                <w:sz w:val="14"/>
                <w:szCs w:val="14"/>
                <w:color w:val="auto"/>
              </w:rPr>
            </w:pPr>
          </w:p>
        </w:tc>
        <w:tc>
          <w:tcPr>
            <w:tcW w:w="12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(112)</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20" w:type="dxa"/>
            <w:vAlign w:val="bottom"/>
          </w:tcPr>
          <w:p>
            <w:pPr>
              <w:spacing w:after="0"/>
              <w:rPr>
                <w:sz w:val="14"/>
                <w:szCs w:val="14"/>
                <w:color w:val="auto"/>
              </w:rPr>
            </w:pPr>
          </w:p>
        </w:tc>
        <w:tc>
          <w:tcPr>
            <w:tcW w:w="14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Stockholders' equity..............</w:t>
            </w:r>
          </w:p>
        </w:tc>
        <w:tc>
          <w:tcPr>
            <w:tcW w:w="2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212,384</w:t>
            </w:r>
          </w:p>
        </w:tc>
        <w:tc>
          <w:tcPr>
            <w:tcW w:w="260" w:type="dxa"/>
            <w:vAlign w:val="bottom"/>
          </w:tcPr>
          <w:p>
            <w:pPr>
              <w:spacing w:after="0"/>
              <w:rPr>
                <w:sz w:val="14"/>
                <w:szCs w:val="1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239</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392,090</w:t>
            </w:r>
          </w:p>
        </w:tc>
        <w:tc>
          <w:tcPr>
            <w:tcW w:w="360" w:type="dxa"/>
            <w:vAlign w:val="bottom"/>
          </w:tcPr>
          <w:p>
            <w:pPr>
              <w:spacing w:after="0"/>
              <w:rPr>
                <w:sz w:val="14"/>
                <w:szCs w:val="1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(392,329)</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3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212,384</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3160" w:type="dxa"/>
            <w:vAlign w:val="bottom"/>
          </w:tcPr>
          <w:p>
            <w:pPr>
              <w:spacing w:after="0"/>
              <w:rPr>
                <w:sz w:val="14"/>
                <w:szCs w:val="14"/>
                <w:color w:val="auto"/>
              </w:rPr>
            </w:pP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center"/>
              <w:spacing w:after="0"/>
              <w:rPr>
                <w:sz w:val="20"/>
                <w:szCs w:val="20"/>
                <w:color w:val="auto"/>
              </w:rPr>
            </w:pPr>
            <w:r>
              <w:rPr>
                <w:rFonts w:ascii="Courier New" w:cs="Courier New" w:eastAsia="Courier New" w:hAnsi="Courier New"/>
                <w:sz w:val="15"/>
                <w:szCs w:val="15"/>
                <w:color w:val="auto"/>
                <w:w w:val="95"/>
              </w:rPr>
              <w:t>397,713</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28,261</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498,642</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(448,483)</w:t>
            </w:r>
          </w:p>
        </w:tc>
        <w:tc>
          <w:tcPr>
            <w:tcW w:w="3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476,133</w:t>
            </w:r>
          </w:p>
        </w:tc>
      </w:tr>
      <w:tr>
        <w:trPr>
          <w:trHeight w:val="170"/>
        </w:trPr>
        <w:tc>
          <w:tcPr>
            <w:tcW w:w="316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w:t>
            </w:r>
          </w:p>
        </w:tc>
      </w:tr>
    </w:tbl>
    <w:p>
      <w:pPr>
        <w:spacing w:after="0" w:line="344" w:lineRule="exact"/>
        <w:rPr>
          <w:sz w:val="20"/>
          <w:szCs w:val="20"/>
          <w:color w:val="auto"/>
        </w:rPr>
      </w:pPr>
    </w:p>
    <w:p>
      <w:pPr>
        <w:ind w:left="450" w:right="4920"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note receivable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ind w:left="450" w:right="4740" w:hanging="450"/>
        <w:spacing w:after="0" w:line="237"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claims liability deposit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ind w:left="450" w:right="4480" w:hanging="450"/>
        <w:spacing w:after="0" w:line="235" w:lineRule="auto"/>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including the minority interest of CheckFree Management Corporation.</w:t>
      </w:r>
    </w:p>
    <w:p>
      <w:pPr>
        <w:spacing w:after="0" w:line="1" w:lineRule="exact"/>
        <w:rPr>
          <w:rFonts w:ascii="Courier New" w:cs="Courier New" w:eastAsia="Courier New" w:hAnsi="Courier New"/>
          <w:sz w:val="15"/>
          <w:szCs w:val="15"/>
          <w:color w:val="auto"/>
        </w:rPr>
      </w:pPr>
    </w:p>
    <w:p>
      <w:pPr>
        <w:ind w:left="450" w:hanging="450"/>
        <w:spacing w:after="0"/>
        <w:tabs>
          <w:tab w:leader="none" w:pos="4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other intercompany balances</w:t>
      </w:r>
    </w:p>
    <w:p>
      <w:pPr>
        <w:spacing w:after="0" w:line="200" w:lineRule="exact"/>
        <w:rPr>
          <w:sz w:val="20"/>
          <w:szCs w:val="20"/>
          <w:color w:val="auto"/>
        </w:rPr>
      </w:pPr>
    </w:p>
    <w:p>
      <w:pPr>
        <w:spacing w:after="0" w:line="308" w:lineRule="exact"/>
        <w:rPr>
          <w:sz w:val="20"/>
          <w:szCs w:val="20"/>
          <w:color w:val="auto"/>
        </w:rPr>
      </w:pPr>
    </w:p>
    <w:p>
      <w:pPr>
        <w:jc w:val="center"/>
        <w:ind w:right="150"/>
        <w:spacing w:after="0"/>
        <w:rPr>
          <w:sz w:val="20"/>
          <w:szCs w:val="20"/>
          <w:color w:val="auto"/>
        </w:rPr>
      </w:pPr>
      <w:r>
        <w:rPr>
          <w:rFonts w:ascii="Courier New" w:cs="Courier New" w:eastAsia="Courier New" w:hAnsi="Courier New"/>
          <w:sz w:val="15"/>
          <w:szCs w:val="15"/>
          <w:color w:val="auto"/>
        </w:rPr>
        <w:t>CHECKFREE HOLDINGS CORPORATION AND SUBSIDIARIES</w:t>
      </w:r>
    </w:p>
    <w:p>
      <w:pPr>
        <w:jc w:val="center"/>
        <w:ind w:right="150"/>
        <w:spacing w:after="0"/>
        <w:rPr>
          <w:sz w:val="20"/>
          <w:szCs w:val="20"/>
          <w:color w:val="auto"/>
        </w:rPr>
      </w:pPr>
      <w:r>
        <w:rPr>
          <w:rFonts w:ascii="Courier New" w:cs="Courier New" w:eastAsia="Courier New" w:hAnsi="Courier New"/>
          <w:sz w:val="15"/>
          <w:szCs w:val="15"/>
          <w:color w:val="auto"/>
        </w:rPr>
        <w:t>CONSOLIDATING STATEMENT OF OPERATIONS</w:t>
      </w:r>
    </w:p>
    <w:tbl>
      <w:tblPr>
        <w:tblLayout w:type="fixed"/>
        <w:tblInd w:w="1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Courier New" w:cs="Courier New" w:eastAsia="Courier New" w:hAnsi="Courier New"/>
                <w:sz w:val="15"/>
                <w:szCs w:val="15"/>
                <w:color w:val="auto"/>
                <w:w w:val="98"/>
              </w:rPr>
              <w:t>NINE MONTHS</w:t>
            </w:r>
          </w:p>
        </w:tc>
        <w:tc>
          <w:tcPr>
            <w:tcW w:w="242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w w:val="99"/>
              </w:rPr>
              <w:t>ENDED MARCH 31, 2000</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gridSpan w:val="3"/>
          </w:tcPr>
          <w:p>
            <w:pPr>
              <w:ind w:left="800"/>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9"/>
        </w:trPr>
        <w:tc>
          <w:tcPr>
            <w:tcW w:w="3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Combined</w:t>
            </w: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3160" w:type="dxa"/>
            <w:vAlign w:val="bottom"/>
          </w:tcPr>
          <w:p>
            <w:pPr>
              <w:spacing w:after="0"/>
              <w:rPr>
                <w:sz w:val="14"/>
                <w:szCs w:val="14"/>
                <w:color w:val="auto"/>
              </w:rPr>
            </w:pPr>
          </w:p>
        </w:tc>
        <w:tc>
          <w:tcPr>
            <w:tcW w:w="11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8"/>
              </w:rPr>
              <w:t>CheckFree</w:t>
            </w:r>
          </w:p>
        </w:tc>
        <w:tc>
          <w:tcPr>
            <w:tcW w:w="18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CheckFree</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Wholly-owned</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jc w:val="right"/>
              <w:ind w:right="607"/>
              <w:spacing w:after="0"/>
              <w:rPr>
                <w:sz w:val="20"/>
                <w:szCs w:val="20"/>
                <w:color w:val="auto"/>
              </w:rPr>
            </w:pPr>
            <w:r>
              <w:rPr>
                <w:rFonts w:ascii="Courier New" w:cs="Courier New" w:eastAsia="Courier New" w:hAnsi="Courier New"/>
                <w:sz w:val="15"/>
                <w:szCs w:val="15"/>
                <w:color w:val="auto"/>
              </w:rPr>
              <w:t>Holdings</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Holdings</w:t>
            </w:r>
          </w:p>
        </w:tc>
        <w:tc>
          <w:tcPr>
            <w:tcW w:w="18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Management</w:t>
            </w:r>
          </w:p>
        </w:tc>
        <w:tc>
          <w:tcPr>
            <w:tcW w:w="300" w:type="dxa"/>
            <w:vAlign w:val="bottom"/>
          </w:tcPr>
          <w:p>
            <w:pPr>
              <w:spacing w:after="0"/>
              <w:rPr>
                <w:sz w:val="14"/>
                <w:szCs w:val="14"/>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5"/>
                <w:szCs w:val="15"/>
                <w:color w:val="auto"/>
              </w:rPr>
              <w:t>Guarantor</w:t>
            </w: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160" w:type="dxa"/>
            <w:vAlign w:val="bottom"/>
          </w:tcPr>
          <w:p>
            <w:pPr>
              <w:spacing w:after="0"/>
              <w:rPr>
                <w:sz w:val="14"/>
                <w:szCs w:val="14"/>
                <w:color w:val="auto"/>
              </w:rPr>
            </w:pPr>
          </w:p>
        </w:tc>
        <w:tc>
          <w:tcPr>
            <w:tcW w:w="11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96"/>
              </w:rPr>
              <w:t>Corporation</w:t>
            </w:r>
          </w:p>
        </w:tc>
        <w:tc>
          <w:tcPr>
            <w:tcW w:w="18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Corporation</w:t>
            </w:r>
          </w:p>
        </w:tc>
        <w:tc>
          <w:tcPr>
            <w:tcW w:w="1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Subsidiaries</w:t>
            </w: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Eliminations</w:t>
            </w:r>
          </w:p>
        </w:tc>
        <w:tc>
          <w:tcPr>
            <w:tcW w:w="740" w:type="dxa"/>
            <w:vAlign w:val="bottom"/>
          </w:tcPr>
          <w:p>
            <w:pPr>
              <w:spacing w:after="0"/>
              <w:rPr>
                <w:sz w:val="14"/>
                <w:szCs w:val="14"/>
                <w:color w:val="auto"/>
              </w:rPr>
            </w:pPr>
          </w:p>
        </w:tc>
        <w:tc>
          <w:tcPr>
            <w:tcW w:w="1620" w:type="dxa"/>
            <w:vAlign w:val="bottom"/>
          </w:tcPr>
          <w:p>
            <w:pPr>
              <w:ind w:left="6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160" w:type="dxa"/>
            <w:vAlign w:val="bottom"/>
          </w:tcPr>
          <w:p>
            <w:pPr>
              <w:spacing w:after="0"/>
              <w:rPr>
                <w:sz w:val="14"/>
                <w:szCs w:val="14"/>
                <w:color w:val="auto"/>
              </w:rPr>
            </w:pPr>
          </w:p>
        </w:tc>
        <w:tc>
          <w:tcPr>
            <w:tcW w:w="11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82"/>
              </w:rPr>
              <w:t>-------------</w:t>
            </w:r>
          </w:p>
        </w:tc>
        <w:tc>
          <w:tcPr>
            <w:tcW w:w="1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316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3"/>
              </w:rPr>
              <w:t>Revenues: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Processing and servicing.......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189,430</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189,430</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License Fees...................</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10,295</w:t>
            </w:r>
          </w:p>
        </w:tc>
        <w:tc>
          <w:tcPr>
            <w:tcW w:w="54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10,295</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Maintenance fees...............</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13,571</w:t>
            </w:r>
          </w:p>
        </w:tc>
        <w:tc>
          <w:tcPr>
            <w:tcW w:w="54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13,571</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174</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8,399</w:t>
            </w:r>
          </w:p>
        </w:tc>
        <w:tc>
          <w:tcPr>
            <w:tcW w:w="54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(174)</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8,399</w:t>
            </w:r>
          </w:p>
        </w:tc>
      </w:tr>
      <w:tr>
        <w:trPr>
          <w:trHeight w:val="170"/>
        </w:trPr>
        <w:tc>
          <w:tcPr>
            <w:tcW w:w="3160" w:type="dxa"/>
            <w:vAlign w:val="bottom"/>
          </w:tcPr>
          <w:p>
            <w:pPr>
              <w:spacing w:after="0"/>
              <w:rPr>
                <w:sz w:val="14"/>
                <w:szCs w:val="14"/>
                <w:color w:val="auto"/>
              </w:rPr>
            </w:pPr>
          </w:p>
        </w:tc>
        <w:tc>
          <w:tcPr>
            <w:tcW w:w="1140" w:type="dxa"/>
            <w:vAlign w:val="bottom"/>
            <w:gridSpan w:val="2"/>
          </w:tcPr>
          <w:p>
            <w:pPr>
              <w:jc w:val="center"/>
              <w:ind w:left="107"/>
              <w:spacing w:after="0"/>
              <w:rPr>
                <w:sz w:val="20"/>
                <w:szCs w:val="20"/>
                <w:color w:val="auto"/>
              </w:rPr>
            </w:pPr>
            <w:r>
              <w:rPr>
                <w:rFonts w:ascii="Courier New" w:cs="Courier New" w:eastAsia="Courier New" w:hAnsi="Courier New"/>
                <w:sz w:val="15"/>
                <w:szCs w:val="15"/>
                <w:color w:val="auto"/>
                <w:w w:val="82"/>
              </w:rPr>
              <w:t>-------------</w:t>
            </w:r>
          </w:p>
        </w:tc>
        <w:tc>
          <w:tcPr>
            <w:tcW w:w="18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174</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221,695</w:t>
            </w:r>
          </w:p>
        </w:tc>
        <w:tc>
          <w:tcPr>
            <w:tcW w:w="54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(174)</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221,695</w:t>
            </w:r>
          </w:p>
        </w:tc>
      </w:tr>
      <w:tr>
        <w:trPr>
          <w:trHeight w:val="339"/>
        </w:trPr>
        <w:tc>
          <w:tcPr>
            <w:tcW w:w="3160" w:type="dxa"/>
            <w:vAlign w:val="bottom"/>
          </w:tcPr>
          <w:p>
            <w:pPr>
              <w:jc w:val="right"/>
              <w:ind w:right="2307"/>
              <w:spacing w:after="0"/>
              <w:rPr>
                <w:sz w:val="20"/>
                <w:szCs w:val="20"/>
                <w:color w:val="auto"/>
              </w:rPr>
            </w:pPr>
            <w:r>
              <w:rPr>
                <w:rFonts w:ascii="Courier New" w:cs="Courier New" w:eastAsia="Courier New" w:hAnsi="Courier New"/>
                <w:sz w:val="15"/>
                <w:szCs w:val="15"/>
                <w:color w:val="auto"/>
                <w:w w:val="93"/>
              </w:rPr>
              <w:t>Expenses:</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0"/>
        </w:trPr>
        <w:tc>
          <w:tcPr>
            <w:tcW w:w="31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Cost of processing, servicing</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and support................</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133,684</w:t>
            </w:r>
          </w:p>
        </w:tc>
        <w:tc>
          <w:tcPr>
            <w:tcW w:w="540" w:type="dxa"/>
            <w:vAlign w:val="bottom"/>
          </w:tcPr>
          <w:p>
            <w:pPr>
              <w:spacing w:after="0"/>
              <w:rPr>
                <w:sz w:val="14"/>
                <w:szCs w:val="14"/>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133,684</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24,276</w:t>
            </w:r>
          </w:p>
        </w:tc>
        <w:tc>
          <w:tcPr>
            <w:tcW w:w="540" w:type="dxa"/>
            <w:vAlign w:val="bottom"/>
          </w:tcPr>
          <w:p>
            <w:pPr>
              <w:spacing w:after="0"/>
              <w:rPr>
                <w:sz w:val="14"/>
                <w:szCs w:val="14"/>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24,276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Sales and marketing............</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29,522</w:t>
            </w:r>
          </w:p>
        </w:tc>
        <w:tc>
          <w:tcPr>
            <w:tcW w:w="540" w:type="dxa"/>
            <w:vAlign w:val="bottom"/>
          </w:tcPr>
          <w:p>
            <w:pPr>
              <w:spacing w:after="0"/>
              <w:rPr>
                <w:sz w:val="14"/>
                <w:szCs w:val="14"/>
                <w:color w:val="auto"/>
              </w:rPr>
            </w:pPr>
          </w:p>
        </w:tc>
        <w:tc>
          <w:tcPr>
            <w:tcW w:w="88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29,522</w:t>
            </w:r>
          </w:p>
        </w:tc>
      </w:tr>
      <w:tr>
        <w:trPr>
          <w:trHeight w:val="170"/>
        </w:trPr>
        <w:tc>
          <w:tcPr>
            <w:tcW w:w="3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(174)</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(1)</w:t>
            </w:r>
          </w:p>
        </w:tc>
        <w:tc>
          <w:tcPr>
            <w:tcW w:w="162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174</w:t>
            </w:r>
          </w:p>
        </w:tc>
        <w:tc>
          <w:tcPr>
            <w:tcW w:w="300" w:type="dxa"/>
            <w:vAlign w:val="bottom"/>
          </w:tcPr>
          <w:p>
            <w:pPr>
              <w:spacing w:after="0"/>
              <w:rPr>
                <w:sz w:val="14"/>
                <w:szCs w:val="14"/>
                <w:color w:val="auto"/>
              </w:rPr>
            </w:pP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28,835</w:t>
            </w:r>
          </w:p>
        </w:tc>
        <w:tc>
          <w:tcPr>
            <w:tcW w:w="540" w:type="dxa"/>
            <w:vAlign w:val="bottom"/>
          </w:tcPr>
          <w:p>
            <w:pPr>
              <w:spacing w:after="0"/>
              <w:rPr>
                <w:sz w:val="14"/>
                <w:szCs w:val="14"/>
                <w:color w:val="auto"/>
              </w:rPr>
            </w:pPr>
          </w:p>
        </w:tc>
        <w:tc>
          <w:tcPr>
            <w:tcW w:w="880" w:type="dxa"/>
            <w:vAlign w:val="bottom"/>
          </w:tcPr>
          <w:p>
            <w:pPr>
              <w:ind w:left="520"/>
              <w:spacing w:after="0"/>
              <w:rPr>
                <w:sz w:val="20"/>
                <w:szCs w:val="20"/>
                <w:color w:val="auto"/>
              </w:rPr>
            </w:pPr>
            <w:r>
              <w:rPr>
                <w:rFonts w:ascii="Courier New" w:cs="Courier New" w:eastAsia="Courier New" w:hAnsi="Courier New"/>
                <w:sz w:val="15"/>
                <w:szCs w:val="15"/>
                <w:color w:val="auto"/>
              </w:rPr>
              <w:t>2</w:t>
            </w: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88"/>
              </w:rPr>
              <w:t>(2)</w:t>
            </w:r>
          </w:p>
        </w:tc>
        <w:tc>
          <w:tcPr>
            <w:tcW w:w="1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28,837</w:t>
            </w:r>
          </w:p>
        </w:tc>
      </w:tr>
    </w:tbl>
    <w:p>
      <w:pPr>
        <w:sectPr>
          <w:pgSz w:w="11900" w:h="16838" w:orient="portrait"/>
          <w:cols w:equalWidth="0" w:num="1">
            <w:col w:w="11530"/>
          </w:cols>
          <w:pgMar w:left="230" w:top="475" w:right="139" w:bottom="0" w:gutter="0" w:footer="0" w:header="0"/>
        </w:sectPr>
      </w:pPr>
    </w:p>
    <w:bookmarkStart w:id="9" w:name="page10"/>
    <w:bookmarkEnd w:id="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23,789</w:t>
            </w:r>
          </w:p>
        </w:tc>
        <w:tc>
          <w:tcPr>
            <w:tcW w:w="44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23,789</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Total expenses.............</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174</w:t>
            </w:r>
          </w:p>
        </w:tc>
        <w:tc>
          <w:tcPr>
            <w:tcW w:w="4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240,106</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(172)</w:t>
            </w:r>
          </w:p>
        </w:tc>
        <w:tc>
          <w:tcPr>
            <w:tcW w:w="920" w:type="dxa"/>
            <w:vAlign w:val="bottom"/>
          </w:tcPr>
          <w:p>
            <w:pPr>
              <w:spacing w:after="0"/>
              <w:rPr>
                <w:sz w:val="14"/>
                <w:szCs w:val="14"/>
                <w:color w:val="auto"/>
              </w:rPr>
            </w:pP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240,108</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(loss) from operations.....</w:t>
            </w: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174</w:t>
            </w:r>
          </w:p>
        </w:tc>
        <w:tc>
          <w:tcPr>
            <w:tcW w:w="4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(174)</w:t>
            </w:r>
          </w:p>
        </w:tc>
        <w:tc>
          <w:tcPr>
            <w:tcW w:w="4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(18,411)</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(18,413)</w:t>
            </w:r>
          </w:p>
        </w:tc>
      </w:tr>
      <w:tr>
        <w:trPr>
          <w:trHeight w:val="170"/>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(1,875)</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(3)</w:t>
            </w:r>
          </w:p>
        </w:tc>
        <w:tc>
          <w:tcPr>
            <w:tcW w:w="14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income...................</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1,875</w:t>
            </w:r>
          </w:p>
        </w:tc>
        <w:tc>
          <w:tcPr>
            <w:tcW w:w="4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6,179</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(1,689)</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(4)</w:t>
            </w:r>
          </w:p>
        </w:tc>
        <w:tc>
          <w:tcPr>
            <w:tcW w:w="14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4,490</w:t>
            </w:r>
          </w:p>
        </w:tc>
      </w:tr>
      <w:tr>
        <w:trPr>
          <w:trHeight w:val="170"/>
        </w:trPr>
        <w:tc>
          <w:tcPr>
            <w:tcW w:w="3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1,875</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(3)</w:t>
            </w:r>
          </w:p>
        </w:tc>
        <w:tc>
          <w:tcPr>
            <w:tcW w:w="14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expense..................</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(4,133)</w:t>
            </w:r>
          </w:p>
        </w:tc>
        <w:tc>
          <w:tcPr>
            <w:tcW w:w="400" w:type="dxa"/>
            <w:vAlign w:val="bottom"/>
          </w:tcPr>
          <w:p>
            <w:pPr>
              <w:spacing w:after="0"/>
              <w:rPr>
                <w:sz w:val="14"/>
                <w:szCs w:val="14"/>
                <w:color w:val="auto"/>
              </w:rPr>
            </w:pP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(1,689)</w:t>
            </w:r>
          </w:p>
        </w:tc>
        <w:tc>
          <w:tcPr>
            <w:tcW w:w="4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(2,315)</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1,689</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(4)</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(4,573)</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(loss) before income taxes.</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(3,959)</w:t>
            </w:r>
          </w:p>
        </w:tc>
        <w:tc>
          <w:tcPr>
            <w:tcW w:w="40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(14,547)</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(18,496)</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Income tax benefit................</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(1,409)</w:t>
            </w:r>
          </w:p>
        </w:tc>
        <w:tc>
          <w:tcPr>
            <w:tcW w:w="4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(5,309)</w:t>
            </w:r>
          </w:p>
        </w:tc>
        <w:tc>
          <w:tcPr>
            <w:tcW w:w="440" w:type="dxa"/>
            <w:vAlign w:val="bottom"/>
          </w:tcPr>
          <w:p>
            <w:pPr>
              <w:spacing w:after="0"/>
              <w:rPr>
                <w:sz w:val="14"/>
                <w:szCs w:val="14"/>
                <w:color w:val="auto"/>
              </w:rPr>
            </w:pPr>
          </w:p>
        </w:tc>
        <w:tc>
          <w:tcPr>
            <w:tcW w:w="9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(6,718)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Income (loss) before equity in</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earnings of subsidiaries......</w:t>
            </w: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(2,550)</w:t>
            </w:r>
          </w:p>
        </w:tc>
        <w:tc>
          <w:tcPr>
            <w:tcW w:w="400" w:type="dxa"/>
            <w:vAlign w:val="bottom"/>
          </w:tcPr>
          <w:p>
            <w:pPr>
              <w:spacing w:after="0"/>
              <w:rPr>
                <w:sz w:val="14"/>
                <w:szCs w:val="14"/>
                <w:color w:val="auto"/>
              </w:rPr>
            </w:pP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(9,238)</w:t>
            </w:r>
          </w:p>
        </w:tc>
        <w:tc>
          <w:tcPr>
            <w:tcW w:w="440" w:type="dxa"/>
            <w:vAlign w:val="bottom"/>
          </w:tcPr>
          <w:p>
            <w:pPr>
              <w:spacing w:after="0"/>
              <w:rPr>
                <w:sz w:val="14"/>
                <w:szCs w:val="14"/>
                <w:color w:val="auto"/>
              </w:rPr>
            </w:pPr>
          </w:p>
        </w:tc>
        <w:tc>
          <w:tcPr>
            <w:tcW w:w="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w:t>
            </w:r>
          </w:p>
        </w:tc>
        <w:tc>
          <w:tcPr>
            <w:tcW w:w="920" w:type="dxa"/>
            <w:vAlign w:val="bottom"/>
          </w:tcPr>
          <w:p>
            <w:pPr>
              <w:spacing w:after="0"/>
              <w:rPr>
                <w:sz w:val="14"/>
                <w:szCs w:val="14"/>
                <w:color w:val="auto"/>
              </w:rPr>
            </w:pP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(11,778)</w:t>
            </w:r>
          </w:p>
        </w:tc>
      </w:tr>
      <w:tr>
        <w:trPr>
          <w:trHeight w:val="170"/>
        </w:trPr>
        <w:tc>
          <w:tcPr>
            <w:tcW w:w="3160" w:type="dxa"/>
            <w:vAlign w:val="bottom"/>
          </w:tcPr>
          <w:p>
            <w:pPr>
              <w:spacing w:after="0"/>
              <w:rPr>
                <w:sz w:val="20"/>
                <w:szCs w:val="20"/>
                <w:color w:val="auto"/>
              </w:rPr>
            </w:pPr>
            <w:r>
              <w:rPr>
                <w:rFonts w:ascii="Courier New" w:cs="Courier New" w:eastAsia="Courier New" w:hAnsi="Courier New"/>
                <w:sz w:val="15"/>
                <w:szCs w:val="15"/>
                <w:color w:val="auto"/>
              </w:rPr>
              <w:t>Equity in earnings of</w:t>
            </w: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subsidiaries..................</w:t>
            </w:r>
          </w:p>
        </w:tc>
        <w:tc>
          <w:tcPr>
            <w:tcW w:w="142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5"/>
              </w:rPr>
              <w:t>(9,228)</w:t>
            </w:r>
          </w:p>
        </w:tc>
        <w:tc>
          <w:tcPr>
            <w:tcW w:w="400" w:type="dxa"/>
            <w:vAlign w:val="bottom"/>
          </w:tcPr>
          <w:p>
            <w:pPr>
              <w:spacing w:after="0"/>
              <w:rPr>
                <w:sz w:val="14"/>
                <w:szCs w:val="14"/>
                <w:color w:val="auto"/>
              </w:rPr>
            </w:pPr>
          </w:p>
        </w:tc>
        <w:tc>
          <w:tcPr>
            <w:tcW w:w="11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9,228</w:t>
            </w:r>
          </w:p>
        </w:tc>
        <w:tc>
          <w:tcPr>
            <w:tcW w:w="92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88"/>
              </w:rPr>
              <w:t>(2)</w:t>
            </w:r>
          </w:p>
        </w:tc>
        <w:tc>
          <w:tcPr>
            <w:tcW w:w="14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1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Net income (loss).................</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(11,778)</w:t>
            </w:r>
          </w:p>
        </w:tc>
        <w:tc>
          <w:tcPr>
            <w:tcW w:w="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12</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(9,238)</w:t>
            </w:r>
          </w:p>
        </w:tc>
        <w:tc>
          <w:tcPr>
            <w:tcW w:w="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9,226</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(11,778)</w:t>
            </w:r>
          </w:p>
        </w:tc>
      </w:tr>
      <w:tr>
        <w:trPr>
          <w:trHeight w:val="170"/>
        </w:trPr>
        <w:tc>
          <w:tcPr>
            <w:tcW w:w="316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450" w:right="4740"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administrative fee between CheckFree Holdings Corporation and CheckFree Management Corporation.</w:t>
      </w:r>
    </w:p>
    <w:p>
      <w:pPr>
        <w:spacing w:after="0" w:line="6" w:lineRule="exact"/>
        <w:rPr>
          <w:rFonts w:ascii="Courier New" w:cs="Courier New" w:eastAsia="Courier New" w:hAnsi="Courier New"/>
          <w:sz w:val="15"/>
          <w:szCs w:val="15"/>
          <w:color w:val="auto"/>
        </w:rPr>
      </w:pPr>
    </w:p>
    <w:p>
      <w:pPr>
        <w:ind w:left="450" w:right="4480" w:hanging="450"/>
        <w:spacing w:after="0" w:line="235"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including the minority interest of CheckFree Management Corporation.</w:t>
      </w:r>
    </w:p>
    <w:p>
      <w:pPr>
        <w:spacing w:after="0" w:line="6" w:lineRule="exact"/>
        <w:rPr>
          <w:rFonts w:ascii="Courier New" w:cs="Courier New" w:eastAsia="Courier New" w:hAnsi="Courier New"/>
          <w:sz w:val="15"/>
          <w:szCs w:val="15"/>
          <w:color w:val="auto"/>
        </w:rPr>
      </w:pPr>
    </w:p>
    <w:p>
      <w:pPr>
        <w:ind w:left="450" w:right="5000" w:hanging="450"/>
        <w:spacing w:after="0" w:line="237" w:lineRule="auto"/>
        <w:tabs>
          <w:tab w:leader="none" w:pos="4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the interest income/expense from the note receivable between CheckFree Corporation, a wholly owned subsidiary of CheckFree Holdings, and CheckFree Management Corporation.</w:t>
      </w:r>
    </w:p>
    <w:p>
      <w:pPr>
        <w:spacing w:after="0" w:line="5" w:lineRule="exact"/>
        <w:rPr>
          <w:rFonts w:ascii="Courier New" w:cs="Courier New" w:eastAsia="Courier New" w:hAnsi="Courier New"/>
          <w:sz w:val="15"/>
          <w:szCs w:val="15"/>
          <w:color w:val="auto"/>
        </w:rPr>
      </w:pPr>
    </w:p>
    <w:p>
      <w:pPr>
        <w:ind w:left="450" w:right="5100" w:hanging="450"/>
        <w:spacing w:after="0" w:line="260" w:lineRule="auto"/>
        <w:tabs>
          <w:tab w:leader="none" w:pos="45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Elimination of the interest income/expense from the claims liability deposit between CheckFree Corporation, a wholly owned subsidiary of CheckFree Holdings, and CheckFree Management Corporation.</w:t>
      </w:r>
    </w:p>
    <w:p>
      <w:pPr>
        <w:spacing w:after="0" w:line="200" w:lineRule="exact"/>
        <w:rPr>
          <w:sz w:val="20"/>
          <w:szCs w:val="20"/>
          <w:color w:val="auto"/>
        </w:rPr>
      </w:pPr>
    </w:p>
    <w:p>
      <w:pPr>
        <w:spacing w:after="0" w:line="296" w:lineRule="exact"/>
        <w:rPr>
          <w:sz w:val="20"/>
          <w:szCs w:val="20"/>
          <w:color w:val="auto"/>
        </w:rPr>
      </w:pPr>
    </w:p>
    <w:p>
      <w:pPr>
        <w:ind w:left="3610"/>
        <w:spacing w:after="0"/>
        <w:rPr>
          <w:sz w:val="20"/>
          <w:szCs w:val="20"/>
          <w:color w:val="auto"/>
        </w:rPr>
      </w:pPr>
      <w:r>
        <w:rPr>
          <w:rFonts w:ascii="Courier New" w:cs="Courier New" w:eastAsia="Courier New" w:hAnsi="Courier New"/>
          <w:sz w:val="15"/>
          <w:szCs w:val="15"/>
          <w:color w:val="auto"/>
        </w:rPr>
        <w:t>CHECKFREE HOLDINGS CORPORATION AND SUBSIDIARIES</w:t>
      </w:r>
    </w:p>
    <w:p>
      <w:pPr>
        <w:ind w:left="4050"/>
        <w:spacing w:after="0"/>
        <w:rPr>
          <w:sz w:val="20"/>
          <w:szCs w:val="20"/>
          <w:color w:val="auto"/>
        </w:rPr>
      </w:pPr>
      <w:r>
        <w:rPr>
          <w:rFonts w:ascii="Courier New" w:cs="Courier New" w:eastAsia="Courier New" w:hAnsi="Courier New"/>
          <w:sz w:val="15"/>
          <w:szCs w:val="15"/>
          <w:color w:val="auto"/>
        </w:rPr>
        <w:t>CONSOLIDATING STATEMENT OF CASH FLOWS</w:t>
      </w:r>
    </w:p>
    <w:p>
      <w:pPr>
        <w:ind w:left="4310"/>
        <w:spacing w:after="0"/>
        <w:rPr>
          <w:sz w:val="20"/>
          <w:szCs w:val="20"/>
          <w:color w:val="auto"/>
        </w:rPr>
      </w:pPr>
      <w:r>
        <w:rPr>
          <w:rFonts w:ascii="Courier New" w:cs="Courier New" w:eastAsia="Courier New" w:hAnsi="Courier New"/>
          <w:sz w:val="15"/>
          <w:szCs w:val="15"/>
          <w:color w:val="auto"/>
        </w:rPr>
        <w:t>NINE MONTHS ENDED MARCH 31, 2000</w:t>
      </w:r>
    </w:p>
    <w:p>
      <w:pPr>
        <w:ind w:left="511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9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Combined</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CheckFree</w:t>
            </w:r>
          </w:p>
        </w:tc>
      </w:tr>
      <w:tr>
        <w:trPr>
          <w:trHeight w:val="170"/>
        </w:trPr>
        <w:tc>
          <w:tcPr>
            <w:tcW w:w="396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CheckFree</w:t>
            </w:r>
          </w:p>
        </w:tc>
        <w:tc>
          <w:tcPr>
            <w:tcW w:w="280" w:type="dxa"/>
            <w:vAlign w:val="bottom"/>
          </w:tcPr>
          <w:p>
            <w:pPr>
              <w:spacing w:after="0"/>
              <w:rPr>
                <w:sz w:val="14"/>
                <w:szCs w:val="1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3"/>
              </w:rPr>
              <w:t>CheckFree</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Wholly-owned</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Holdings</w:t>
            </w:r>
          </w:p>
        </w:tc>
      </w:tr>
      <w:tr>
        <w:trPr>
          <w:trHeight w:val="170"/>
        </w:trPr>
        <w:tc>
          <w:tcPr>
            <w:tcW w:w="3960" w:type="dxa"/>
            <w:vAlign w:val="bottom"/>
          </w:tcPr>
          <w:p>
            <w:pPr>
              <w:spacing w:after="0"/>
              <w:rPr>
                <w:sz w:val="14"/>
                <w:szCs w:val="14"/>
                <w:color w:val="auto"/>
              </w:rPr>
            </w:pPr>
          </w:p>
        </w:tc>
        <w:tc>
          <w:tcPr>
            <w:tcW w:w="1400" w:type="dxa"/>
            <w:vAlign w:val="bottom"/>
          </w:tcPr>
          <w:p>
            <w:pPr>
              <w:ind w:left="260"/>
              <w:spacing w:after="0"/>
              <w:rPr>
                <w:sz w:val="20"/>
                <w:szCs w:val="20"/>
                <w:color w:val="auto"/>
              </w:rPr>
            </w:pPr>
            <w:r>
              <w:rPr>
                <w:rFonts w:ascii="Courier New" w:cs="Courier New" w:eastAsia="Courier New" w:hAnsi="Courier New"/>
                <w:sz w:val="15"/>
                <w:szCs w:val="15"/>
                <w:color w:val="auto"/>
              </w:rPr>
              <w:t>Holdings</w:t>
            </w:r>
          </w:p>
        </w:tc>
        <w:tc>
          <w:tcPr>
            <w:tcW w:w="280" w:type="dxa"/>
            <w:vAlign w:val="bottom"/>
          </w:tcPr>
          <w:p>
            <w:pPr>
              <w:spacing w:after="0"/>
              <w:rPr>
                <w:sz w:val="14"/>
                <w:szCs w:val="1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Management</w:t>
            </w:r>
          </w:p>
        </w:tc>
        <w:tc>
          <w:tcPr>
            <w:tcW w:w="260" w:type="dxa"/>
            <w:vAlign w:val="bottom"/>
          </w:tcPr>
          <w:p>
            <w:pPr>
              <w:spacing w:after="0"/>
              <w:rPr>
                <w:sz w:val="14"/>
                <w:szCs w:val="14"/>
                <w:color w:val="auto"/>
              </w:rPr>
            </w:pPr>
          </w:p>
        </w:tc>
        <w:tc>
          <w:tcPr>
            <w:tcW w:w="14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Guarantor</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Corporation</w:t>
            </w:r>
          </w:p>
        </w:tc>
      </w:tr>
      <w:tr>
        <w:trPr>
          <w:trHeight w:val="170"/>
        </w:trPr>
        <w:tc>
          <w:tcPr>
            <w:tcW w:w="396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Corporation</w:t>
            </w:r>
          </w:p>
        </w:tc>
        <w:tc>
          <w:tcPr>
            <w:tcW w:w="14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Corporation</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Subsidiaries</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Eliminations</w:t>
            </w:r>
          </w:p>
        </w:tc>
        <w:tc>
          <w:tcPr>
            <w:tcW w:w="340" w:type="dxa"/>
            <w:vAlign w:val="bottom"/>
          </w:tcPr>
          <w:p>
            <w:pPr>
              <w:spacing w:after="0"/>
              <w:rPr>
                <w:sz w:val="14"/>
                <w:szCs w:val="14"/>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Consolidated</w:t>
            </w:r>
          </w:p>
        </w:tc>
      </w:tr>
      <w:tr>
        <w:trPr>
          <w:trHeight w:val="170"/>
        </w:trPr>
        <w:tc>
          <w:tcPr>
            <w:tcW w:w="396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(11,778)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(9,238)</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   9,226</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w:t>
            </w: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  (11,778)</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income to net cash provided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by (used in) operating</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Equity in earnings of</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subsidiaries......................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9,228</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(9,228)</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w:t>
            </w:r>
          </w:p>
        </w:tc>
        <w:tc>
          <w:tcPr>
            <w:tcW w:w="14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Net inter-subsidiary cash</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(22,213)</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22,213</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Depreciation and amortization......</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23,789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23,789</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Deferred income tax provision......</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(1,409)</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(5,309)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(6,718)</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Purchases of investments-Trading...</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(15,202)</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(15,202)</w:t>
            </w: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Proceeds from sales and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maturities of investments-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Trading.........................</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18,929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18,929</w:t>
            </w:r>
          </w:p>
        </w:tc>
      </w:tr>
      <w:tr>
        <w:trPr>
          <w:trHeight w:val="170"/>
        </w:trPr>
        <w:tc>
          <w:tcPr>
            <w:tcW w:w="3960" w:type="dxa"/>
            <w:vAlign w:val="bottom"/>
          </w:tcPr>
          <w:p>
            <w:pPr>
              <w:ind w:left="520"/>
              <w:spacing w:after="0"/>
              <w:rPr>
                <w:sz w:val="20"/>
                <w:szCs w:val="20"/>
                <w:color w:val="auto"/>
              </w:rPr>
            </w:pPr>
            <w:r>
              <w:rPr>
                <w:rFonts w:ascii="Courier New" w:cs="Courier New" w:eastAsia="Courier New" w:hAnsi="Courier New"/>
                <w:sz w:val="15"/>
                <w:szCs w:val="15"/>
                <w:color w:val="auto"/>
              </w:rPr>
              <w:t>Change in certain assets and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liabilities (net of acquisitions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ind w:left="780"/>
              <w:spacing w:after="0"/>
              <w:rPr>
                <w:sz w:val="20"/>
                <w:szCs w:val="20"/>
                <w:color w:val="auto"/>
              </w:rPr>
            </w:pPr>
            <w:r>
              <w:rPr>
                <w:rFonts w:ascii="Courier New" w:cs="Courier New" w:eastAsia="Courier New" w:hAnsi="Courier New"/>
                <w:sz w:val="15"/>
                <w:szCs w:val="15"/>
                <w:color w:val="auto"/>
              </w:rPr>
              <w:t>and dispositions):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Accounts receivable..........</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(7,683)</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(7,683)</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Prepaid expenses and other...</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(605)</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(605)</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Other noncurrent assets......</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(278)</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(278)</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Accounts payable.............</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(3,459)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(3,459)</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Accrued liabilities..........</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15,166</w:t>
            </w:r>
          </w:p>
        </w:tc>
        <w:tc>
          <w:tcPr>
            <w:tcW w:w="13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15,168</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Deferred revenues............</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9,443</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9,443</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Income tax accounts..........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1,409</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(1,411)</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Accrued rent and other.......</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943</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943</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Activities...........................</w:t>
            </w:r>
          </w:p>
        </w:tc>
        <w:tc>
          <w:tcPr>
            <w:tcW w:w="14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(24,763)</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47,298</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22,547</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Purchase of property and software.....</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(26,222)</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(26,222)</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Capitalization of software development</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costs..............................</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(5,379)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(5,379)</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Purchase of business, net of cash</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(1,157)</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(1,157)</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Proceeds (principal payments on related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party loan.........................</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1,507</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(1,507)</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w w:val="99"/>
              </w:rPr>
              <w:t>Purchase of investments- Held to Maturity</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(70,747)</w:t>
            </w: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(70,747)</w:t>
            </w:r>
          </w:p>
        </w:tc>
      </w:tr>
      <w:tr>
        <w:trPr>
          <w:trHeight w:val="170"/>
        </w:trPr>
        <w:tc>
          <w:tcPr>
            <w:tcW w:w="39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w:t>
            </w:r>
          </w:p>
        </w:tc>
        <w:tc>
          <w:tcPr>
            <w:tcW w:w="340" w:type="dxa"/>
            <w:vAlign w:val="bottom"/>
          </w:tcPr>
          <w:p>
            <w:pPr>
              <w:spacing w:after="0"/>
              <w:rPr>
                <w:sz w:val="14"/>
                <w:szCs w:val="14"/>
                <w:color w:val="auto"/>
              </w:rPr>
            </w:pPr>
          </w:p>
        </w:tc>
        <w:tc>
          <w:tcPr>
            <w:tcW w:w="140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activities............................</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1,507</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(105,012)</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(103,505)</w:t>
            </w:r>
          </w:p>
        </w:tc>
      </w:tr>
      <w:tr>
        <w:trPr>
          <w:trHeight w:val="339"/>
        </w:trPr>
        <w:tc>
          <w:tcPr>
            <w:tcW w:w="396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3960" w:type="dxa"/>
            <w:vAlign w:val="bottom"/>
          </w:tcPr>
          <w:p>
            <w:pPr>
              <w:ind w:left="260"/>
              <w:spacing w:after="0"/>
              <w:rPr>
                <w:sz w:val="20"/>
                <w:szCs w:val="20"/>
                <w:color w:val="auto"/>
              </w:rPr>
            </w:pPr>
            <w:r>
              <w:rPr>
                <w:rFonts w:ascii="Courier New" w:cs="Courier New" w:eastAsia="Courier New" w:hAnsi="Courier New"/>
                <w:sz w:val="15"/>
                <w:szCs w:val="15"/>
                <w:color w:val="auto"/>
              </w:rPr>
              <w:t>Principal payments on capital lease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obligations........................</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(659)</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(659)</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sale of stock and exercise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of warrants........................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16,093</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16,093</w:t>
            </w:r>
          </w:p>
        </w:tc>
      </w:tr>
      <w:tr>
        <w:trPr>
          <w:trHeight w:val="170"/>
        </w:trPr>
        <w:tc>
          <w:tcPr>
            <w:tcW w:w="3960" w:type="dxa"/>
            <w:vAlign w:val="bottom"/>
          </w:tcPr>
          <w:p>
            <w:pPr>
              <w:ind w:left="160"/>
              <w:spacing w:after="0"/>
              <w:rPr>
                <w:sz w:val="20"/>
                <w:szCs w:val="20"/>
                <w:color w:val="auto"/>
              </w:rPr>
            </w:pPr>
            <w:r>
              <w:rPr>
                <w:rFonts w:ascii="Courier New" w:cs="Courier New" w:eastAsia="Courier New" w:hAnsi="Courier New"/>
                <w:sz w:val="15"/>
                <w:szCs w:val="15"/>
                <w:color w:val="auto"/>
              </w:rPr>
              <w:t>Proceeds from issuance of convertible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subordinated notes.................</w:t>
            </w:r>
          </w:p>
        </w:tc>
        <w:tc>
          <w:tcPr>
            <w:tcW w:w="140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8"/>
              </w:rPr>
              <w:t>166,903</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166,903</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Proceeds from stock options exercised,</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including related tax benefits.....</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9,034</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9,034</w:t>
            </w: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Proceeds from employee stock  purchase</w:t>
            </w:r>
          </w:p>
        </w:tc>
        <w:tc>
          <w:tcPr>
            <w:tcW w:w="1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3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plan...............................</w:t>
            </w:r>
          </w:p>
        </w:tc>
        <w:tc>
          <w:tcPr>
            <w:tcW w:w="140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88"/>
              </w:rPr>
              <w:t>-</w:t>
            </w:r>
          </w:p>
        </w:tc>
        <w:tc>
          <w:tcPr>
            <w:tcW w:w="280" w:type="dxa"/>
            <w:vAlign w:val="bottom"/>
          </w:tcPr>
          <w:p>
            <w:pPr>
              <w:spacing w:after="0"/>
              <w:rPr>
                <w:sz w:val="14"/>
                <w:szCs w:val="1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4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2,184</w:t>
            </w: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2,184</w:t>
            </w:r>
          </w:p>
        </w:tc>
      </w:tr>
    </w:tbl>
    <w:p>
      <w:pPr>
        <w:sectPr>
          <w:pgSz w:w="11900" w:h="16838" w:orient="portrait"/>
          <w:cols w:equalWidth="0" w:num="1">
            <w:col w:w="11530"/>
          </w:cols>
          <w:pgMar w:left="230" w:top="136" w:right="139" w:bottom="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Proceeds from (funding of) assumption of</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health plan claims..................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(1,899)</w:t>
            </w:r>
          </w:p>
        </w:tc>
        <w:tc>
          <w:tcPr>
            <w:tcW w:w="4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1,899</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Capital contribution to subsidiary.....</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(167,325)</w:t>
            </w: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167,325</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Loan from related party...............</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w:t>
            </w:r>
          </w:p>
        </w:tc>
        <w:tc>
          <w:tcPr>
            <w:tcW w:w="440" w:type="dxa"/>
            <w:vAlign w:val="bottom"/>
          </w:tcPr>
          <w:p>
            <w:pPr>
              <w:spacing w:after="0"/>
              <w:rPr>
                <w:sz w:val="14"/>
                <w:szCs w:val="1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(90)</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88"/>
              </w:rPr>
              <w:t>-</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activities............................</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24,705</w:t>
            </w:r>
          </w:p>
        </w:tc>
        <w:tc>
          <w:tcPr>
            <w:tcW w:w="50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(1,809)</w:t>
            </w:r>
          </w:p>
        </w:tc>
        <w:tc>
          <w:tcPr>
            <w:tcW w:w="4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170,659</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193,555</w:t>
            </w:r>
          </w:p>
        </w:tc>
      </w:tr>
      <w:tr>
        <w:trPr>
          <w:trHeight w:val="339"/>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equivalents...........................</w:t>
            </w:r>
          </w:p>
        </w:tc>
        <w:tc>
          <w:tcPr>
            <w:tcW w:w="540" w:type="dxa"/>
            <w:vAlign w:val="bottom"/>
          </w:tcPr>
          <w:p>
            <w:pPr>
              <w:spacing w:after="0"/>
              <w:rPr>
                <w:sz w:val="14"/>
                <w:szCs w:val="1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spacing w:after="0"/>
              <w:rPr>
                <w:sz w:val="14"/>
                <w:szCs w:val="14"/>
                <w:color w:val="auto"/>
              </w:rPr>
            </w:pP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(290)</w:t>
            </w:r>
          </w:p>
        </w:tc>
        <w:tc>
          <w:tcPr>
            <w:tcW w:w="4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112,945</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left="147"/>
              <w:spacing w:after="0"/>
              <w:rPr>
                <w:sz w:val="20"/>
                <w:szCs w:val="20"/>
                <w:color w:val="auto"/>
              </w:rPr>
            </w:pPr>
            <w:r>
              <w:rPr>
                <w:rFonts w:ascii="Courier New" w:cs="Courier New" w:eastAsia="Courier New" w:hAnsi="Courier New"/>
                <w:sz w:val="15"/>
                <w:szCs w:val="15"/>
                <w:color w:val="auto"/>
                <w:w w:val="98"/>
              </w:rPr>
              <w:t>112,597</w:t>
            </w:r>
          </w:p>
        </w:tc>
      </w:tr>
      <w:tr>
        <w:trPr>
          <w:trHeight w:val="170"/>
        </w:trPr>
        <w:tc>
          <w:tcPr>
            <w:tcW w:w="386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Beginning of period...................</w:t>
            </w:r>
          </w:p>
        </w:tc>
        <w:tc>
          <w:tcPr>
            <w:tcW w:w="5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120</w:t>
            </w:r>
          </w:p>
        </w:tc>
        <w:tc>
          <w:tcPr>
            <w:tcW w:w="500" w:type="dxa"/>
            <w:vAlign w:val="bottom"/>
          </w:tcPr>
          <w:p>
            <w:pPr>
              <w:spacing w:after="0"/>
              <w:rPr>
                <w:sz w:val="14"/>
                <w:szCs w:val="14"/>
                <w:color w:val="auto"/>
              </w:rPr>
            </w:pP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291</w:t>
            </w:r>
          </w:p>
        </w:tc>
        <w:tc>
          <w:tcPr>
            <w:tcW w:w="4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12,035</w:t>
            </w:r>
          </w:p>
        </w:tc>
        <w:tc>
          <w:tcPr>
            <w:tcW w:w="520" w:type="dxa"/>
            <w:vAlign w:val="bottom"/>
          </w:tcPr>
          <w:p>
            <w:pPr>
              <w:spacing w:after="0"/>
              <w:rPr>
                <w:sz w:val="14"/>
                <w:szCs w:val="14"/>
                <w:color w:val="auto"/>
              </w:rPr>
            </w:pP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12,446</w:t>
            </w:r>
          </w:p>
        </w:tc>
      </w:tr>
      <w:tr>
        <w:trPr>
          <w:trHeight w:val="170"/>
        </w:trPr>
        <w:tc>
          <w:tcPr>
            <w:tcW w:w="386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3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End of period.........................</w:t>
            </w:r>
          </w:p>
        </w:tc>
        <w:tc>
          <w:tcPr>
            <w:tcW w:w="5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5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124,980</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125,043</w:t>
            </w:r>
          </w:p>
        </w:tc>
      </w:tr>
      <w:tr>
        <w:trPr>
          <w:trHeight w:val="170"/>
        </w:trPr>
        <w:tc>
          <w:tcPr>
            <w:tcW w:w="3860" w:type="dxa"/>
            <w:vAlign w:val="bottom"/>
          </w:tcPr>
          <w:p>
            <w:pPr>
              <w:spacing w:after="0"/>
              <w:rPr>
                <w:sz w:val="14"/>
                <w:szCs w:val="14"/>
                <w:color w:val="auto"/>
              </w:rPr>
            </w:pPr>
          </w:p>
        </w:tc>
        <w:tc>
          <w:tcPr>
            <w:tcW w:w="15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10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rPr>
              <w:t>=============== =================</w:t>
            </w:r>
          </w:p>
        </w:tc>
        <w:tc>
          <w:tcPr>
            <w:tcW w:w="15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left="10" w:right="4560" w:hanging="10"/>
        <w:spacing w:after="0" w:line="235" w:lineRule="auto"/>
        <w:tabs>
          <w:tab w:leader="none" w:pos="362"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CheckFree Holdings investment in subsidiaries, including the minority interest of CheckFree Management Corporation.</w:t>
      </w:r>
    </w:p>
    <w:p>
      <w:pPr>
        <w:spacing w:after="0" w:line="176" w:lineRule="exact"/>
        <w:rPr>
          <w:sz w:val="20"/>
          <w:szCs w:val="20"/>
          <w:color w:val="auto"/>
        </w:rPr>
      </w:pPr>
    </w:p>
    <w:p>
      <w:pPr>
        <w:ind w:left="10" w:right="4920"/>
        <w:spacing w:after="0" w:line="235" w:lineRule="auto"/>
        <w:rPr>
          <w:sz w:val="20"/>
          <w:szCs w:val="20"/>
          <w:color w:val="auto"/>
        </w:rPr>
      </w:pPr>
      <w:r>
        <w:rPr>
          <w:rFonts w:ascii="Courier New" w:cs="Courier New" w:eastAsia="Courier New" w:hAnsi="Courier New"/>
          <w:sz w:val="15"/>
          <w:szCs w:val="15"/>
          <w:color w:val="auto"/>
        </w:rPr>
        <w:t>The following table represents the equity structure of CheckFree Management Corporation as of March 31, 2000: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610" w:type="dxa"/>
        <w:tblCellMar>
          <w:top w:w="0" w:type="dxa"/>
          <w:left w:w="0" w:type="dxa"/>
          <w:bottom w:w="0" w:type="dxa"/>
          <w:right w:w="0" w:type="dxa"/>
        </w:tblCellMar>
      </w:tblPr>
      <w:tr>
        <w:trPr>
          <w:trHeight w:val="170"/>
        </w:trPr>
        <w:tc>
          <w:tcPr>
            <w:tcW w:w="732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Class C,  350 authorized shares, $100  par value;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350 shares issued and outstanding....................................</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35,700</w:t>
            </w:r>
          </w:p>
        </w:tc>
      </w:tr>
      <w:tr>
        <w:trPr>
          <w:trHeight w:val="170"/>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Class D, 750 authorized shares, $100 par value; 750 shares issued</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and outstanding......................................................</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76,500</w:t>
            </w:r>
          </w:p>
        </w:tc>
      </w:tr>
      <w:tr>
        <w:trPr>
          <w:trHeight w:val="170"/>
        </w:trPr>
        <w:tc>
          <w:tcPr>
            <w:tcW w:w="73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320" w:type="dxa"/>
            <w:vAlign w:val="bottom"/>
          </w:tcPr>
          <w:p>
            <w:pPr>
              <w:jc w:val="right"/>
              <w:ind w:right="2647"/>
              <w:spacing w:after="0"/>
              <w:rPr>
                <w:sz w:val="20"/>
                <w:szCs w:val="20"/>
                <w:color w:val="auto"/>
              </w:rPr>
            </w:pPr>
            <w:r>
              <w:rPr>
                <w:rFonts w:ascii="Courier New" w:cs="Courier New" w:eastAsia="Courier New" w:hAnsi="Courier New"/>
                <w:sz w:val="15"/>
                <w:szCs w:val="15"/>
                <w:color w:val="auto"/>
              </w:rPr>
              <w:t>Total redeemable preferred stock</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112,200</w:t>
            </w:r>
          </w:p>
        </w:tc>
      </w:tr>
      <w:tr>
        <w:trPr>
          <w:trHeight w:val="170"/>
        </w:trPr>
        <w:tc>
          <w:tcPr>
            <w:tcW w:w="73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73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0"/>
        </w:trPr>
        <w:tc>
          <w:tcPr>
            <w:tcW w:w="7320" w:type="dxa"/>
            <w:vAlign w:val="bottom"/>
          </w:tcPr>
          <w:p>
            <w:pPr>
              <w:ind w:left="440"/>
              <w:spacing w:after="0"/>
              <w:rPr>
                <w:sz w:val="20"/>
                <w:szCs w:val="20"/>
                <w:color w:val="auto"/>
              </w:rPr>
            </w:pPr>
            <w:r>
              <w:rPr>
                <w:rFonts w:ascii="Courier New" w:cs="Courier New" w:eastAsia="Courier New" w:hAnsi="Courier New"/>
                <w:sz w:val="15"/>
                <w:szCs w:val="15"/>
                <w:color w:val="auto"/>
              </w:rPr>
              <w:t>Preferred stock- Class B, 600 authorized shares, $100 par value;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600 shares issued, no amounts outstanding............................</w:t>
            </w:r>
          </w:p>
        </w:tc>
        <w:tc>
          <w:tcPr>
            <w:tcW w:w="700" w:type="dxa"/>
            <w:vAlign w:val="bottom"/>
          </w:tcPr>
          <w:p>
            <w:pPr>
              <w:spacing w:after="0"/>
              <w:rPr>
                <w:sz w:val="14"/>
                <w:szCs w:val="14"/>
                <w:color w:val="auto"/>
              </w:rPr>
            </w:pPr>
          </w:p>
        </w:tc>
        <w:tc>
          <w:tcPr>
            <w:tcW w:w="7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70"/>
        </w:trPr>
        <w:tc>
          <w:tcPr>
            <w:tcW w:w="732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Common stock- Class A, 1,900 authorized shares, $100 par value;</w:t>
            </w: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1,900 shares issued and outstanding..................................</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190,000</w:t>
            </w: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Retained earnings.......................................................</w:t>
            </w:r>
          </w:p>
        </w:tc>
        <w:tc>
          <w:tcPr>
            <w:tcW w:w="7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49,480</w:t>
            </w:r>
          </w:p>
        </w:tc>
      </w:tr>
      <w:tr>
        <w:trPr>
          <w:trHeight w:val="170"/>
        </w:trPr>
        <w:tc>
          <w:tcPr>
            <w:tcW w:w="732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Total stockholders' equity...............................</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239,480</w:t>
            </w:r>
          </w:p>
        </w:tc>
      </w:tr>
    </w:tbl>
    <w:p>
      <w:pPr>
        <w:jc w:val="right"/>
        <w:ind w:right="2180"/>
        <w:spacing w:after="0"/>
        <w:rPr>
          <w:sz w:val="20"/>
          <w:szCs w:val="20"/>
          <w:color w:val="auto"/>
        </w:rPr>
      </w:pPr>
      <w:r>
        <w:rPr>
          <w:rFonts w:ascii="Courier New" w:cs="Courier New" w:eastAsia="Courier New" w:hAnsi="Courier New"/>
          <w:sz w:val="15"/>
          <w:szCs w:val="15"/>
          <w:color w:val="auto"/>
        </w:rPr>
        <w:t>==========</w:t>
      </w:r>
    </w:p>
    <w:p>
      <w:pPr>
        <w:spacing w:after="0" w:line="344" w:lineRule="exact"/>
        <w:rPr>
          <w:sz w:val="20"/>
          <w:szCs w:val="20"/>
          <w:color w:val="auto"/>
        </w:rPr>
      </w:pPr>
    </w:p>
    <w:p>
      <w:pPr>
        <w:ind w:left="10" w:right="4480"/>
        <w:spacing w:after="0" w:line="257" w:lineRule="auto"/>
        <w:rPr>
          <w:sz w:val="20"/>
          <w:szCs w:val="20"/>
          <w:color w:val="auto"/>
        </w:rPr>
      </w:pPr>
      <w:r>
        <w:rPr>
          <w:rFonts w:ascii="Courier New" w:cs="Courier New" w:eastAsia="Courier New" w:hAnsi="Courier New"/>
          <w:sz w:val="14"/>
          <w:szCs w:val="14"/>
          <w:color w:val="auto"/>
        </w:rPr>
        <w:t>Redeemable Preferred Stock - The holders are entitled to receive dividends before any dividend is declared or paid on shares of Class A Common Stock. Such dividends are cumulative and are payable at times determined by the CheckFree Management Corporation's Board of Directors. The holders are entitled to one vote per share and each class has certain rights with respect to election of the Company's Board of Directors. On or after January 1, 2004, the Company may, at its option, redeem the shares of Class C and Class D preferred stock for cash, the amount of which is determined by the "Formula Value", plus any accrued but unpaid dividends. The "Formula Value" provides for the price to be par value plus a percentage of the increase in the Company valuation from the inception date, not to exceed a per share price of $500. On or after January 1, 2005, the holders of Class C and Class D preferred stock may require the Company to redeem their shares for cash, the amount of which is determined by the Formula Value defined above, plus any accrued but unpaid dividends. At March 31, 2000 the redemption value of the preferred stock is approximately equal to its carrying value. In the event of liquidation, dissolution or winding up of the Company, holders of Class C and Class D preferred stock are entitled to receive, prior to and in preference to any distributions to the holders of Class B preferred stock or Class A common stock, an amount determined by the Formula Value, plus any accrued but unpaid dividends.</w:t>
      </w:r>
    </w:p>
    <w:p>
      <w:pPr>
        <w:spacing w:after="0" w:line="333" w:lineRule="exact"/>
        <w:rPr>
          <w:sz w:val="20"/>
          <w:szCs w:val="20"/>
          <w:color w:val="auto"/>
        </w:rPr>
      </w:pPr>
    </w:p>
    <w:p>
      <w:pPr>
        <w:ind w:left="10" w:right="4480"/>
        <w:spacing w:after="0" w:line="238" w:lineRule="auto"/>
        <w:rPr>
          <w:sz w:val="20"/>
          <w:szCs w:val="20"/>
          <w:color w:val="auto"/>
        </w:rPr>
      </w:pPr>
      <w:r>
        <w:rPr>
          <w:rFonts w:ascii="Courier New" w:cs="Courier New" w:eastAsia="Courier New" w:hAnsi="Courier New"/>
          <w:sz w:val="15"/>
          <w:szCs w:val="15"/>
          <w:color w:val="auto"/>
        </w:rPr>
        <w:t>Capital Stock - Holders of class A Common Stock are entitled to one vote per share and have certain rights with respect to election of the Company's Board of Directors. The holders of Class B, Preferred Stock have certain additional rights, privileges and preferences. The holders are entitled to one vote per share and each class has certain rights with respect to election of the Company's Board of Directors. The holders are entitled to receive dividends before any dividend is declared or paid on shares of Class A Common Stock. Such dividends are cumulative and are payable at times determined by the Board of Directors. In the event of liquidation, dissolution or winding up of the Company, subject to the redeemable preferred stock preferences, holders of Class B preferred stock are entitled to receive an amount equal to the par value plus any accrued but unpaid dividends.</w:t>
      </w:r>
    </w:p>
    <w:p>
      <w:pPr>
        <w:spacing w:after="0" w:line="182" w:lineRule="exact"/>
        <w:rPr>
          <w:sz w:val="20"/>
          <w:szCs w:val="20"/>
          <w:color w:val="auto"/>
        </w:rPr>
      </w:pPr>
    </w:p>
    <w:p>
      <w:pPr>
        <w:ind w:left="10" w:right="4480"/>
        <w:spacing w:after="0" w:line="238" w:lineRule="auto"/>
        <w:rPr>
          <w:sz w:val="20"/>
          <w:szCs w:val="20"/>
          <w:color w:val="auto"/>
        </w:rPr>
      </w:pPr>
      <w:r>
        <w:rPr>
          <w:rFonts w:ascii="Courier New" w:cs="Courier New" w:eastAsia="Courier New" w:hAnsi="Courier New"/>
          <w:sz w:val="15"/>
          <w:szCs w:val="15"/>
          <w:color w:val="auto"/>
        </w:rPr>
        <w:t>In December 1998, the Company entered into a Stockholders' Agreement with each holder of common and preferred stock. The agreement restricts the sale or transfer of any shares of stock without express written consent of all stockholders. In addition, the agreement provides that the holder of the Class A Common Stock, CheckFree Holdings, is subject to capital calls when and if the Board of Directors determines that the Company will have a cash shortfall for any quarter. Through December 31,1999, no additional capital contributions were required.</w:t>
      </w:r>
    </w:p>
    <w:p>
      <w:pPr>
        <w:sectPr>
          <w:pgSz w:w="11900" w:h="16838" w:orient="portrait"/>
          <w:cols w:equalWidth="0" w:num="1">
            <w:col w:w="11530"/>
          </w:cols>
          <w:pgMar w:left="230" w:top="136" w:right="139" w:bottom="882" w:gutter="0" w:footer="0" w:header="0"/>
        </w:sectPr>
      </w:pPr>
    </w:p>
    <w:p>
      <w:pPr>
        <w:spacing w:after="0" w:line="341"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30"/>
          </w:cols>
          <w:pgMar w:left="230" w:top="136" w:right="139" w:bottom="882"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14" w:lineRule="exact"/>
        <w:rPr>
          <w:sz w:val="20"/>
          <w:szCs w:val="20"/>
          <w:color w:val="auto"/>
        </w:rPr>
      </w:pPr>
    </w:p>
    <w:p>
      <w:pPr>
        <w:ind w:left="700" w:right="3979" w:hanging="704"/>
        <w:spacing w:after="0" w:line="235"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5"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We are the leading provider of electronic billing and payment services.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69" w:lineRule="exact"/>
        <w:rPr>
          <w:sz w:val="20"/>
          <w:szCs w:val="20"/>
          <w:color w:val="auto"/>
        </w:rPr>
      </w:pPr>
    </w:p>
    <w:p>
      <w:pPr>
        <w:ind w:left="1580" w:hanging="796"/>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Our Electronic Commerce business provides services that allow consumers</w:t>
      </w:r>
    </w:p>
    <w:p>
      <w:pPr>
        <w:spacing w:after="0"/>
        <w:rPr>
          <w:sz w:val="20"/>
          <w:szCs w:val="20"/>
          <w:color w:val="auto"/>
        </w:rPr>
      </w:pPr>
      <w:r>
        <w:rPr>
          <w:rFonts w:ascii="Courier New" w:cs="Courier New" w:eastAsia="Courier New" w:hAnsi="Courier New"/>
          <w:sz w:val="15"/>
          <w:szCs w:val="15"/>
          <w:color w:val="auto"/>
        </w:rPr>
        <w:t>to:</w:t>
      </w:r>
    </w:p>
    <w:p>
      <w:pPr>
        <w:spacing w:after="0" w:line="169" w:lineRule="exact"/>
        <w:rPr>
          <w:sz w:val="20"/>
          <w:szCs w:val="20"/>
          <w:color w:val="auto"/>
        </w:rPr>
      </w:pPr>
    </w:p>
    <w:p>
      <w:pPr>
        <w:ind w:left="1580" w:hanging="796"/>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1580" w:right="3439" w:hanging="796"/>
        <w:spacing w:after="0" w:line="237" w:lineRule="auto"/>
        <w:tabs>
          <w:tab w:leader="none" w:pos="15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customary banking transactions, including balance inquiries, transfers between accounts and on-line statement reconciliation's.</w:t>
      </w:r>
    </w:p>
    <w:p>
      <w:pPr>
        <w:spacing w:after="0" w:line="175"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3.3 million consumers. Our services are available through over 350 sources, including:</w:t>
      </w:r>
    </w:p>
    <w:p>
      <w:pPr>
        <w:spacing w:after="0" w:line="169" w:lineRule="exact"/>
        <w:rPr>
          <w:sz w:val="20"/>
          <w:szCs w:val="20"/>
          <w:color w:val="auto"/>
        </w:rPr>
      </w:pPr>
    </w:p>
    <w:p>
      <w:pPr>
        <w:ind w:left="1580" w:hanging="796"/>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banks in the United States;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brokerage firms in the Unites States;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such as Quicken.com; and</w:t>
      </w:r>
    </w:p>
    <w:p>
      <w:pPr>
        <w:spacing w:after="0" w:line="174" w:lineRule="exact"/>
        <w:rPr>
          <w:rFonts w:ascii="Courier New" w:cs="Courier New" w:eastAsia="Courier New" w:hAnsi="Courier New"/>
          <w:sz w:val="15"/>
          <w:szCs w:val="15"/>
          <w:color w:val="auto"/>
        </w:rPr>
      </w:pPr>
    </w:p>
    <w:p>
      <w:pPr>
        <w:ind w:left="1580" w:right="3539" w:hanging="796"/>
        <w:spacing w:after="0" w:line="235" w:lineRule="auto"/>
        <w:tabs>
          <w:tab w:leader="none" w:pos="15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such as Quicken and Microsoft Money.</w:t>
      </w:r>
    </w:p>
    <w:p>
      <w:pPr>
        <w:spacing w:after="0" w:line="176"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have developed contracts with over 1,100 merchants nationwide that enable us to remit in excess of 50% of all of our bill payments electronically. During the three-month period ended March 31, 2000, we processed an average of nearly 15 million transactions per month and for the year ended June 30, 1999, we processed more than 125 million transactions.</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information as well as marketing materials to their customers electronically over the Internet. Through March 2000, we have placed 76 billers into production and are now delivering in excess of 62,000 electronic bills monthly through E-Bill. We derive revenue from our billers on a per bill presented basis.</w:t>
      </w:r>
    </w:p>
    <w:p>
      <w:pPr>
        <w:spacing w:after="0" w:line="176" w:lineRule="exact"/>
        <w:rPr>
          <w:sz w:val="20"/>
          <w:szCs w:val="20"/>
          <w:color w:val="auto"/>
        </w:rPr>
      </w:pPr>
    </w:p>
    <w:p>
      <w:pPr>
        <w:ind w:right="3359" w:firstLine="793"/>
        <w:spacing w:after="0" w:line="258" w:lineRule="auto"/>
        <w:rPr>
          <w:sz w:val="20"/>
          <w:szCs w:val="20"/>
          <w:color w:val="auto"/>
        </w:rPr>
      </w:pPr>
      <w:r>
        <w:rPr>
          <w:rFonts w:ascii="Courier New" w:cs="Courier New" w:eastAsia="Courier New" w:hAnsi="Courier New"/>
          <w:sz w:val="14"/>
          <w:szCs w:val="14"/>
          <w:color w:val="auto"/>
        </w:rPr>
        <w:t>Currently, 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w:t>
      </w:r>
    </w:p>
    <w:p>
      <w:pPr>
        <w:spacing w:after="0" w:line="16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If the results of the credit analysis are favorable, we will assume the risk of collection of the funds from the customer's account, and if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a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 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 Since June 1998, we have increased our electronic payments ratio from 32% of total payments processed to 56% by March 2000.</w:t>
      </w:r>
    </w:p>
    <w:p>
      <w:pPr>
        <w:sectPr>
          <w:pgSz w:w="11900" w:h="16838" w:orient="portrait"/>
          <w:cols w:equalWidth="0" w:num="1">
            <w:col w:w="10219"/>
          </w:cols>
          <w:pgMar w:left="240" w:top="283" w:right="1440" w:bottom="10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3" w:right="1440" w:bottom="1074"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10</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Our traditional financial institution pricing structure was based primarily on subscriber fees, which grew roughly proportionally to the number of subscribers added, regardless of activity. During fiscal 2000, we announced a new pricing structure available to our largest financial institution customers. The new pricing program includes a fee per transaction processed, a small per subscriber fee and a fixed monthly fee to cover our infrastructure costs. Both programs provide for monthly minimum fees. Until we see significant increases in the number of electronic billing and payment customers enrolling through financial institutions, we do not anticipate that this pricing change will have a significant impact on our revenues. Once the subscriber growth rates begin to accelerate and financial institutions adopt the new pricing program, revenue growth will become more dependent upon customer usage of our services. As of March 31, 2000, only two financial institutions had adopted the new pricing program.</w:t>
      </w:r>
    </w:p>
    <w:p>
      <w:pPr>
        <w:spacing w:after="0" w:line="18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w:t>
      </w:r>
    </w:p>
    <w:p>
      <w:pPr>
        <w:spacing w:after="0" w:line="17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portfolio management systems solution includes:</w:t>
      </w:r>
    </w:p>
    <w:p>
      <w:pPr>
        <w:spacing w:after="0" w:line="169" w:lineRule="exact"/>
        <w:rPr>
          <w:sz w:val="20"/>
          <w:szCs w:val="20"/>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processing.</w:t>
      </w:r>
    </w:p>
    <w:p>
      <w:pPr>
        <w:spacing w:after="0" w:line="169"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69" w:lineRule="exact"/>
        <w:rPr>
          <w:sz w:val="20"/>
          <w:szCs w:val="20"/>
          <w:color w:val="auto"/>
        </w:rPr>
      </w:pPr>
    </w:p>
    <w:p>
      <w:pPr>
        <w:ind w:left="1580" w:hanging="796"/>
        <w:spacing w:after="0"/>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asset allocation module; and</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investment manager performance database system.</w:t>
      </w:r>
    </w:p>
    <w:p>
      <w:pPr>
        <w:spacing w:after="0" w:line="34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71" w:lineRule="exact"/>
        <w:rPr>
          <w:sz w:val="20"/>
          <w:szCs w:val="20"/>
          <w:color w:val="auto"/>
        </w:rPr>
      </w:pPr>
    </w:p>
    <w:p>
      <w:pPr>
        <w:ind w:left="1580" w:hanging="796"/>
        <w:spacing w:after="0"/>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Funds Transfer.</w:t>
      </w:r>
    </w:p>
    <w:p>
      <w:pPr>
        <w:spacing w:after="0" w:line="174" w:lineRule="exact"/>
        <w:rPr>
          <w:rFonts w:ascii="Courier New" w:cs="Courier New" w:eastAsia="Courier New" w:hAnsi="Courier New"/>
          <w:sz w:val="15"/>
          <w:szCs w:val="15"/>
          <w:color w:val="auto"/>
        </w:rPr>
      </w:pPr>
    </w:p>
    <w:p>
      <w:pPr>
        <w:ind w:left="1580" w:right="31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transactions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website at http://www.federalreserve.gov. We do not maintain a direct connection with the automated clearinghouse, but rather, clear our transactions through KeyBank, N.A., under the terms of an automated clearinghouse agreement.</w:t>
      </w:r>
    </w:p>
    <w:p>
      <w:pPr>
        <w:spacing w:after="0" w:line="169" w:lineRule="exact"/>
        <w:rPr>
          <w:rFonts w:ascii="Courier New" w:cs="Courier New" w:eastAsia="Courier New" w:hAnsi="Courier New"/>
          <w:sz w:val="15"/>
          <w:szCs w:val="15"/>
          <w:color w:val="auto"/>
        </w:rPr>
      </w:pPr>
    </w:p>
    <w:p>
      <w:pPr>
        <w:ind w:left="1580" w:hanging="796"/>
        <w:spacing w:after="0"/>
        <w:tabs>
          <w:tab w:leader="none" w:pos="15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4" w:lineRule="exact"/>
        <w:rPr>
          <w:rFonts w:ascii="Courier New" w:cs="Courier New" w:eastAsia="Courier New" w:hAnsi="Courier New"/>
          <w:sz w:val="15"/>
          <w:szCs w:val="15"/>
          <w:color w:val="auto"/>
        </w:rPr>
      </w:pPr>
    </w:p>
    <w:p>
      <w:pPr>
        <w:ind w:left="1580" w:right="335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our RECON-PLUS software, we provide United States banks, international banks and corporate treasury operations with automated check and non-check reconciliations in high volume, multi-location environments. Some of the services provided by ReconPlus are automated deposit</w:t>
      </w:r>
    </w:p>
    <w:p>
      <w:pPr>
        <w:sectPr>
          <w:pgSz w:w="11900" w:h="16838" w:orient="portrait"/>
          <w:cols w:equalWidth="0" w:num="1">
            <w:col w:w="10219"/>
          </w:cols>
          <w:pgMar w:left="240" w:top="283" w:right="1440" w:bottom="90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3" w:right="1440" w:bottom="904"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left="1580" w:right="520"/>
        <w:spacing w:after="0" w:line="237" w:lineRule="auto"/>
        <w:rPr>
          <w:sz w:val="20"/>
          <w:szCs w:val="20"/>
          <w:color w:val="auto"/>
        </w:rPr>
      </w:pPr>
      <w:r>
        <w:rPr>
          <w:rFonts w:ascii="Courier New" w:cs="Courier New" w:eastAsia="Courier New" w:hAnsi="Courier New"/>
          <w:sz w:val="15"/>
          <w:szCs w:val="15"/>
          <w:color w:val="auto"/>
        </w:rPr>
        <w:t>verification, consolidated bank account reconciliation and cash mobilization, immediate and accurate funds availability data and improved cash control.</w:t>
      </w:r>
    </w:p>
    <w:p>
      <w:pPr>
        <w:spacing w:after="0" w:line="169" w:lineRule="exact"/>
        <w:rPr>
          <w:sz w:val="20"/>
          <w:szCs w:val="20"/>
          <w:color w:val="auto"/>
        </w:rPr>
      </w:pPr>
    </w:p>
    <w:p>
      <w:pPr>
        <w:ind w:left="1580" w:hanging="796"/>
        <w:spacing w:after="0"/>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t>
      </w:r>
    </w:p>
    <w:p>
      <w:pPr>
        <w:spacing w:after="0" w:line="174" w:lineRule="exact"/>
        <w:rPr>
          <w:rFonts w:ascii="Courier New" w:cs="Courier New" w:eastAsia="Courier New" w:hAnsi="Courier New"/>
          <w:sz w:val="15"/>
          <w:szCs w:val="15"/>
          <w:color w:val="auto"/>
        </w:rPr>
      </w:pPr>
    </w:p>
    <w:p>
      <w:pPr>
        <w:ind w:left="1580" w:right="1040"/>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We also provide software solutions such as regulatory compliance software for Form 1099 processing, safe box accounting and other applications.</w:t>
      </w:r>
    </w:p>
    <w:p>
      <w:pPr>
        <w:spacing w:after="0" w:line="163" w:lineRule="exact"/>
        <w:rPr>
          <w:sz w:val="20"/>
          <w:szCs w:val="20"/>
          <w:color w:val="auto"/>
        </w:rPr>
      </w:pPr>
    </w:p>
    <w:p>
      <w:pPr>
        <w:ind w:right="780" w:firstLine="793"/>
        <w:spacing w:after="0" w:line="237"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5" w:lineRule="exact"/>
        <w:rPr>
          <w:sz w:val="20"/>
          <w:szCs w:val="20"/>
          <w:color w:val="auto"/>
        </w:rPr>
      </w:pPr>
    </w:p>
    <w:p>
      <w:pPr>
        <w:ind w:right="340" w:firstLine="793"/>
        <w:spacing w:after="0" w:line="238" w:lineRule="auto"/>
        <w:rPr>
          <w:sz w:val="20"/>
          <w:szCs w:val="20"/>
          <w:color w:val="auto"/>
        </w:rPr>
      </w:pPr>
      <w:r>
        <w:rPr>
          <w:rFonts w:ascii="Courier New" w:cs="Courier New" w:eastAsia="Courier New" w:hAnsi="Courier New"/>
          <w:sz w:val="15"/>
          <w:szCs w:val="15"/>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Mobius Group, Inc. in March 1999, and BlueGill Technologies, Inc. in April 2000. On February 15, 2000 we announced the planned acquisition of MSFDC, L.L.C (TransPoint), and expect this transaction to close in the quarter ended September 30, 2000.</w:t>
      </w:r>
    </w:p>
    <w:p>
      <w:pPr>
        <w:spacing w:after="0" w:line="178" w:lineRule="exact"/>
        <w:rPr>
          <w:sz w:val="20"/>
          <w:szCs w:val="20"/>
          <w:color w:val="auto"/>
        </w:rPr>
      </w:pPr>
    </w:p>
    <w:p>
      <w:pPr>
        <w:ind w:right="520" w:firstLine="793"/>
        <w:spacing w:after="0" w:line="257"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receiver offers for them from time to time.</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5" w:lineRule="exact"/>
        <w:rPr>
          <w:sz w:val="20"/>
          <w:szCs w:val="20"/>
          <w:color w:val="auto"/>
        </w:rPr>
      </w:pPr>
    </w:p>
    <w:p>
      <w:pPr>
        <w:ind w:right="600" w:firstLine="793"/>
        <w:spacing w:after="0" w:line="235"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00" w:type="dxa"/>
            <w:vAlign w:val="bottom"/>
          </w:tcPr>
          <w:p>
            <w:pPr>
              <w:spacing w:after="0"/>
              <w:rPr>
                <w:sz w:val="14"/>
                <w:szCs w:val="14"/>
                <w:color w:val="auto"/>
              </w:rPr>
            </w:pPr>
          </w:p>
        </w:tc>
        <w:tc>
          <w:tcPr>
            <w:tcW w:w="27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4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6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Total Revenues: ............................</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100.0%</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100.0%</w:t>
            </w:r>
          </w:p>
        </w:tc>
      </w:tr>
      <w:tr>
        <w:trPr>
          <w:trHeight w:val="339"/>
        </w:trPr>
        <w:tc>
          <w:tcPr>
            <w:tcW w:w="440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3"/>
              </w:rPr>
              <w:t>Expenses:</w:t>
            </w: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Cost of processing, servicing and support</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57.4</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58.7</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Research and development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7.0</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Sales and marketing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13.7</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General and administrative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12.0</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Depreciation and amortization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9.5</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 process research and development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3.5</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Total expenses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99.5</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107.2</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Net gain on dispositions of assets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Income (loss) from operations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0.5</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(7.2)</w:t>
            </w:r>
          </w:p>
        </w:tc>
      </w:tr>
      <w:tr>
        <w:trPr>
          <w:trHeight w:val="170"/>
        </w:trPr>
        <w:tc>
          <w:tcPr>
            <w:tcW w:w="4400" w:type="dxa"/>
            <w:vAlign w:val="bottom"/>
          </w:tcPr>
          <w:p>
            <w:pPr>
              <w:jc w:val="right"/>
              <w:ind w:right="3547"/>
              <w:spacing w:after="0"/>
              <w:rPr>
                <w:sz w:val="20"/>
                <w:szCs w:val="20"/>
                <w:color w:val="auto"/>
              </w:rPr>
            </w:pPr>
            <w:r>
              <w:rPr>
                <w:rFonts w:ascii="Courier New" w:cs="Courier New" w:eastAsia="Courier New" w:hAnsi="Courier New"/>
                <w:sz w:val="15"/>
                <w:szCs w:val="15"/>
                <w:color w:val="auto"/>
                <w:w w:val="93"/>
              </w:rPr>
              <w:t>Interest:</w:t>
            </w:r>
          </w:p>
        </w:tc>
        <w:tc>
          <w:tcPr>
            <w:tcW w:w="118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Income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Expense .................................</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(0.2)</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Loss before income taxes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r>
      <w:tr>
        <w:trPr>
          <w:trHeight w:val="170"/>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Income tax benefit .........................</w:t>
            </w: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w:t>
            </w:r>
          </w:p>
        </w:tc>
        <w:tc>
          <w:tcPr>
            <w:tcW w:w="15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4400" w:type="dxa"/>
            <w:vAlign w:val="bottom"/>
          </w:tcPr>
          <w:p>
            <w:pPr>
              <w:jc w:val="right"/>
              <w:ind w:right="467"/>
              <w:spacing w:after="0"/>
              <w:rPr>
                <w:sz w:val="20"/>
                <w:szCs w:val="20"/>
                <w:color w:val="auto"/>
              </w:rPr>
            </w:pPr>
            <w:r>
              <w:rPr>
                <w:rFonts w:ascii="Courier New" w:cs="Courier New" w:eastAsia="Courier New" w:hAnsi="Courier New"/>
                <w:sz w:val="15"/>
                <w:szCs w:val="15"/>
                <w:color w:val="auto"/>
                <w:w w:val="96"/>
              </w:rPr>
              <w:t>Net income (loss) ..........................</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(0.5)%</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0"/>
        </w:trPr>
        <w:tc>
          <w:tcPr>
            <w:tcW w:w="4400" w:type="dxa"/>
            <w:vAlign w:val="bottom"/>
          </w:tcPr>
          <w:p>
            <w:pPr>
              <w:spacing w:after="0"/>
              <w:rPr>
                <w:sz w:val="14"/>
                <w:szCs w:val="14"/>
                <w:color w:val="auto"/>
              </w:rPr>
            </w:pPr>
          </w:p>
        </w:tc>
        <w:tc>
          <w:tcPr>
            <w:tcW w:w="11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340" w:firstLine="793"/>
        <w:spacing w:after="0" w:line="237" w:lineRule="auto"/>
        <w:rPr>
          <w:sz w:val="20"/>
          <w:szCs w:val="20"/>
          <w:color w:val="auto"/>
        </w:rPr>
      </w:pPr>
      <w:r>
        <w:rPr>
          <w:rFonts w:ascii="Courier New" w:cs="Courier New" w:eastAsia="Courier New" w:hAnsi="Courier New"/>
          <w:sz w:val="15"/>
          <w:szCs w:val="15"/>
          <w:color w:val="auto"/>
        </w:rPr>
        <w:t>Revenues. Reported revenue increased 27%, from $63.0 million for the three months ended March 31, 1999 to $79.7 million for the three months ended March 31, 2000, and 24%, from $179.4 million for the nine months ended March 31, 1999 to $221.7 million for the nine months ended March 31, 2000. On a pro forma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NINE MONTHS ENDED</w:t>
      </w: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62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8"/>
              </w:rPr>
              <w:t>MARCH 31,</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w:t>
            </w:r>
          </w:p>
        </w:tc>
      </w:tr>
      <w:tr>
        <w:trPr>
          <w:trHeight w:val="50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60.3</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9.2</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11.0</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12.2</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13.3</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13.0</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10.0</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10.7</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104.7</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108.3</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339"/>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(0.3)</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(8.3)</w:t>
            </w:r>
          </w:p>
        </w:tc>
      </w:tr>
      <w:tr>
        <w:trPr>
          <w:trHeight w:val="170"/>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339"/>
        </w:trPr>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0"/>
        </w:trPr>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3"/>
              </w:rPr>
              <w:t>=====</w:t>
            </w:r>
          </w:p>
        </w:tc>
        <w:tc>
          <w:tcPr>
            <w:tcW w:w="1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bl>
    <w:p>
      <w:pPr>
        <w:spacing w:after="0" w:line="1383" w:lineRule="exact"/>
        <w:rPr>
          <w:sz w:val="20"/>
          <w:szCs w:val="20"/>
          <w:color w:val="auto"/>
        </w:rPr>
      </w:pPr>
    </w:p>
    <w:p>
      <w:pPr>
        <w:sectPr>
          <w:pgSz w:w="11900" w:h="16838" w:orient="portrait"/>
          <w:cols w:equalWidth="0" w:num="2">
            <w:col w:w="7380" w:space="720"/>
            <w:col w:w="2200"/>
          </w:cols>
          <w:pgMar w:left="240" w:top="283" w:right="1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300"/>
          </w:cols>
          <w:pgMar w:left="240" w:top="283" w:right="1359" w:bottom="1440" w:gutter="0" w:footer="0" w:header="0"/>
          <w:type w:val="continuous"/>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of the divestitures of our mortgage business in September 1998 and</w:t>
      </w:r>
    </w:p>
    <w:p>
      <w:pPr>
        <w:spacing w:after="0" w:line="5"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our imaging business in October 1998 and adjusting for the acquisition of Mobius Group in March 1999, revenue increased 24%, from $64.2 million for the three months ended March 31, 1999 to $79.7 million for the three months ended March 31, 2000, and 22% from $182.1 million for the nine months ended March 31, 1999 to $221.7 million for the nine months ended March 31, 2000. The increase in quarterly pro forma revenue of 24% was driven by increases of 28% in our Electronic Commerce segment, 29% in our Investment Services segment and 2% in our Software segment. The increase in year to date pro forma revenue of 22% was driven by increases of 25% in our Electronic Commerce segment, 25% in our Investment Services segment and 1% in our Software segment. Quarterly and year to date growth in Electronic Commerce revenue is driven primarily by an increase in subscribers from approximately 2.8 million at March 31, 1999 to approximately 3.3 million at March 31, 2000. As mentioned in previous reports, the 3.3 million figure is net of approximately 0.4 million subscribers utilizing old legacy or non Year 2000 compliant front ends that were purged by financial institutions during the six months ended December 31, 2000. Pro forma quarterly and year to date growth in Investment Services revenue is driven primarily by an increase in portfolios managed from approximately 630,000 at March 31, 1999 to approximately 900,000 at March 31, 2000. In spite of dampened demand caused by customer focus on Year 2000 projects early in the fiscal year, the Software segment has achieved growth, both quarterly and year to date, on a pro forma basis.</w:t>
      </w:r>
    </w:p>
    <w:p>
      <w:pPr>
        <w:spacing w:after="0" w:line="177"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Reported processing and servicing revenue increased by 32%, from $51.9 million for the three months ended March 31, 1999 to $68.5 million for the three months ended March 31, 2000, and 30%, from $145.5 million for the nine months ended March 31, 1999 to $189.4 million for the nine months ended March 31, 2000. On a pro forma basis, adjusting for the acquisition of Mobius Group in March 1999, processing and servicing revenue increased by 29%, from $53.1 million for the three months ended March 31, 1999 to $68.5 million for the three months ended March 31, 2000, and 26%, from $149.8 million for the nine months ended March 31, 1999 to $189.4 million for the nine months ended March 31, 2000. Quarter over quarter and year over year pro forma growth in processing and servicing revenue is primarily the result of the previously mentioned growth in subscribers in our Electronic Commerce segment and portfolios managed in our Investment Services segment. Our processing agreements with Internet portals such as Yahoo!, allow for a free three month trial period for subscribers who enroll through the portal. Because these subscribers are not generating revenue during this free period, we do not count them in our active subscriber base. Additionally, we now have 76 billers in production that presented approximately 62,000 electronic bills in the month ended March 31, 2000. The number of bills we presented electronically has increased by 63% since the month ended December 31, 1999 and is up from 10,000 at March 31, 1999. We expect growth in this area to continue as we bring additional billers into live production. When combined with a recently announced transaction based pricing model available for our largest customers, it will become more difficult to correlate revenue solely to the number of our subscribers, with transactions processed becoming an additional indicator. We exited the quarter ended March 31, 2000 processing more than 15 million transactions on a monthly basis, compared to approximately 12 million as of June 30, 1999 and 11 million as of March 31, 1999.</w:t>
      </w:r>
    </w:p>
    <w:p>
      <w:pPr>
        <w:spacing w:after="0" w:line="34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Reported license fee revenue increased by 14%, from $3.6 million for the three months ended March 31, 1999 to $4.1 million for the three months ended March 31, 2000, and 3%, from $10.0 million for the nine months ended March 31, 1999 to $10.3 million for the nine months ended March 31, 2000. On a pro forma basis, adjusting for the impact of divested software businesses, license revenue increased by 14%, from $3.6 million for the three months ended March 31, 1999 to $4.1 million for the three months ended March 31, 2000, and 6%, from $9.7 million for the nine months ended March 31, 1999 to $10.3 million for the nine months ended March 31, 2000. Pro forma increases in license revenue on a quarter over quarter and year over year basis are an early indication that customers have completed their internal Year 2000 related projects and are beginning to invest in additional software packages again. Increases in license fees have come primarily through growth in sales in our automated clearinghouse processing software.</w:t>
      </w:r>
    </w:p>
    <w:p>
      <w:pPr>
        <w:spacing w:after="0" w:line="18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Reported maintenance fee revenue increased by 12%, from $4.1 million for the three months ended March 31, 1999 to $4.6 million for the three months ended March 31, 2000, and 2%, from $13.3 million for the nine months ended March 31, 1999 to $13.6 million for the nine months ended March 31, 2000. On a pro forma basis, adjusting for the impact of divested software businesses, maintenance revenue increased by 12%, from $4.1 million for the three months ended March 31, 1999 to $4.6 million for the three months ended March 31, 2000, and 10%, from $12.4 million for the nine months ended March 31, 1999 to $13.6 million for the nine months ended March 31, 2000. This increase is due to new maintenance paying customers added late in fiscal 1999 and early in fiscal 2000 as well as moderate price increases year over year, which is offset by maintenance retention rates in the upper 80% range for the core maintenance base in the Software segment.</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3"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Reported other revenue, consisting mostly of consulting fees, decreased by 26%, from $3.4 million for the three months ended March 31, 1999 to $2.5 million for the three months ended March 31, 2000 and by 21%, from $10.6 million for the nine months ended March 31, 1999 to $8.4 million for the nine months ended March 31, 2000. On a pro forma basis, adjusting for the impact of divested software businesses and the acquisition of Mobius Group, other revenue decreased by 26%, from $3.4 million for the three months ended March 31, 1999 to $2.5 million for the three months ended March 31, 2000, and 17%, from $10.1 million for the nine months ended March 31, 1999 to $8.4 million for the nine months ended March 31, 2000. The decrease in pro forma other revenue is due primarily to the decline in software implementations and other software consulting engagements resulting from customer software implementation freezes earlier in the year in preparation for and follow up from the Year 2000.</w:t>
      </w:r>
    </w:p>
    <w:p>
      <w:pPr>
        <w:spacing w:after="0" w:line="165"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Cost of Processing, Servicing and Support. Our cost of processing, servicing and support was $36.1 million or 57.4% of total revenue for the three months ended March 31, 1999 and $46.8 million or 58.7% of total revenue for the three months ended March 31, 2000. Cost of processing, servicing and support was $107.6 million or 60.0% of total revenue for the nine months ended March 31, 1999 and $133.7 million or 60.3% of total revenue for the nine months ended March 31, 2000. Cost of processing, servicing and support as a percentage of servicing only revenue (all revenue except license) was 60.8% for the three months ended March 31, 1999 and 61.9% for the three months ended March 31, 2000 and was 63.5% for the nine months ended March 31, 1999 and 63.2% for the nine months ended March 31, 2000. We have seen deterioration in this ratio on a comparative basis, both quarter over quarter and year over year. From an efficiency perspective, our ratio of electronic payments to total payments has improved from approximately 45% at March 31, 1999 to approximately 56% at March 31, 2000. Electronic payments carry a significantly lower variable cost per unit than paper based payments. Additionally, we have seen improvements from the leverage inherent in converting two-thirds of our subscribers from two legacy systems to our Genesis processing system. These improvement, however, continue to be offset by E-Bill implementation costs as we continue to move an increasing number of billers into live production and by transaction costs generated by portal subscribers operating within their free trial period. Additionally, we have invested in quality improvement and infrastructure improvement initiatives to prepare for future growth during this fiscal year.</w:t>
      </w:r>
    </w:p>
    <w:p>
      <w:pPr>
        <w:spacing w:after="0" w:line="346" w:lineRule="exact"/>
        <w:rPr>
          <w:sz w:val="20"/>
          <w:szCs w:val="20"/>
          <w:color w:val="auto"/>
        </w:rPr>
      </w:pPr>
    </w:p>
    <w:p>
      <w:pPr>
        <w:ind w:right="3259" w:firstLine="793"/>
        <w:spacing w:after="0" w:line="256" w:lineRule="auto"/>
        <w:rPr>
          <w:sz w:val="20"/>
          <w:szCs w:val="20"/>
          <w:color w:val="auto"/>
        </w:rPr>
      </w:pPr>
      <w:r>
        <w:rPr>
          <w:rFonts w:ascii="Courier New" w:cs="Courier New" w:eastAsia="Courier New" w:hAnsi="Courier New"/>
          <w:sz w:val="14"/>
          <w:szCs w:val="14"/>
          <w:color w:val="auto"/>
        </w:rPr>
        <w:t>Research and Development. Our research and development costs were $4.4 million or 7.0% of total revenue for the three months ended March 31, 1999 and $9.2 million or 11.5% of total revenue for the three months ended March 31,</w:t>
      </w:r>
    </w:p>
    <w:p>
      <w:pPr>
        <w:spacing w:after="0" w:line="1"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2000. Research and development costs were $16.5 million or 9.2% of total revenue for the nine months ended March 31, 1999 and $24.3 million or 11.0% of total revenue for the nine months ended March 31, 2000. Adjusted for capitalized development costs of $2.3 million for the three months ended March 31, 1999, $2.0 million for the three months ended March 31, 2000, $5.1 million for the nine months ended March 31, 1999 and $5.3 million for the nine months ended March 31, 2000, our gross research and development costs were $6.7 million or 10.6% of total revenue for the three months ended March 31, 1999 and $11.2 million or 14.0% of total revenue for the three months ended March 31, 2000 and were $21.6 million or 12.0% of total revenue for the nine months ended March 31, 1999 and $29.6 million or 13.4% of total revenue for the nine months ended March 31, 2000. We continue to invest a significant portion of our revenue into research and development activities in all business segments in anticipation and support of revenue growth, quality enhancement and efficiency improvement opportunities.</w:t>
      </w:r>
    </w:p>
    <w:p>
      <w:pPr>
        <w:spacing w:after="0" w:line="18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Sales and Marketing. Sales and marketing costs were $6.7 million or 10.7% of total revenue for the three months ended March 31, 1999 and $10.9 million or 13.7% of total revenue for the three months ended March 31, 2000. Sales and marketing costs were $21.9 million or 12.2% of total revenue for the nine months ended March 31, 1999 and $29.5 million or 13.3% of total revenue for the nine months ended March 31, 2000.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electronic billing and payment offerings through financial institutions and Internet portals in an effort to accelerate the growth of subscribers in our Electronic Commerce segment.</w:t>
      </w:r>
    </w:p>
    <w:p>
      <w:pPr>
        <w:spacing w:after="0" w:line="177"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General and Administrative. General and administrative expenses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 million or 11.4% of total revenue for the three months ended March 31, 1999</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$9.6 million or 12.0% of total revenue for the three months ended March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General and administrative expenses were $21.6 million or 12.0% of total</w:t>
      </w:r>
    </w:p>
    <w:p>
      <w:pPr>
        <w:spacing w:after="0"/>
        <w:rPr>
          <w:sz w:val="20"/>
          <w:szCs w:val="20"/>
          <w:color w:val="auto"/>
        </w:rPr>
      </w:pPr>
      <w:r>
        <w:rPr>
          <w:rFonts w:ascii="Courier New" w:cs="Courier New" w:eastAsia="Courier New" w:hAnsi="Courier New"/>
          <w:sz w:val="15"/>
          <w:szCs w:val="15"/>
          <w:color w:val="auto"/>
        </w:rPr>
        <w:t>revenue for the nine months ended March 31, 1999 and $28.8 million or 13.0%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revenue for the nine months ended March 31, 2000. The increase in general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administrative expenses is due principally to an increase in facilities</w:t>
      </w:r>
    </w:p>
    <w:p>
      <w:pPr>
        <w:spacing w:after="0"/>
        <w:rPr>
          <w:sz w:val="20"/>
          <w:szCs w:val="20"/>
          <w:color w:val="auto"/>
        </w:rPr>
      </w:pPr>
      <w:r>
        <w:rPr>
          <w:rFonts w:ascii="Courier New" w:cs="Courier New" w:eastAsia="Courier New" w:hAnsi="Courier New"/>
          <w:sz w:val="15"/>
          <w:szCs w:val="15"/>
          <w:color w:val="auto"/>
        </w:rPr>
        <w:t>costs</w:t>
      </w:r>
    </w:p>
    <w:p>
      <w:pPr>
        <w:sectPr>
          <w:pgSz w:w="11900" w:h="16838" w:orient="portrait"/>
          <w:cols w:equalWidth="0" w:num="1">
            <w:col w:w="10219"/>
          </w:cols>
          <w:pgMar w:left="240" w:top="283"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3"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75"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5"/>
          <w:szCs w:val="15"/>
          <w:color w:val="auto"/>
        </w:rPr>
        <w:t>resulting from upgraded facilities in Dublin, Ohio and Jersey City, New Jersey and a new facility in Phoenix, Arizona; administrative staff required to manage growth in all areas of the company; and our allowance for estimated doubtful accounts consistent with realized revenue growth.</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Depreciation and Amortization. Depreciation and amortization costs increased from $6.0 million for the three months ended March 31, 1999 to $9.0 million for the three months ended March 31, 2000 and from $18.0 million for the nine months ended March 31, 1999 to $23.8 million for the nine months ended March 31, 2000. The increase in depreciation and amortization is due primarily to amortization of intangible assets resulting from the acquisition of Mobius Group in March of 1999 and increased depreciation resulting from capital spending in support of growth and quality improvement initiatives. With the acquisition of BlueGill Technologies, Inc. in April 2000 and the expected acquisition of TransPoint L.L.C in the summer of 2000, we expect significant increases in depreciation and amortization from the resulting increase in intangible assets from these acquisitions.</w:t>
      </w:r>
    </w:p>
    <w:p>
      <w:pPr>
        <w:spacing w:after="0" w:line="182"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Net Gain on Dispositions of Assets. The net gain on dispositions of assets of $3.9 million in the nine months ended March 31, 1999 is the net result of the gain on the sale of our mortgage business of approximately $6.3 million offset by the loss on the sale of our imaging business of approximately $2.4 million.</w:t>
      </w:r>
    </w:p>
    <w:p>
      <w:pPr>
        <w:spacing w:after="0" w:line="178"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Interest. Interest income has increased from $0.6 million for the three months ended March 31, 1999 to $3.1 million for the three months ended March 31, 2000 and from $2.2 million from the nine months ended March 31, 1999 to $4.5 million for the three months ended March 31, 2000. On a quarter over quarter basis, our average invested assets have increased from $38.9 million at March 31, 1999 to $202.8 million at March 31, 2000 and on a year over year basis, our average invested assets have increased from $59.0 million at March 31, 1999 to $114.4 million at March 31, 2000. The increase in both periods is primarily the result of the receipt of $167.3 million in net proceeds from the issuance of our 6 1/2% convertible subordinated notes in November 1999. Interest expense has increased from $0.1 million for the three months ended March 31, 1999 to $3.3 million for the three months ended March 31, 2000 and from $0.5 million for the nine months ended March 31, 1999 to $4.6 million for the nine months ended March 31, 2000. On a quarter over quarter basis, our average outstanding debt has increased from $7.8 million at March 31, 1999 to $179.2 million at March 31,</w:t>
      </w:r>
    </w:p>
    <w:p>
      <w:pPr>
        <w:spacing w:after="0" w:line="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2000 and on a year over year basis, our average outstanding debt has increased from $7.7 million at March 31, 1999 to $92.7 million at March 31, 2000. The increase in both periods is primarily the result of a significant increase in long term debt resulting from the issuance of $172.5 million of 6 1/2% convertible subordinated debt in November 1999. Please refer to the Liquidity and Capital Resources section of Management's Discussion and Analysis of Results of Operations and Financial Condition and the Notes to Interim Condensed Consolidated Unaudited Financial Statements included elsewhere in this Form 10-Q for further discussion of the convertible debt.</w:t>
      </w:r>
    </w:p>
    <w:p>
      <w:pPr>
        <w:spacing w:after="0" w:line="179"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Income Taxes. We recorded an income tax expense of $1.1 million at an effective rate of 137% for the three months ended March 31, 1999 as compared to an income tax benefit of $2.1 million at an effective rate of 35% for the three months ended March 31, 2000. We recorded an income tax benefit of $12.4 million (effective rate not meaningful) for the nine months ended March 31, 1999 as compared to an income tax benefit of $6.7 million at an effective rate of 36% for the nine months ended March 31, 2000. In the quarter ended December 31, 1999 we recorded a one-time tax benefit of approximately $12.2 million arising out of our medical benefits management subsidiary. Net of this one-time benefit, the reported effective rates differ from the blended statutory rate of 40% in all periods due to goodwill and other non-deductible expenses, jobs credits and tax exempt interest income.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following table sets forth our operating revenue and operating income by industry segment for the periods noted. Charges identified as in process research and development and net gain on dispositions of assets were separated from the operating results of the segment for a better understanding of the underlying performance of each segment. Explanations of these charges are located above. The following numbers are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3"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0"/>
        </w:trPr>
        <w:tc>
          <w:tcPr>
            <w:tcW w:w="3920" w:type="dxa"/>
            <w:vAlign w:val="bottom"/>
          </w:tcPr>
          <w:p>
            <w:pPr>
              <w:jc w:val="right"/>
              <w:ind w:right="3407"/>
              <w:spacing w:after="0"/>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678"/>
        </w:trPr>
        <w:tc>
          <w:tcPr>
            <w:tcW w:w="3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3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THREE MONTHS ENDED</w:t>
            </w:r>
          </w:p>
        </w:tc>
      </w:tr>
      <w:tr>
        <w:trPr>
          <w:trHeight w:val="170"/>
        </w:trPr>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MARCH 31,</w:t>
            </w:r>
          </w:p>
        </w:tc>
      </w:tr>
      <w:tr>
        <w:trPr>
          <w:trHeight w:val="170"/>
        </w:trPr>
        <w:tc>
          <w:tcPr>
            <w:tcW w:w="3920" w:type="dxa"/>
            <w:vAlign w:val="bottom"/>
          </w:tcPr>
          <w:p>
            <w:pPr>
              <w:spacing w:after="0"/>
              <w:rPr>
                <w:sz w:val="14"/>
                <w:szCs w:val="14"/>
                <w:color w:val="auto"/>
              </w:rPr>
            </w:pPr>
          </w:p>
        </w:tc>
        <w:tc>
          <w:tcPr>
            <w:tcW w:w="30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88"/>
              </w:rPr>
              <w:t>1999</w:t>
            </w:r>
          </w:p>
        </w:tc>
        <w:tc>
          <w:tcPr>
            <w:tcW w:w="16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3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9"/>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Electronic Commerce ................</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$ 43,530</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$ 55,723</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9,768</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9,933</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9,662</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14,050</w:t>
            </w:r>
          </w:p>
        </w:tc>
      </w:tr>
      <w:tr>
        <w:trPr>
          <w:trHeight w:val="170"/>
        </w:trPr>
        <w:tc>
          <w:tcPr>
            <w:tcW w:w="3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Total operating revenue ........</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$ 62,960</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$ 79,706</w:t>
            </w:r>
          </w:p>
        </w:tc>
      </w:tr>
      <w:tr>
        <w:trPr>
          <w:trHeight w:val="170"/>
        </w:trPr>
        <w:tc>
          <w:tcPr>
            <w:tcW w:w="3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339"/>
        </w:trPr>
        <w:tc>
          <w:tcPr>
            <w:tcW w:w="39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39"/>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Electronic Commerce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1,484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(4,380)</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Software ...........................</w:t>
            </w:r>
          </w:p>
        </w:tc>
        <w:tc>
          <w:tcPr>
            <w:tcW w:w="6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3,778</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2,987</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Investment Services ................</w:t>
            </w:r>
          </w:p>
        </w:tc>
        <w:tc>
          <w:tcPr>
            <w:tcW w:w="6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2,452</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2,481</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Corporate ..........................</w:t>
            </w:r>
          </w:p>
        </w:tc>
        <w:tc>
          <w:tcPr>
            <w:tcW w:w="6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(5,164)</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(6,861)</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In process research and  development</w:t>
            </w:r>
          </w:p>
        </w:tc>
        <w:tc>
          <w:tcPr>
            <w:tcW w:w="660" w:type="dxa"/>
            <w:vAlign w:val="bottom"/>
          </w:tcPr>
          <w:p>
            <w:pPr>
              <w:spacing w:after="0"/>
              <w:rPr>
                <w:sz w:val="14"/>
                <w:szCs w:val="1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(2,201)</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Net gain on disposition of assets ..</w:t>
            </w:r>
          </w:p>
        </w:tc>
        <w:tc>
          <w:tcPr>
            <w:tcW w:w="660" w:type="dxa"/>
            <w:vAlign w:val="bottom"/>
          </w:tcPr>
          <w:p>
            <w:pPr>
              <w:spacing w:after="0"/>
              <w:rPr>
                <w:sz w:val="14"/>
                <w:szCs w:val="1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39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Total operating income (loss)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349</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 (5,773)</w:t>
            </w:r>
          </w:p>
        </w:tc>
      </w:tr>
      <w:tr>
        <w:trPr>
          <w:trHeight w:val="170"/>
        </w:trPr>
        <w:tc>
          <w:tcPr>
            <w:tcW w:w="392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344" w:lineRule="exact"/>
        <w:rPr>
          <w:sz w:val="20"/>
          <w:szCs w:val="20"/>
          <w:color w:val="auto"/>
        </w:rPr>
      </w:pPr>
    </w:p>
    <w:p>
      <w:pPr>
        <w:ind w:right="160" w:firstLine="793"/>
        <w:spacing w:after="0" w:line="238" w:lineRule="auto"/>
        <w:rPr>
          <w:sz w:val="20"/>
          <w:szCs w:val="20"/>
          <w:color w:val="auto"/>
        </w:rPr>
      </w:pPr>
      <w:r>
        <w:rPr>
          <w:rFonts w:ascii="Courier New" w:cs="Courier New" w:eastAsia="Courier New" w:hAnsi="Courier New"/>
          <w:sz w:val="15"/>
          <w:szCs w:val="15"/>
          <w:color w:val="auto"/>
        </w:rPr>
        <w:t>Revenue in our Electronic Commerce segment increased by 28%, from $43.5 million for the three months ended March 31, 1999 to $55.7 million for the three months ended March 31, 2000 and increased by 25%, from $122.9 million for the nine months ended March 31, 1999 to $154.2 million for the nine months ended March 31, 2000. The increase in revenue is due primarily to an increase in subscribers from approximately 2.8 million at March 31, 1999 to approximately 3.3 million at March 31, 2000. During the quarter ended September 30, 1999, a few of our financial institution customers removed approximately 200,000 subscribers from our system that were either utilizing our low fee remittance only processing services through proprietary PC-based front ends or that no longer promoted certain legacy financial manager software. Additionally, in the quarter ended December 31, 1999, we assisted our financial institution customers in removing another 200,000 subscribers who were utilizing personal financial management software that was not Year 2000 compliant. The majority of these combined reductions were on older contracts with lower than average associated monthly fees.</w:t>
      </w:r>
    </w:p>
    <w:p>
      <w:pPr>
        <w:spacing w:after="0" w:line="186" w:lineRule="exact"/>
        <w:rPr>
          <w:sz w:val="20"/>
          <w:szCs w:val="20"/>
          <w:color w:val="auto"/>
        </w:rPr>
      </w:pPr>
    </w:p>
    <w:p>
      <w:pPr>
        <w:ind w:right="240" w:firstLine="793"/>
        <w:spacing w:after="0" w:line="257" w:lineRule="auto"/>
        <w:rPr>
          <w:sz w:val="20"/>
          <w:szCs w:val="20"/>
          <w:color w:val="auto"/>
        </w:rPr>
      </w:pPr>
      <w:r>
        <w:rPr>
          <w:rFonts w:ascii="Courier New" w:cs="Courier New" w:eastAsia="Courier New" w:hAnsi="Courier New"/>
          <w:sz w:val="14"/>
          <w:szCs w:val="14"/>
          <w:color w:val="auto"/>
        </w:rPr>
        <w:t>Our processing agreement with Yahoo! allows for a free three month trial period for subscribers who enroll through Yahoo! During this free period, we do not count them in our active subscriber base. Early in the Yahoo! program we provided bill payment services only, but in December 1999, we added electronic billing capability that now allows for a fully electronic round trip billing experience through the Yahoo! offering. Upon completion of the service, Yahoo! increased the nature and extent of advertising promotions though various Yahoo! properties such as Yahoo.com, Yahoo! Calendar and Yahoo! Wallet in an effort to increase consumer awareness and interest in the program.</w:t>
      </w:r>
    </w:p>
    <w:p>
      <w:pPr>
        <w:spacing w:after="0" w:line="167" w:lineRule="exact"/>
        <w:rPr>
          <w:sz w:val="20"/>
          <w:szCs w:val="20"/>
          <w:color w:val="auto"/>
        </w:rPr>
      </w:pPr>
    </w:p>
    <w:p>
      <w:pPr>
        <w:ind w:right="160" w:firstLine="793"/>
        <w:spacing w:after="0" w:line="239" w:lineRule="auto"/>
        <w:rPr>
          <w:sz w:val="20"/>
          <w:szCs w:val="20"/>
          <w:color w:val="auto"/>
        </w:rPr>
      </w:pPr>
      <w:r>
        <w:rPr>
          <w:rFonts w:ascii="Courier New" w:cs="Courier New" w:eastAsia="Courier New" w:hAnsi="Courier New"/>
          <w:sz w:val="15"/>
          <w:szCs w:val="15"/>
          <w:color w:val="auto"/>
        </w:rPr>
        <w:t>To date, we have signed 121 billers to our E-Bill electronic billing product offering and we now have 76 billers in production that presented over 62,000 electronic bills in the month ended March 31, 2000. The number of bills we presented electronically has increased by 63% since December 1999 and has more than tripled since September 1999. There are currently 23 billers actively engaged in the implementation process and another 22 in the evaluation or discovery stage in the process. We expect this growth in electronic bills presented to continue for the foreseeable future. Our acquisition of BlueGill Technologies, which closed on April 28, 2000, will facilitate our efforts to provide quality billing content, and by simplifying and accelerating the process of taking bills from paper to electronic, these relationships will help us speed adoption of electronic billing services available today. When combined with our new transaction based pricing model available to our largest customers, it will become more difficult to correlate revenue solely to the number of active subscribers, with transactions processed becoming an additional key indicator. We exited the quarter ended March 31, 2000 processing approximately 15 million transactions per month, an increase of 1 million per month over that which we processed in December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NINE MONTHS ENDED</w:t>
      </w:r>
    </w:p>
    <w:p>
      <w:pPr>
        <w:ind w:left="980"/>
        <w:spacing w:after="0"/>
        <w:rPr>
          <w:sz w:val="20"/>
          <w:szCs w:val="20"/>
          <w:color w:val="auto"/>
        </w:rPr>
      </w:pPr>
      <w:r>
        <w:rPr>
          <w:rFonts w:ascii="Courier New" w:cs="Courier New" w:eastAsia="Courier New" w:hAnsi="Courier New"/>
          <w:sz w:val="15"/>
          <w:szCs w:val="15"/>
          <w:color w:val="auto"/>
        </w:rPr>
        <w:t>MARCH 31,</w:t>
      </w:r>
    </w:p>
    <w:p>
      <w:pPr>
        <w:spacing w:after="0"/>
        <w:rPr>
          <w:sz w:val="20"/>
          <w:szCs w:val="20"/>
          <w:color w:val="auto"/>
        </w:rPr>
      </w:pPr>
      <w:r>
        <w:rPr>
          <w:rFonts w:ascii="Courier New" w:cs="Courier New" w:eastAsia="Courier New" w:hAnsi="Courier New"/>
          <w:sz w:val="15"/>
          <w:szCs w:val="15"/>
          <w:color w:val="auto"/>
        </w:rPr>
        <w:t>------------------------------</w:t>
      </w:r>
    </w:p>
    <w:tbl>
      <w:tblPr>
        <w:tblLayout w:type="fixed"/>
        <w:tblInd w:w="0" w:type="dxa"/>
        <w:tblCellMar>
          <w:top w:w="0" w:type="dxa"/>
          <w:left w:w="0" w:type="dxa"/>
          <w:bottom w:w="0" w:type="dxa"/>
          <w:right w:w="0" w:type="dxa"/>
        </w:tblCellMar>
      </w:tblPr>
      <w:tr>
        <w:trPr>
          <w:trHeight w:val="169"/>
        </w:trPr>
        <w:tc>
          <w:tcPr>
            <w:tcW w:w="140" w:type="dxa"/>
            <w:vAlign w:val="bottom"/>
          </w:tcPr>
          <w:p>
            <w:pPr>
              <w:spacing w:after="0"/>
              <w:rPr>
                <w:sz w:val="14"/>
                <w:szCs w:val="14"/>
                <w:color w:val="auto"/>
              </w:rPr>
            </w:pPr>
          </w:p>
        </w:tc>
        <w:tc>
          <w:tcPr>
            <w:tcW w:w="1220" w:type="dxa"/>
            <w:vAlign w:val="bottom"/>
          </w:tcPr>
          <w:p>
            <w:pPr>
              <w:jc w:val="right"/>
              <w:ind w:right="747"/>
              <w:spacing w:after="0" w:line="169" w:lineRule="exact"/>
              <w:rPr>
                <w:sz w:val="20"/>
                <w:szCs w:val="20"/>
                <w:color w:val="auto"/>
              </w:rPr>
            </w:pPr>
            <w:r>
              <w:rPr>
                <w:rFonts w:ascii="Courier New" w:cs="Courier New" w:eastAsia="Courier New" w:hAnsi="Courier New"/>
                <w:sz w:val="15"/>
                <w:szCs w:val="15"/>
                <w:color w:val="auto"/>
              </w:rPr>
              <w:t>1999</w:t>
            </w:r>
          </w:p>
        </w:tc>
        <w:tc>
          <w:tcPr>
            <w:tcW w:w="1380" w:type="dxa"/>
            <w:vAlign w:val="bottom"/>
          </w:tcPr>
          <w:p>
            <w:pPr>
              <w:jc w:val="right"/>
              <w:ind w:right="187"/>
              <w:spacing w:after="0" w:line="169" w:lineRule="exact"/>
              <w:rPr>
                <w:sz w:val="20"/>
                <w:szCs w:val="20"/>
                <w:color w:val="auto"/>
              </w:rPr>
            </w:pPr>
            <w:r>
              <w:rPr>
                <w:rFonts w:ascii="Courier New" w:cs="Courier New" w:eastAsia="Courier New" w:hAnsi="Courier New"/>
                <w:sz w:val="15"/>
                <w:szCs w:val="15"/>
                <w:color w:val="auto"/>
              </w:rPr>
              <w:t>2000</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678"/>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$ 122,915</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$ 154,207</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29,498</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27,993</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26,966</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39,495</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$ 179,379</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$ 221,695</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678"/>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(3,904)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(15,190)</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8,713</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7,753</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5,142</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7,928</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9"/>
              </w:rPr>
              <w:t>(16,185)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(18,904)</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(2,201)</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3,914</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(4,521)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(18,413)</w:t>
            </w:r>
          </w:p>
        </w:tc>
      </w:tr>
      <w:tr>
        <w:trPr>
          <w:trHeight w:val="170"/>
        </w:trPr>
        <w:tc>
          <w:tcPr>
            <w:tcW w:w="1360" w:type="dxa"/>
            <w:vAlign w:val="bottom"/>
            <w:gridSpan w:val="2"/>
          </w:tcPr>
          <w:p>
            <w:pPr>
              <w:jc w:val="right"/>
              <w:ind w:right="487"/>
              <w:spacing w:after="0"/>
              <w:rPr>
                <w:sz w:val="20"/>
                <w:szCs w:val="20"/>
                <w:color w:val="auto"/>
              </w:rPr>
            </w:pPr>
            <w:r>
              <w:rPr>
                <w:rFonts w:ascii="Courier New" w:cs="Courier New" w:eastAsia="Courier New" w:hAnsi="Courier New"/>
                <w:sz w:val="15"/>
                <w:szCs w:val="15"/>
                <w:color w:val="auto"/>
                <w:w w:val="96"/>
              </w:rPr>
              <w:t>=========</w:t>
            </w:r>
          </w:p>
        </w:tc>
        <w:tc>
          <w:tcPr>
            <w:tcW w:w="13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bl>
    <w:p>
      <w:pPr>
        <w:spacing w:after="0" w:line="8166" w:lineRule="exact"/>
        <w:rPr>
          <w:sz w:val="20"/>
          <w:szCs w:val="20"/>
          <w:color w:val="auto"/>
        </w:rPr>
      </w:pPr>
    </w:p>
    <w:p>
      <w:pPr>
        <w:sectPr>
          <w:pgSz w:w="11900" w:h="16838" w:orient="portrait"/>
          <w:cols w:equalWidth="0" w:num="2">
            <w:col w:w="7200" w:space="720"/>
            <w:col w:w="2740"/>
          </w:cols>
          <w:pgMar w:left="240" w:top="283" w:right="99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660"/>
          </w:cols>
          <w:pgMar w:left="240" w:top="283" w:right="999" w:bottom="1440" w:gutter="0" w:footer="0" w:header="0"/>
          <w:type w:val="continuous"/>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175"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Our Electronic Commerce segment experienced operating income of $1.5 million for the three months ended March 31, 1999 compared to an operating loss of $4.4 million for the three months ended March 31, 2000 and operating losses increased from $3.9 million for the nine months ended March 31, 1999 to $15.2 million for the nine months ended March 31. 2000. As we have explained in previous quarters, we are currently investing heavily in the following four areas:</w:t>
      </w:r>
    </w:p>
    <w:p>
      <w:pPr>
        <w:spacing w:after="0" w:line="171" w:lineRule="exact"/>
        <w:rPr>
          <w:sz w:val="20"/>
          <w:szCs w:val="20"/>
          <w:color w:val="auto"/>
        </w:rPr>
      </w:pPr>
    </w:p>
    <w:p>
      <w:pPr>
        <w:ind w:left="1040" w:hanging="256"/>
        <w:spacing w:after="0"/>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4" w:lineRule="exact"/>
        <w:rPr>
          <w:rFonts w:ascii="Courier New" w:cs="Courier New" w:eastAsia="Courier New" w:hAnsi="Courier New"/>
          <w:sz w:val="15"/>
          <w:szCs w:val="15"/>
          <w:color w:val="auto"/>
        </w:rPr>
      </w:pPr>
    </w:p>
    <w:p>
      <w:pPr>
        <w:ind w:left="1040" w:hanging="256"/>
        <w:spacing w:after="0"/>
        <w:tabs>
          <w:tab w:leader="none" w:pos="104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Compressing the time from E-bill contract execution to live billing;</w:t>
      </w:r>
    </w:p>
    <w:p>
      <w:pPr>
        <w:spacing w:after="0" w:line="180" w:lineRule="exact"/>
        <w:rPr>
          <w:rFonts w:ascii="Courier New" w:cs="Courier New" w:eastAsia="Courier New" w:hAnsi="Courier New"/>
          <w:sz w:val="14"/>
          <w:szCs w:val="14"/>
          <w:color w:val="auto"/>
        </w:rPr>
      </w:pPr>
    </w:p>
    <w:p>
      <w:pPr>
        <w:ind w:left="1040" w:right="3799" w:hanging="256"/>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5" w:lineRule="exact"/>
        <w:rPr>
          <w:rFonts w:ascii="Courier New" w:cs="Courier New" w:eastAsia="Courier New" w:hAnsi="Courier New"/>
          <w:sz w:val="15"/>
          <w:szCs w:val="15"/>
          <w:color w:val="auto"/>
        </w:rPr>
      </w:pPr>
    </w:p>
    <w:p>
      <w:pPr>
        <w:ind w:left="1040" w:right="3619" w:hanging="256"/>
        <w:spacing w:after="0" w:line="235" w:lineRule="auto"/>
        <w:tabs>
          <w:tab w:leader="none" w:pos="10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infrastructure.</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Additionally, as subscribers sign up for electronic billing and payment offerings through portals and other sponsors that offer free trial periods, we will incur the variable costs associated with processing transactions from these customers with no revenue to offset the costs. These combined factors will continue to place downward pressure on operating margins in this segment for the remainder of the fiscal year.</w:t>
      </w:r>
    </w:p>
    <w:p>
      <w:pPr>
        <w:spacing w:after="0" w:line="176"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We have recently made several strategic announcements that will further enhance the opportunity to facilitate accelerated market adoption of our electronic billing and payment services. On February 15, 2000, we announced plans to acquire TransPoint, a joint venture with Microsoft, First Data Corporation, and Citibank, NA, and we expect this transaction to close in the summer of 2000. With this acquisition we become the preferred provider of electronic billing and payment services to customers of Microsoft offered through their MSN and Money Central offerings and it comes with guaranteed revenue of $120 million over the next five years. Additionally, we received $60 million of guaranteed revenue and/or costs savings opportunities through First Data Corporation in the transaction. On April 5, 2000, we announced a strategic agreement with the U.S. Postal Service whereby we will become the provider of electronic billing and payment services through its Internet portal www.usps.com. Finally, on April 27, 2000, we announced a strategic agreement with Bank of America, the largest bank in the U.S., to offer electronic billing and payment services to its 30 million customer base. This 10 year agreement provides annual revenue guarantees of $50 million and the parties have mutually agreed to invest $45 million in combined marketing and promotional funds geared toward accelerating the adoption of our services by Bank of America's customers. While there are no guarantees as to the timing or extent of accelerated adoption of electronic billing and payment services, we believe that upon completion of the aforementioned transactions, we will be better positioned to maintain our market leadership throughout the accelerated growth cycle when it occurs.</w:t>
      </w:r>
    </w:p>
    <w:p>
      <w:pPr>
        <w:spacing w:after="0" w:line="177"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Reported revenue in our Software segment increased by 1%, from $9.8 million for the three months ended March 31, 1999 to $9.9 million for the three months ended March 31, 2000 and declined by 5%, from $29.5 million for the nine months ended March 31, 1999 to $28.0 million for the nine months ended March 31, 2000. On a pro forma basis, net of divestitures of our mortgage and imaging businesses in the prior year, revenue increased by 1%, from $9.8 million for the three months ended March 31, 1999 to $9.9 million in the three months ended March 31, 2000 and by 1%, from $27.7 million for the nine months ended March 31, 1999 to $28.0 million for the nine months ended March 31, 2000. The revenue results were expected given purchasing moratoriums by customers concerned with year 2000 issues through calendar year 1999 and into calendar year 2000. It is our belief that as customers begin investing in third party software again we will experience incremental growth in overall software revenue.</w:t>
      </w:r>
    </w:p>
    <w:p>
      <w:pPr>
        <w:spacing w:after="0" w:line="16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Reported operating income in our Software segment decreased from $3.8 million for the three months ended March 31, 1999 to $3.0 million for the three months ended March 31, 2000 and decreased from $8.7 million for the nine months ended March 31, 1999 to $7.8 million for the nine months ended March 31, 2000. On a pro forma basis, net of divestitures, operating income decreased from $3.8 million for the three months ended March 31, 1999 to $3.0 million for the three months ended March 31, 2000 and decreased from $10.3 million for the nine months ended March 31, 1999 to $7.8 million for the nine months ended March 31, 2000. The decrease in operating margins reflects investments in new initiatives such as the recent launch of missingmoney.com, a state-sponsored Internet site we developed with the National Association of Unclaimed Property designed to enable individuals to find and claim money owed to them from non-refunded deposits, unclaimed securities, and other accounts held by states. Also, additional resources have been assigned to our new automated clearinghouse alliance services program that carries a profit margin that is inherently lower than that of our traditional product offerings in this area.</w:t>
      </w:r>
    </w:p>
    <w:p>
      <w:pPr>
        <w:spacing w:after="0" w:line="164" w:lineRule="exact"/>
        <w:rPr>
          <w:sz w:val="20"/>
          <w:szCs w:val="20"/>
          <w:color w:val="auto"/>
        </w:rPr>
      </w:pPr>
    </w:p>
    <w:p>
      <w:pPr>
        <w:ind w:right="3179" w:firstLine="793"/>
        <w:spacing w:after="0" w:line="237" w:lineRule="auto"/>
        <w:rPr>
          <w:sz w:val="20"/>
          <w:szCs w:val="20"/>
          <w:color w:val="auto"/>
        </w:rPr>
      </w:pPr>
      <w:r>
        <w:rPr>
          <w:rFonts w:ascii="Courier New" w:cs="Courier New" w:eastAsia="Courier New" w:hAnsi="Courier New"/>
          <w:sz w:val="15"/>
          <w:szCs w:val="15"/>
          <w:color w:val="auto"/>
        </w:rPr>
        <w:t>Reported revenue in our Investment Services segment increased by 45%, from $9.7 million for the three months ended March 31, 1999 to $14.1 million for the three months ended March 31, 2000 and by 46%, from $27.0</w:t>
      </w:r>
    </w:p>
    <w:p>
      <w:pPr>
        <w:sectPr>
          <w:pgSz w:w="11900" w:h="16838" w:orient="portrait"/>
          <w:cols w:equalWidth="0" w:num="1">
            <w:col w:w="10219"/>
          </w:cols>
          <w:pgMar w:left="240" w:top="283" w:right="1440" w:bottom="904" w:gutter="0" w:footer="0" w:header="0"/>
        </w:sectPr>
      </w:pP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3" w:right="1440" w:bottom="904"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344"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million for the nine months ended March 31, 1999 to $39.5 million for the nine months ended March 31, 2000. On a pro forma basis, adjusting for the acquisition of Mobius Group in March 1999, revenue increased by 29%, from $10.9 million for the three months ended March 31, 1999 to $14.1 million for the three months ended March 31, 2000 and by 25%, from $31.5 million for the nine months ended March 31, 1999 to $39.5 million for the nine months ended March 31, 2000. Growth in pro forma revenue is primarily the result of an increase in portfolios managed from approximately 630,000 at March 31, 1999 to approximately 900,000 at March 31, 2000. A significant portion of portfolio growth over the past year has occurred in retail versus institutional accounts that carry a lower unit price. In October 1999, we launched our new M-Plan product from Mobius. Consultants, plan sponsors, investment managers and financial planners use M-Plan for integrating retirement, capital needs, tax, education and real estate planning needs for their customers. Additionally, in the during the quarter ended March 31, 2000, we released revisions to our M-Search product from Mobius that allows Internet based data collection capabilities to the product which will make data collection on money manager returns and asset allocations more timely.</w:t>
      </w:r>
    </w:p>
    <w:p>
      <w:pPr>
        <w:spacing w:after="0" w:line="164" w:lineRule="exact"/>
        <w:rPr>
          <w:sz w:val="20"/>
          <w:szCs w:val="20"/>
          <w:color w:val="auto"/>
        </w:rPr>
      </w:pPr>
    </w:p>
    <w:p>
      <w:pPr>
        <w:ind w:right="3259" w:firstLine="793"/>
        <w:spacing w:after="0" w:line="239" w:lineRule="auto"/>
        <w:rPr>
          <w:sz w:val="20"/>
          <w:szCs w:val="20"/>
          <w:color w:val="auto"/>
        </w:rPr>
      </w:pPr>
      <w:r>
        <w:rPr>
          <w:rFonts w:ascii="Courier New" w:cs="Courier New" w:eastAsia="Courier New" w:hAnsi="Courier New"/>
          <w:sz w:val="15"/>
          <w:szCs w:val="15"/>
          <w:color w:val="auto"/>
        </w:rPr>
        <w:t>Reported operating income in our Investment Services segment remained flat at $2.5 million for the three months ended March 31, 1999 and 2000 and increased from $5.1 million for the nine months ended March 31, 1999 to $7.9 million for the nine months ended March 31, 2000. On a pro forma basis, adjusting for the Mobius acquisition, operating income decreased slightly from $2.7 million for the three months ended March 31, 1999 to $2.5 million for the three months ended March 31, 2000 and increased from $5.6 million for the nine months ended March 31, 1999 to $7.9 million for the nine months ended March 31, 2000. During the quarter ended March 31, 2000, we decided to reduce the useful lives on three of the intangible assets resulting from the Mobius Group acquisition. The change was effective January 1, 2000 and the pre-tax impact on the operations was approximately $0.2 million and this was the reason for the drop in operating income on a quarter over quarter basis. For both the quarter over quarter and year over year results, as indicated earlier, a significant portion of portfolio growth over the past year has occurred in retail versus institutional accounts that carry a lower unit price which places downward pressure on margins as the costs to process the business are not proportionally lower.</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The Corporate segment represents charges for legal, human resources, accounting and finance and various other of our unallocated overhead charges. Our Corporate segment incurred an operating loss of $5.2 million, or 8.2% of revenue for the three months ended March 31, 1999 and $6.9 million or 8.6% of total revenue for the three months ended March 31, 2000. Our Corporate segment incurred an operating loss of $16.2 million or 9.0% of total revenue for the nine months ended March 31, 1999 and $18.9 million or 8.5% of total revenue for the nine months ended March 31, 2000. The unallocated portions of our expenses have remained fairly consistent as a percentage of revenue. As subscriber price promotions allowing for free trial periods begin to expire and related customers begin paying for various related electronic billing and payment services, we believe our corporate costs will begin to decline as a percentage of revenue as we regain the leverage inherent in our normalized business model.</w:t>
      </w:r>
    </w:p>
    <w:p>
      <w:pPr>
        <w:spacing w:after="0" w:line="165" w:lineRule="exact"/>
        <w:rPr>
          <w:sz w:val="20"/>
          <w:szCs w:val="20"/>
          <w:color w:val="auto"/>
        </w:rPr>
      </w:pPr>
    </w:p>
    <w:p>
      <w:pPr>
        <w:jc w:val="both"/>
        <w:ind w:right="3359" w:firstLine="793"/>
        <w:spacing w:after="0" w:line="260" w:lineRule="auto"/>
        <w:rPr>
          <w:sz w:val="20"/>
          <w:szCs w:val="20"/>
          <w:color w:val="auto"/>
        </w:rPr>
      </w:pPr>
      <w:r>
        <w:rPr>
          <w:rFonts w:ascii="Courier New" w:cs="Courier New" w:eastAsia="Courier New" w:hAnsi="Courier New"/>
          <w:sz w:val="14"/>
          <w:szCs w:val="14"/>
          <w:color w:val="auto"/>
        </w:rPr>
        <w:t>The in process research and development charge of $2.2 million in the three month and nine month periods ended March 31, 19999 represents the charge taken upon completion of the acquisition of Mobius Group in March 1999.</w:t>
      </w:r>
    </w:p>
    <w:p>
      <w:pPr>
        <w:spacing w:after="0" w:line="16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net gain on dispositions of assets of $3.9 million in the nine months ended March 31, 1999 is the net result of the gain on the sale of our mortgage business of approximately $6.3 million, offset by the loss on the sale of our imaging business of approximately $2.4 million.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5"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As of March 31, 2000, we had cash, cash equivalents, short-term and long-term investments on hand totaling $204.2 million. Our balance sheet reflects working capital of $142.1 million and our current ratio stands at 2.7.</w:t>
      </w:r>
    </w:p>
    <w:p>
      <w:pPr>
        <w:spacing w:after="0" w:line="16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following table sets for a summary of quarterly cash flow activity for the current fiscal year and should be referred to in conjunction with statements regarding our liquidity and capital resources:</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3" w:right="1440"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0"/>
        </w:trPr>
        <w:tc>
          <w:tcPr>
            <w:tcW w:w="4180" w:type="dxa"/>
            <w:vAlign w:val="bottom"/>
          </w:tcPr>
          <w:p>
            <w:pPr>
              <w:jc w:val="right"/>
              <w:ind w:right="3667"/>
              <w:spacing w:after="0"/>
              <w:rPr>
                <w:sz w:val="20"/>
                <w:szCs w:val="20"/>
                <w:color w:val="auto"/>
              </w:rPr>
            </w:pPr>
            <w:r>
              <w:rPr>
                <w:rFonts w:ascii="Courier New" w:cs="Courier New" w:eastAsia="Courier New" w:hAnsi="Courier New"/>
                <w:sz w:val="15"/>
                <w:szCs w:val="15"/>
                <w:color w:val="auto"/>
              </w:rPr>
              <w:t>18</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678"/>
        </w:trPr>
        <w:tc>
          <w:tcPr>
            <w:tcW w:w="4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THREE MONTHS ENDED</w:t>
            </w:r>
          </w:p>
        </w:tc>
        <w:tc>
          <w:tcPr>
            <w:tcW w:w="880" w:type="dxa"/>
            <w:vAlign w:val="bottom"/>
          </w:tcPr>
          <w:p>
            <w:pPr>
              <w:spacing w:after="0"/>
              <w:rPr>
                <w:sz w:val="24"/>
                <w:szCs w:val="24"/>
                <w:color w:val="auto"/>
              </w:rPr>
            </w:pPr>
          </w:p>
        </w:tc>
        <w:tc>
          <w:tcPr>
            <w:tcW w:w="15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NINE MONTHS ENDED</w:t>
            </w:r>
          </w:p>
        </w:tc>
      </w:tr>
      <w:tr>
        <w:trPr>
          <w:trHeight w:val="170"/>
        </w:trPr>
        <w:tc>
          <w:tcPr>
            <w:tcW w:w="418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Courier New" w:cs="Courier New" w:eastAsia="Courier New" w:hAnsi="Courier New"/>
                <w:sz w:val="6"/>
                <w:szCs w:val="6"/>
                <w:color w:val="auto"/>
                <w:w w:val="78"/>
              </w:rPr>
              <w:t>-----------------------------------------</w:t>
            </w: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41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MARCH 31,</w:t>
            </w:r>
          </w:p>
        </w:tc>
        <w:tc>
          <w:tcPr>
            <w:tcW w:w="15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4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1999</w:t>
            </w:r>
          </w:p>
        </w:tc>
        <w:tc>
          <w:tcPr>
            <w:tcW w:w="16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2000</w:t>
            </w:r>
          </w:p>
        </w:tc>
        <w:tc>
          <w:tcPr>
            <w:tcW w:w="15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4180" w:type="dxa"/>
            <w:vAlign w:val="bottom"/>
          </w:tcPr>
          <w:p>
            <w:pPr>
              <w:spacing w:after="0"/>
              <w:rPr>
                <w:sz w:val="14"/>
                <w:szCs w:val="14"/>
                <w:color w:val="auto"/>
              </w:rPr>
            </w:pPr>
          </w:p>
        </w:tc>
        <w:tc>
          <w:tcPr>
            <w:tcW w:w="15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w:t>
            </w:r>
          </w:p>
        </w:tc>
        <w:tc>
          <w:tcPr>
            <w:tcW w:w="16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Courier New" w:cs="Courier New" w:eastAsia="Courier New" w:hAnsi="Courier New"/>
                <w:sz w:val="15"/>
                <w:szCs w:val="15"/>
                <w:color w:val="auto"/>
                <w:w w:val="98"/>
              </w:rPr>
              <w:t>(In thousands)</w:t>
            </w: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9"/>
        </w:trPr>
        <w:tc>
          <w:tcPr>
            <w:tcW w:w="4180" w:type="dxa"/>
            <w:vAlign w:val="bottom"/>
          </w:tcPr>
          <w:p>
            <w:pPr>
              <w:jc w:val="right"/>
              <w:ind w:right="1387"/>
              <w:spacing w:after="0"/>
              <w:rPr>
                <w:sz w:val="20"/>
                <w:szCs w:val="20"/>
                <w:color w:val="auto"/>
              </w:rPr>
            </w:pPr>
            <w:r>
              <w:rPr>
                <w:rFonts w:ascii="Courier New" w:cs="Courier New" w:eastAsia="Courier New" w:hAnsi="Courier New"/>
                <w:sz w:val="15"/>
                <w:szCs w:val="15"/>
                <w:color w:val="auto"/>
                <w:w w:val="96"/>
              </w:rPr>
              <w:t>Net cash provided by (used in):</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0"/>
        </w:trPr>
        <w:tc>
          <w:tcPr>
            <w:tcW w:w="4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Operating activities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2,651</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10,647</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  9,249</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22,547</w:t>
            </w:r>
          </w:p>
        </w:tc>
      </w:tr>
      <w:tr>
        <w:trPr>
          <w:trHeight w:val="170"/>
        </w:trPr>
        <w:tc>
          <w:tcPr>
            <w:tcW w:w="4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Investing activities ...................</w:t>
            </w:r>
          </w:p>
        </w:tc>
        <w:tc>
          <w:tcPr>
            <w:tcW w:w="660" w:type="dxa"/>
            <w:vAlign w:val="bottom"/>
          </w:tcPr>
          <w:p>
            <w:pPr>
              <w:spacing w:after="0"/>
              <w:rPr>
                <w:sz w:val="14"/>
                <w:szCs w:val="1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(10,528)</w:t>
            </w:r>
          </w:p>
        </w:tc>
        <w:tc>
          <w:tcPr>
            <w:tcW w:w="16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(51,571)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(41,406)</w:t>
            </w:r>
          </w:p>
        </w:tc>
        <w:tc>
          <w:tcPr>
            <w:tcW w:w="15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(103,505)</w:t>
            </w:r>
          </w:p>
        </w:tc>
      </w:tr>
      <w:tr>
        <w:trPr>
          <w:trHeight w:val="170"/>
        </w:trPr>
        <w:tc>
          <w:tcPr>
            <w:tcW w:w="4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Financing activities ...................</w:t>
            </w:r>
          </w:p>
        </w:tc>
        <w:tc>
          <w:tcPr>
            <w:tcW w:w="66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1,870</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187,264</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4,421</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193,555</w:t>
            </w:r>
          </w:p>
        </w:tc>
      </w:tr>
      <w:tr>
        <w:trPr>
          <w:trHeight w:val="170"/>
        </w:trPr>
        <w:tc>
          <w:tcPr>
            <w:tcW w:w="418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r>
        <w:trPr>
          <w:trHeight w:val="170"/>
        </w:trPr>
        <w:tc>
          <w:tcPr>
            <w:tcW w:w="4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Net increase (decrease) in cash and</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0"/>
        </w:trPr>
        <w:tc>
          <w:tcPr>
            <w:tcW w:w="4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cash equivalents ...............</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(6,007)</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$ 146,340</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3"/>
              </w:rPr>
              <w:t>$(27,736)</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$ 112,597</w:t>
            </w:r>
          </w:p>
        </w:tc>
      </w:tr>
      <w:tr>
        <w:trPr>
          <w:trHeight w:val="170"/>
        </w:trPr>
        <w:tc>
          <w:tcPr>
            <w:tcW w:w="4180" w:type="dxa"/>
            <w:vAlign w:val="bottom"/>
          </w:tcPr>
          <w:p>
            <w:pPr>
              <w:spacing w:after="0"/>
              <w:rPr>
                <w:sz w:val="14"/>
                <w:szCs w:val="14"/>
                <w:color w:val="auto"/>
              </w:rPr>
            </w:pPr>
          </w:p>
        </w:tc>
        <w:tc>
          <w:tcPr>
            <w:tcW w:w="15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4"/>
              </w:rPr>
              <w:t>========</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4"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As a result of several specific transactions and positive cash flow from operations, we have seen a net increase of $112.6 million in cash and cash equivalents through the nine months ended March 31, 2000.</w:t>
      </w:r>
    </w:p>
    <w:p>
      <w:pPr>
        <w:spacing w:after="0" w:line="175"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We have generated $22.5 million in cash from operating activities for the nine months ended March 31, 2000. Operating cash flow has been positive in each of the three quarters this year. For accounting purposes, we are required to reflect the cash flows related to purchases of and proceeds from the sale of trading securities within the operating cash flow category. Net of activities related to trading securities our cash flow provided by operating activities was $1.3 million for the three months ended September 30, 1999, $8.9 million for the three months ended December 31, 1999, $8.6 million for the three months ended March 31, 2000 and $18.8 million for the nine months ended March 31, 2000. The primary factor impacting operating cash flow is the adjustment for depreciation totaling $23.8 million year to date, which is a non cash expense resulting from intangible assets obtained in acquisitions and capital assets purchased in support of the expected growth of the business.</w:t>
      </w:r>
    </w:p>
    <w:p>
      <w:pPr>
        <w:spacing w:after="0" w:line="183"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most significant cash activity has taken place in financing activities. On November 29, 1999 we issued $172.5 million of 6 1/2% convertible subordinated notes that provided $166.9 million of proceeds, net of underwriting and other direct issuance costs. During the same quarter, we received $19.2 million from the direct sale of 250,000 shares of stock to Bank One and from the exercise of 300,000 warrants from Integrion member banks. This $19.2 million included an overpayment of $3.2 million due to a duplicate submission of cash on the last business day of the quarter ended December 31, 1999 that was returned on the first day of the subsequent quarter. Additionally, we received cash from the exercise of employee stock options and the purchase of company stock from the employee stock purchase plan in the amounts of $1.9 million in the quarter ended September 30, 1999, $1.4 million in the quarter ended September 30, 1999 and $7.9 million in the quarter ended March 31, 2000 for a total of $11.2 million on a year to date basis.</w:t>
      </w:r>
    </w:p>
    <w:p>
      <w:pPr>
        <w:spacing w:after="0" w:line="184"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As a result of the cash receipts indicated above, we have seen significant investing activity throughout the year. We invested $39.5 million in the quarter ended December 31, 1999 and another $31.2 million in the quarter ended March 31, 2000 in held to maturity investments, for a total of $70.7 million for the year. We have also invested $26.2 million in the purchase of property, equipment and software in preparation for and in response to the growth of the company and have capitalized $5.4 million in software costs related primarily to the development of new product offerings ratably throughout the year. Finally, we have paid approximately $1.2 million in costs related to the acquisitions of BlueGill Technologies, Inc. and TransPoint during the quarter ended March 31, 2000.</w:t>
      </w:r>
    </w:p>
    <w:p>
      <w:pPr>
        <w:spacing w:after="0" w:line="181" w:lineRule="exact"/>
        <w:rPr>
          <w:sz w:val="20"/>
          <w:szCs w:val="20"/>
          <w:color w:val="auto"/>
        </w:rPr>
      </w:pPr>
    </w:p>
    <w:p>
      <w:pPr>
        <w:ind w:right="3259" w:firstLine="793"/>
        <w:spacing w:after="0" w:line="238" w:lineRule="auto"/>
        <w:rPr>
          <w:sz w:val="20"/>
          <w:szCs w:val="20"/>
          <w:color w:val="auto"/>
        </w:rPr>
      </w:pPr>
      <w:r>
        <w:rPr>
          <w:rFonts w:ascii="Courier New" w:cs="Courier New" w:eastAsia="Courier New" w:hAnsi="Courier New"/>
          <w:sz w:val="15"/>
          <w:szCs w:val="15"/>
          <w:color w:val="auto"/>
        </w:rPr>
        <w:t>Convertible Subordinated Notes. On November 29, 1999, we issued $172.5 million of 6 1/2% convertible subordinated notes that are due on December 1, 2006. We will pay interest on the notes on June 1 and December 1 of each year, commencing on June 1, 2000. The notes may be converted, at the holder's option, into 13.6612 shares of common stock per note and we may redeem the notes at any time on or after December 1, 2002. Upon a change in control, as defined, the holders of the notes may require us to repurchase some or all of the notes at par value plus any accrued and unpaid interest. On January 14, 2000, we filed a shelf registration statement with the Securities and Exchange Commission to register the underlying shares. Under the terms of the offering, should we fail to obtain a declaration of effectiveness of the shelf registration by the Securities and Exchange Commission by March 28, 2000, we will incur penalty interest in the amount of 1/2% until the declaration of effectiveness is received.</w:t>
      </w:r>
    </w:p>
    <w:p>
      <w:pPr>
        <w:spacing w:after="0" w:line="184" w:lineRule="exact"/>
        <w:rPr>
          <w:sz w:val="20"/>
          <w:szCs w:val="20"/>
          <w:color w:val="auto"/>
        </w:rPr>
      </w:pPr>
    </w:p>
    <w:p>
      <w:pPr>
        <w:ind w:right="3259" w:firstLine="793"/>
        <w:spacing w:after="0" w:line="260" w:lineRule="auto"/>
        <w:rPr>
          <w:sz w:val="20"/>
          <w:szCs w:val="20"/>
          <w:color w:val="auto"/>
        </w:rPr>
      </w:pPr>
      <w:r>
        <w:rPr>
          <w:rFonts w:ascii="Courier New" w:cs="Courier New" w:eastAsia="Courier New" w:hAnsi="Courier New"/>
          <w:sz w:val="14"/>
          <w:szCs w:val="14"/>
          <w:color w:val="auto"/>
        </w:rPr>
        <w:t>Because of the interrelationships between the various regulatory filings we have had pending for the convertible notes, the BlueGill acquisition and the TransPoint acquisition, by May 14, 2000, we had not yet received</w:t>
      </w:r>
    </w:p>
    <w:p>
      <w:pPr>
        <w:sectPr>
          <w:pgSz w:w="11900" w:h="16838" w:orient="portrait"/>
          <w:cols w:equalWidth="0" w:num="1">
            <w:col w:w="10219"/>
          </w:cols>
          <w:pgMar w:left="240" w:top="283" w:right="1440" w:bottom="904" w:gutter="0" w:footer="0" w:header="0"/>
        </w:sectPr>
      </w:pP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3" w:right="1440" w:bottom="904"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 declaration of effectiveness on the convertible notes and, therefore, we are incurring the penalty interest. We are taking appropriate action as necessary to have this regulatory review process completed as quickly as possible. We expect to use the net proceeds from this offering for working capital and general corporate purposes, including expansion of our services to a broader market and potential acquisitions.</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Credit Facility. On October 31, 1999, our $20 million working capital line of credit with Key Bank was set to expire. We extended the line until December 31, 1999 while we negotiated a new agreement. In December 1999, we entered into a three-year, $30 million working capital line of credit with KeyBank that carries an interest rate of LIBOR plus 200 basis points or Prime, at our discretion. These are the same terms that were in place on the original line. As of May 1, 2000, the LIBOR rates were 6.29125% for one month, 6.5025% for three months, 6.73125% for six months and 7.10125% for one year and the Prime rate was 9.0%. In this instance, it would be more beneficial to choose the LIBOR option for any capital needs for less than one year and the Prime rate option for needs exceeding one year. As of March 31, 2000, there was no balance outstanding on this line and we had no plans or expectations to draw from it through June 30, 2000. Although we have significant working capital in place at March 31, 2000, we feel it prudent to have access to a credit facility given our plans for growth.</w:t>
      </w:r>
    </w:p>
    <w:p>
      <w:pPr>
        <w:spacing w:after="0" w:line="185" w:lineRule="exact"/>
        <w:rPr>
          <w:sz w:val="20"/>
          <w:szCs w:val="20"/>
          <w:color w:val="auto"/>
        </w:rPr>
      </w:pPr>
    </w:p>
    <w:p>
      <w:pPr>
        <w:ind w:right="3539" w:firstLine="793"/>
        <w:spacing w:after="0" w:line="237" w:lineRule="auto"/>
        <w:rPr>
          <w:sz w:val="20"/>
          <w:szCs w:val="20"/>
          <w:color w:val="auto"/>
        </w:rPr>
      </w:pPr>
      <w:r>
        <w:rPr>
          <w:rFonts w:ascii="Courier New" w:cs="Courier New" w:eastAsia="Courier New" w:hAnsi="Courier New"/>
          <w:sz w:val="15"/>
          <w:szCs w:val="15"/>
          <w:color w:val="auto"/>
        </w:rPr>
        <w:t>Because of successful efforts in completing the convertible subordinated note offering and in executing the new working capital line of credit, we discontinued negotiations with various vendors in establishing an additional lease line of credit.</w:t>
      </w:r>
    </w:p>
    <w:p>
      <w:pPr>
        <w:spacing w:after="0" w:line="176"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net result of activities in the three-month and nine-month periods ended March 31, 2000 is a significant improvement in our liquidity and capital resources. We believe that existing cash, cash equivalents, investments and available financing alternatives will be sufficient to meet our presently anticipated working capital and capital investment requirements through June 30, 2000. In the longer term, our working capital and capital investment requirements will be somewhat dependent upon the timing of significant consumer adoption of our electronic billing and payment services and the related acquisitions, and, therefore, we are not in a position to make longer-term predictions at this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5" w:lineRule="exact"/>
        <w:rPr>
          <w:sz w:val="20"/>
          <w:szCs w:val="20"/>
          <w:color w:val="auto"/>
        </w:rPr>
      </w:pPr>
    </w:p>
    <w:p>
      <w:pPr>
        <w:ind w:right="3359" w:firstLine="793"/>
        <w:spacing w:after="0" w:line="235"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0" w:lineRule="exact"/>
        <w:rPr>
          <w:sz w:val="20"/>
          <w:szCs w:val="20"/>
          <w:color w:val="auto"/>
        </w:rPr>
      </w:pPr>
    </w:p>
    <w:p>
      <w:pPr>
        <w:ind w:right="3179" w:firstLine="793"/>
        <w:spacing w:after="0" w:line="256" w:lineRule="auto"/>
        <w:rPr>
          <w:sz w:val="20"/>
          <w:szCs w:val="20"/>
          <w:color w:val="auto"/>
        </w:rPr>
      </w:pPr>
      <w:r>
        <w:rPr>
          <w:rFonts w:ascii="Courier New" w:cs="Courier New" w:eastAsia="Courier New" w:hAnsi="Courier New"/>
          <w:sz w:val="14"/>
          <w:szCs w:val="14"/>
          <w:color w:val="auto"/>
        </w:rPr>
        <w:t>Except for the historical information contained herein, the matters discussed in our Form 10-Q include certain forward-looking statements within the meaning of Section 27A of the Securities Act, as amended, and Section 21E of the Securities Exchange Act of 1934, as amended, which are intended to be covered by the safe harbors created thereby. Those statements include, but may not be limited to, all statements regarding our and management's intent, belief and expectations, such as statements concerning our future profitability, our operating and growth strategy, and Year 2000 issues. Investors are cautioned that all forward-looking statements involve risks and uncertainties including, without limitation, the factors set forth under the caption "Business - Business Risks" in the Annual Report on Form 10-K for the year ended June 30, 1999 and other factors detailed from time to time in our filings with the Securities and Exchange Commission. One or more of these factors have affected, and in the future could affect, our businesses and financial results in the future and could cause actual results to differ materially from plans and projections. Although we believe that the assumptions underlying the forward-looking statements contained herein are reasonable, any of the assumptions could be inaccurate. Therefore, there can be no assurance that the forward-looking statements included in Form 10-Q will prove to be accurate. In light of the significant uncertainties inherent in the forward-looking statements included herein, the inclusion of such information should not be regarded as a representation by us or any other person that our objectives and plans will be achieved. All forward-looking statements made in this Form 10-Q are based on information presently available to our management. We assume no obligation to update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3"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PART II. OTHER INFORMATION</w:t>
      </w:r>
    </w:p>
    <w:p>
      <w:pPr>
        <w:spacing w:after="0" w:line="169" w:lineRule="exact"/>
        <w:rPr>
          <w:sz w:val="20"/>
          <w:szCs w:val="20"/>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9"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40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940" w:type="dxa"/>
            <w:vAlign w:val="bottom"/>
          </w:tcPr>
          <w:p>
            <w:pPr>
              <w:ind w:left="400"/>
              <w:spacing w:after="0"/>
              <w:rPr>
                <w:sz w:val="20"/>
                <w:szCs w:val="20"/>
                <w:color w:val="auto"/>
              </w:rPr>
            </w:pPr>
            <w:r>
              <w:rPr>
                <w:rFonts w:ascii="Courier New" w:cs="Courier New" w:eastAsia="Courier New" w:hAnsi="Courier New"/>
                <w:sz w:val="15"/>
                <w:szCs w:val="15"/>
                <w:color w:val="auto"/>
              </w:rPr>
              <w:t>EXHIBITS.</w:t>
            </w:r>
          </w:p>
        </w:tc>
        <w:tc>
          <w:tcPr>
            <w:tcW w:w="14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9"/>
        </w:trPr>
        <w:tc>
          <w:tcPr>
            <w:tcW w:w="400" w:type="dxa"/>
            <w:vAlign w:val="bottom"/>
          </w:tcPr>
          <w:p>
            <w:pPr>
              <w:spacing w:after="0"/>
              <w:rPr>
                <w:sz w:val="24"/>
                <w:szCs w:val="2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EXHIBIT NUMBER</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EXHIBIT</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DESCRIPTION</w:t>
            </w:r>
          </w:p>
        </w:tc>
      </w:tr>
      <w:tr>
        <w:trPr>
          <w:trHeight w:val="170"/>
        </w:trPr>
        <w:tc>
          <w:tcPr>
            <w:tcW w:w="400" w:type="dxa"/>
            <w:vAlign w:val="bottom"/>
          </w:tcPr>
          <w:p>
            <w:pPr>
              <w:spacing w:after="0"/>
              <w:rPr>
                <w:sz w:val="14"/>
                <w:szCs w:val="14"/>
                <w:color w:val="auto"/>
              </w:rPr>
            </w:pPr>
          </w:p>
        </w:tc>
        <w:tc>
          <w:tcPr>
            <w:tcW w:w="19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40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w:t>
            </w:r>
          </w:p>
        </w:tc>
      </w:tr>
      <w:tr>
        <w:trPr>
          <w:trHeight w:val="339"/>
        </w:trPr>
        <w:tc>
          <w:tcPr>
            <w:tcW w:w="400" w:type="dxa"/>
            <w:vAlign w:val="bottom"/>
          </w:tcPr>
          <w:p>
            <w:pPr>
              <w:spacing w:after="0"/>
              <w:rPr>
                <w:sz w:val="24"/>
                <w:szCs w:val="2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5"/>
                <w:szCs w:val="15"/>
                <w:color w:val="auto"/>
              </w:rPr>
              <w:t>27*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Data Schedule.</w:t>
            </w:r>
          </w:p>
        </w:tc>
      </w:tr>
      <w:tr>
        <w:trPr>
          <w:trHeight w:val="339"/>
        </w:trPr>
        <w:tc>
          <w:tcPr>
            <w:tcW w:w="400" w:type="dxa"/>
            <w:vAlign w:val="bottom"/>
          </w:tcPr>
          <w:p>
            <w:pPr>
              <w:spacing w:after="0"/>
              <w:rPr>
                <w:sz w:val="24"/>
                <w:szCs w:val="24"/>
                <w:color w:val="auto"/>
              </w:rPr>
            </w:pPr>
          </w:p>
        </w:tc>
        <w:tc>
          <w:tcPr>
            <w:tcW w:w="1940" w:type="dxa"/>
            <w:vAlign w:val="bottom"/>
          </w:tcPr>
          <w:p>
            <w:pPr>
              <w:ind w:left="660"/>
              <w:spacing w:after="0"/>
              <w:rPr>
                <w:sz w:val="20"/>
                <w:szCs w:val="20"/>
                <w:color w:val="auto"/>
              </w:rPr>
            </w:pPr>
            <w:r>
              <w:rPr>
                <w:rFonts w:ascii="Courier New" w:cs="Courier New" w:eastAsia="Courier New" w:hAnsi="Courier New"/>
                <w:sz w:val="15"/>
                <w:szCs w:val="15"/>
                <w:color w:val="auto"/>
              </w:rPr>
              <w:t>99</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CheckFree</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w w:val="96"/>
              </w:rPr>
              <w:t>Management Corporation</w:t>
            </w:r>
          </w:p>
        </w:tc>
      </w:tr>
      <w:tr>
        <w:trPr>
          <w:trHeight w:val="170"/>
        </w:trPr>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Interim Unaudited Condensed</w:t>
            </w:r>
          </w:p>
        </w:tc>
      </w:tr>
      <w:tr>
        <w:trPr>
          <w:trHeight w:val="170"/>
        </w:trPr>
        <w:tc>
          <w:tcPr>
            <w:tcW w:w="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c>
          <w:tcPr>
            <w:tcW w:w="2000" w:type="dxa"/>
            <w:vAlign w:val="bottom"/>
          </w:tcPr>
          <w:p>
            <w:pPr>
              <w:ind w:left="60"/>
              <w:spacing w:after="0"/>
              <w:rPr>
                <w:sz w:val="20"/>
                <w:szCs w:val="20"/>
                <w:color w:val="auto"/>
              </w:rPr>
            </w:pPr>
            <w:r>
              <w:rPr>
                <w:rFonts w:ascii="Courier New" w:cs="Courier New" w:eastAsia="Courier New" w:hAnsi="Courier New"/>
                <w:sz w:val="15"/>
                <w:szCs w:val="15"/>
                <w:color w:val="auto"/>
              </w:rPr>
              <w:t>Statements and Notes.</w:t>
            </w:r>
          </w:p>
        </w:tc>
      </w:tr>
    </w:tbl>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790" w:hanging="790"/>
        <w:spacing w:after="0"/>
        <w:tabs>
          <w:tab w:leader="none" w:pos="79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report.</w:t>
      </w:r>
    </w:p>
    <w:p>
      <w:pPr>
        <w:spacing w:after="0" w:line="339" w:lineRule="exact"/>
        <w:rPr>
          <w:sz w:val="20"/>
          <w:szCs w:val="20"/>
          <w:color w:val="auto"/>
        </w:rPr>
      </w:pPr>
    </w:p>
    <w:p>
      <w:pPr>
        <w:ind w:left="1590" w:hanging="796"/>
        <w:spacing w:after="0"/>
        <w:tabs>
          <w:tab w:leader="none" w:pos="159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5" w:lineRule="exact"/>
        <w:rPr>
          <w:sz w:val="20"/>
          <w:szCs w:val="20"/>
          <w:color w:val="auto"/>
        </w:rPr>
      </w:pPr>
    </w:p>
    <w:p>
      <w:pPr>
        <w:ind w:left="10" w:right="3259" w:firstLine="793"/>
        <w:spacing w:after="0" w:line="235" w:lineRule="auto"/>
        <w:rPr>
          <w:sz w:val="20"/>
          <w:szCs w:val="20"/>
          <w:color w:val="auto"/>
        </w:rPr>
      </w:pPr>
      <w:r>
        <w:rPr>
          <w:rFonts w:ascii="Courier New" w:cs="Courier New" w:eastAsia="Courier New" w:hAnsi="Courier New"/>
          <w:sz w:val="15"/>
          <w:szCs w:val="15"/>
          <w:color w:val="auto"/>
        </w:rPr>
        <w:t>We filed the following Current Reports on Form 8-K with the Securities and Exchange Commission during the quarter ended March 31, 2000:</w:t>
      </w:r>
    </w:p>
    <w:p>
      <w:pPr>
        <w:spacing w:after="0" w:line="176" w:lineRule="exact"/>
        <w:rPr>
          <w:sz w:val="20"/>
          <w:szCs w:val="20"/>
          <w:color w:val="auto"/>
        </w:rPr>
      </w:pPr>
    </w:p>
    <w:p>
      <w:pPr>
        <w:ind w:left="10" w:right="3259" w:firstLine="1577"/>
        <w:spacing w:after="0" w:line="235" w:lineRule="auto"/>
        <w:tabs>
          <w:tab w:leader="none" w:pos="19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dated January 11, 2000, was filed with the Securities and Exchange Commission on January 11, 2000</w:t>
      </w:r>
    </w:p>
    <w:p>
      <w:pPr>
        <w:spacing w:after="0" w:line="1"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(Item 5 and 7).</w:t>
      </w:r>
    </w:p>
    <w:p>
      <w:pPr>
        <w:spacing w:after="0" w:line="174" w:lineRule="exact"/>
        <w:rPr>
          <w:rFonts w:ascii="Courier New" w:cs="Courier New" w:eastAsia="Courier New" w:hAnsi="Courier New"/>
          <w:sz w:val="15"/>
          <w:szCs w:val="15"/>
          <w:color w:val="auto"/>
        </w:rPr>
      </w:pPr>
    </w:p>
    <w:p>
      <w:pPr>
        <w:ind w:left="10" w:right="3259" w:firstLine="1577"/>
        <w:spacing w:after="0" w:line="237" w:lineRule="auto"/>
        <w:tabs>
          <w:tab w:leader="none" w:pos="203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dated March 16, 2000, was filed with the Securities and Exchange Commission on March 22, 2000 and amended on April 27, 2000 (Items 5 and 7).</w:t>
      </w:r>
    </w:p>
    <w:p>
      <w:pPr>
        <w:spacing w:after="0" w:line="174" w:lineRule="exact"/>
        <w:rPr>
          <w:rFonts w:ascii="Courier New" w:cs="Courier New" w:eastAsia="Courier New" w:hAnsi="Courier New"/>
          <w:sz w:val="15"/>
          <w:szCs w:val="15"/>
          <w:color w:val="auto"/>
        </w:rPr>
      </w:pPr>
    </w:p>
    <w:p>
      <w:pPr>
        <w:ind w:left="2110" w:hanging="523"/>
        <w:spacing w:after="0"/>
        <w:tabs>
          <w:tab w:leader="none" w:pos="211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current report on Form 8-K, dated March 28, 2000, was</w:t>
      </w:r>
    </w:p>
    <w:p>
      <w:pPr>
        <w:spacing w:after="0" w:line="10" w:lineRule="exact"/>
        <w:rPr>
          <w:rFonts w:ascii="Courier New" w:cs="Courier New" w:eastAsia="Courier New" w:hAnsi="Courier New"/>
          <w:sz w:val="14"/>
          <w:szCs w:val="14"/>
          <w:color w:val="auto"/>
        </w:rPr>
      </w:pPr>
    </w:p>
    <w:p>
      <w:pPr>
        <w:ind w:left="10" w:right="431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filed with the Securities and Exchange Commission on March 28, 2000 (Items 5 and 7).</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9"/>
          </w:cols>
          <w:pgMar w:left="230" w:top="283"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21</w:t>
      </w:r>
    </w:p>
    <w:p>
      <w:pPr>
        <w:ind w:left="3090"/>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amended report to be signed on its behalf by the undersigned thereunto duly authorized.</w:t>
      </w:r>
    </w:p>
    <w:p>
      <w:pPr>
        <w:spacing w:after="0" w:line="169" w:lineRule="exact"/>
        <w:rPr>
          <w:sz w:val="20"/>
          <w:szCs w:val="20"/>
          <w:color w:val="auto"/>
        </w:rPr>
      </w:pPr>
    </w:p>
    <w:p>
      <w:pPr>
        <w:ind w:left="2730"/>
        <w:spacing w:after="0"/>
        <w:rPr>
          <w:sz w:val="20"/>
          <w:szCs w:val="20"/>
          <w:color w:val="auto"/>
        </w:rPr>
      </w:pPr>
      <w:r>
        <w:rPr>
          <w:rFonts w:ascii="Courier New" w:cs="Courier New" w:eastAsia="Courier New" w:hAnsi="Courier New"/>
          <w:sz w:val="15"/>
          <w:szCs w:val="15"/>
          <w:color w:val="auto"/>
        </w:rPr>
        <w:t>CHECKFREE HOLDINGS CORPORATION</w:t>
      </w:r>
    </w:p>
    <w:p>
      <w:pPr>
        <w:sectPr>
          <w:pgSz w:w="11900" w:h="16838" w:orient="portrait"/>
          <w:cols w:equalWidth="0" w:num="1">
            <w:col w:w="10229"/>
          </w:cols>
          <w:pgMar w:left="230" w:top="283" w:right="1440" w:bottom="1440" w:gutter="0" w:footer="0" w:header="0"/>
        </w:sectPr>
      </w:pPr>
    </w:p>
    <w:p>
      <w:pPr>
        <w:spacing w:after="0" w:line="344"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July 7, 2000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Mangum</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David Mangum, Executive Vice President and</w:t>
      </w:r>
    </w:p>
    <w:p>
      <w:pPr>
        <w:ind w:left="360"/>
        <w:spacing w:after="0"/>
        <w:rPr>
          <w:sz w:val="20"/>
          <w:szCs w:val="20"/>
          <w:color w:val="auto"/>
        </w:rPr>
      </w:pPr>
      <w:r>
        <w:rPr>
          <w:rFonts w:ascii="Courier New" w:cs="Courier New" w:eastAsia="Courier New" w:hAnsi="Courier New"/>
          <w:sz w:val="15"/>
          <w:szCs w:val="15"/>
          <w:color w:val="auto"/>
        </w:rPr>
        <w:t>Chief Financial Officer*</w:t>
      </w:r>
    </w:p>
    <w:p>
      <w:pPr>
        <w:ind w:left="360"/>
        <w:spacing w:after="0"/>
        <w:rPr>
          <w:sz w:val="20"/>
          <w:szCs w:val="20"/>
          <w:color w:val="auto"/>
        </w:rPr>
      </w:pPr>
      <w:r>
        <w:rPr>
          <w:rFonts w:ascii="Courier New" w:cs="Courier New" w:eastAsia="Courier New" w:hAnsi="Courier New"/>
          <w:sz w:val="15"/>
          <w:szCs w:val="15"/>
          <w:color w:val="auto"/>
        </w:rPr>
        <w:t>(Principal Financial Officer)</w:t>
      </w:r>
    </w:p>
    <w:p>
      <w:pPr>
        <w:spacing w:after="0" w:line="168" w:lineRule="exact"/>
        <w:rPr>
          <w:sz w:val="20"/>
          <w:szCs w:val="20"/>
          <w:color w:val="auto"/>
        </w:rPr>
      </w:pPr>
    </w:p>
    <w:p>
      <w:pPr>
        <w:sectPr>
          <w:pgSz w:w="11900" w:h="16838" w:orient="portrait"/>
          <w:cols w:equalWidth="0" w:num="2">
            <w:col w:w="2010" w:space="720"/>
            <w:col w:w="7499"/>
          </w:cols>
          <w:pgMar w:left="230" w:top="283" w:right="1440" w:bottom="1440" w:gutter="0" w:footer="0" w:header="0"/>
          <w:type w:val="continuous"/>
        </w:sectPr>
      </w:pPr>
    </w:p>
    <w:p>
      <w:pPr>
        <w:spacing w:after="0" w:line="6"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Date: July 7, 2000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By: /s/ Gary A. Luoma, Jr.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Gary A. Luoma, Jr., Vice President, Chief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Accounting Officer, and Assistant Secretary</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(Principal Accounting Officer)</w:t>
      </w:r>
    </w:p>
    <w:p>
      <w:pPr>
        <w:spacing w:after="0" w:line="175" w:lineRule="exact"/>
        <w:rPr>
          <w:sz w:val="20"/>
          <w:szCs w:val="20"/>
          <w:color w:val="auto"/>
        </w:rPr>
      </w:pPr>
    </w:p>
    <w:p>
      <w:pPr>
        <w:sectPr>
          <w:pgSz w:w="11900" w:h="16838" w:orient="portrait"/>
          <w:cols w:equalWidth="0" w:num="2">
            <w:col w:w="2010" w:space="720"/>
            <w:col w:w="7499"/>
          </w:cols>
          <w:pgMar w:left="230" w:top="283" w:right="1440" w:bottom="1440" w:gutter="0" w:footer="0" w:header="0"/>
          <w:type w:val="continuous"/>
        </w:sectPr>
      </w:pPr>
    </w:p>
    <w:p>
      <w:pPr>
        <w:ind w:left="790" w:right="3179" w:hanging="790"/>
        <w:spacing w:after="0" w:line="237" w:lineRule="auto"/>
        <w:tabs>
          <w:tab w:leader="none" w:pos="79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Executive Vice President and Chief Financial Officer, Mr. Mangum is duly authorized to sign this report on behalf of the Registrant.</w:t>
      </w:r>
    </w:p>
    <w:p>
      <w:pPr>
        <w:spacing w:after="0" w:line="339"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283"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22</w:t>
      </w:r>
    </w:p>
    <w:p>
      <w:pPr>
        <w:spacing w:after="0" w:line="33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CHECKFREE HOLDINGS CORPORATION</w:t>
      </w:r>
    </w:p>
    <w:p>
      <w:pPr>
        <w:spacing w:after="0" w:line="169" w:lineRule="exact"/>
        <w:rPr>
          <w:sz w:val="20"/>
          <w:szCs w:val="20"/>
          <w:color w:val="auto"/>
        </w:rPr>
      </w:pPr>
    </w:p>
    <w:p>
      <w:pPr>
        <w:jc w:val="right"/>
        <w:ind w:right="5299"/>
        <w:spacing w:after="0"/>
        <w:rPr>
          <w:sz w:val="20"/>
          <w:szCs w:val="20"/>
          <w:color w:val="auto"/>
        </w:rPr>
      </w:pPr>
      <w:r>
        <w:rPr>
          <w:rFonts w:ascii="Courier New" w:cs="Courier New" w:eastAsia="Courier New" w:hAnsi="Courier New"/>
          <w:sz w:val="15"/>
          <w:szCs w:val="15"/>
          <w:color w:val="auto"/>
        </w:rPr>
        <w:t>FORM 10-Q FOR THE QUARTER ENDED</w:t>
      </w:r>
    </w:p>
    <w:p>
      <w:pPr>
        <w:jc w:val="right"/>
        <w:ind w:right="6079"/>
        <w:spacing w:after="0"/>
        <w:rPr>
          <w:sz w:val="20"/>
          <w:szCs w:val="20"/>
          <w:color w:val="auto"/>
        </w:rPr>
      </w:pPr>
      <w:r>
        <w:rPr>
          <w:rFonts w:ascii="Courier New" w:cs="Courier New" w:eastAsia="Courier New" w:hAnsi="Courier New"/>
          <w:sz w:val="15"/>
          <w:szCs w:val="15"/>
          <w:color w:val="auto"/>
        </w:rPr>
        <w:t>MARCH 31, 2000</w:t>
      </w:r>
    </w:p>
    <w:p>
      <w:pPr>
        <w:spacing w:after="0" w:line="169" w:lineRule="exact"/>
        <w:rPr>
          <w:sz w:val="20"/>
          <w:szCs w:val="20"/>
          <w:color w:val="auto"/>
        </w:rPr>
      </w:pPr>
    </w:p>
    <w:p>
      <w:pPr>
        <w:jc w:val="right"/>
        <w:ind w:right="6079"/>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83"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14"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19"/>
          </w:cols>
          <w:pgMar w:left="240" w:top="283" w:right="1440" w:bottom="1440" w:gutter="0" w:footer="0" w:header="0"/>
        </w:sectPr>
      </w:pPr>
    </w:p>
    <w:p>
      <w:pPr>
        <w:spacing w:after="0" w:line="18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EXHIBIT</w:t>
      </w:r>
    </w:p>
    <w:p>
      <w:pPr>
        <w:spacing w:after="0" w:line="5"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NUMBER</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DESCRIPTION</w:t>
      </w: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174" w:lineRule="exact"/>
        <w:rPr>
          <w:sz w:val="20"/>
          <w:szCs w:val="20"/>
          <w:color w:val="auto"/>
        </w:rPr>
      </w:pPr>
    </w:p>
    <w:p>
      <w:pPr>
        <w:sectPr>
          <w:pgSz w:w="11900" w:h="16838" w:orient="portrait"/>
          <w:cols w:equalWidth="0" w:num="2">
            <w:col w:w="2360" w:space="720"/>
            <w:col w:w="7139"/>
          </w:cols>
          <w:pgMar w:left="240" w:top="283" w:right="1440" w:bottom="1440" w:gutter="0" w:footer="0" w:header="0"/>
          <w:type w:val="continuous"/>
        </w:sectPr>
      </w:pPr>
    </w:p>
    <w:p>
      <w:pPr>
        <w:ind w:left="700"/>
        <w:spacing w:after="0"/>
        <w:rPr>
          <w:sz w:val="20"/>
          <w:szCs w:val="20"/>
          <w:color w:val="auto"/>
        </w:rPr>
      </w:pPr>
      <w:r>
        <w:rPr>
          <w:rFonts w:ascii="Courier New" w:cs="Courier New" w:eastAsia="Courier New" w:hAnsi="Courier New"/>
          <w:sz w:val="15"/>
          <w:szCs w:val="15"/>
          <w:color w:val="auto"/>
        </w:rPr>
        <w:t>99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CheckFree Management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Interim Unaudited Condensed Financial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and Notes.</w:t>
      </w:r>
    </w:p>
    <w:p>
      <w:pPr>
        <w:spacing w:after="0" w:line="175" w:lineRule="exact"/>
        <w:rPr>
          <w:sz w:val="20"/>
          <w:szCs w:val="20"/>
          <w:color w:val="auto"/>
        </w:rPr>
      </w:pPr>
    </w:p>
    <w:p>
      <w:pPr>
        <w:sectPr>
          <w:pgSz w:w="11900" w:h="16838" w:orient="portrait"/>
          <w:cols w:equalWidth="0" w:num="2">
            <w:col w:w="2360" w:space="720"/>
            <w:col w:w="7139"/>
          </w:cols>
          <w:pgMar w:left="240" w:top="28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3" w:right="1440" w:bottom="1440" w:gutter="0" w:footer="0" w:header="0"/>
          <w:type w:val="continuous"/>
        </w:sectPr>
      </w:pPr>
    </w:p>
    <w:p>
      <w:pPr>
        <w:spacing w:after="0" w:line="180"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Previously filed with this report.</w:t>
      </w:r>
    </w:p>
    <w:p>
      <w:pPr>
        <w:sectPr>
          <w:pgSz w:w="11900" w:h="16838" w:orient="portrait"/>
          <w:cols w:equalWidth="0" w:num="1">
            <w:col w:w="10219"/>
          </w:cols>
          <w:pgMar w:left="240" w:top="283" w:right="1440" w:bottom="1440" w:gutter="0" w:footer="0" w:header="0"/>
          <w:type w:val="continuous"/>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1</w:t>
      </w:r>
    </w:p>
    <w:tbl>
      <w:tblPr>
        <w:tblLayout w:type="fixed"/>
        <w:tblInd w:w="0" w:type="dxa"/>
        <w:tblCellMar>
          <w:top w:w="0" w:type="dxa"/>
          <w:left w:w="0" w:type="dxa"/>
          <w:bottom w:w="0" w:type="dxa"/>
          <w:right w:w="0" w:type="dxa"/>
        </w:tblCellMar>
      </w:tblP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Exhibit 99</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7180" w:type="dxa"/>
            <w:vAlign w:val="bottom"/>
          </w:tcPr>
          <w:p>
            <w:pPr>
              <w:jc w:val="right"/>
              <w:ind w:right="2187"/>
              <w:spacing w:after="0"/>
              <w:rPr>
                <w:sz w:val="20"/>
                <w:szCs w:val="20"/>
                <w:color w:val="auto"/>
              </w:rPr>
            </w:pPr>
            <w:r>
              <w:rPr>
                <w:rFonts w:ascii="Courier New" w:cs="Courier New" w:eastAsia="Courier New" w:hAnsi="Courier New"/>
                <w:sz w:val="15"/>
                <w:szCs w:val="15"/>
                <w:color w:val="auto"/>
              </w:rPr>
              <w:t>CHECKFREE MANAGEMENT CORPORATION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180" w:type="dxa"/>
            <w:vAlign w:val="bottom"/>
          </w:tcPr>
          <w:p>
            <w:pPr>
              <w:jc w:val="right"/>
              <w:ind w:right="2087"/>
              <w:spacing w:after="0"/>
              <w:rPr>
                <w:sz w:val="20"/>
                <w:szCs w:val="20"/>
                <w:color w:val="auto"/>
              </w:rPr>
            </w:pPr>
            <w:r>
              <w:rPr>
                <w:rFonts w:ascii="Courier New" w:cs="Courier New" w:eastAsia="Courier New" w:hAnsi="Courier New"/>
                <w:sz w:val="15"/>
                <w:szCs w:val="15"/>
                <w:color w:val="auto"/>
              </w:rPr>
              <w:t>UNAUDITED CONDENSED BALANCE SHEETS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78"/>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4"/>
              </w:rPr>
              <w:t>JUNE 30,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r>
      <w:tr>
        <w:trPr>
          <w:trHeight w:val="170"/>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spacing w:after="0"/>
              <w:rPr>
                <w:sz w:val="14"/>
                <w:szCs w:val="14"/>
                <w:color w:val="auto"/>
              </w:rPr>
            </w:pPr>
          </w:p>
        </w:tc>
        <w:tc>
          <w:tcPr>
            <w:tcW w:w="216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(IN THOUSANDS, EXCEPT</w:t>
            </w:r>
          </w:p>
        </w:tc>
      </w:tr>
      <w:tr>
        <w:trPr>
          <w:trHeight w:val="170"/>
        </w:trPr>
        <w:tc>
          <w:tcPr>
            <w:tcW w:w="7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SHARE DATA)</w:t>
            </w:r>
          </w:p>
        </w:tc>
      </w:tr>
      <w:tr>
        <w:trPr>
          <w:trHeight w:val="339"/>
        </w:trPr>
        <w:tc>
          <w:tcPr>
            <w:tcW w:w="718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Cash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Related party note receivable, current portion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3,060</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assets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2,261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3,061</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Related party note receivable, less current portion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27,798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25,200</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28,261</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09"/>
        </w:trPr>
        <w:tc>
          <w:tcPr>
            <w:tcW w:w="718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LIABILITIES AND STOCKHOLDERS' EQUITY</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Claims payable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379</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Accrued liabilities ......................................................</w:t>
            </w:r>
          </w:p>
        </w:tc>
        <w:tc>
          <w:tcPr>
            <w:tcW w:w="30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Deposit for future claims liability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1,970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3,060</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current liabilities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2,288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3,729</w:t>
            </w:r>
          </w:p>
        </w:tc>
      </w:tr>
      <w:tr>
        <w:trPr>
          <w:trHeight w:val="339"/>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7"/>
              </w:rPr>
              <w:t>Deposit for future claims liability, less current portion ......................</w:t>
            </w:r>
          </w:p>
        </w:tc>
        <w:tc>
          <w:tcPr>
            <w:tcW w:w="30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27,430</w:t>
            </w: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24,181</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Class C, 350 authorized shares, $100 par value; 350 shares issued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outstanding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0"/>
        </w:trPr>
        <w:tc>
          <w:tcPr>
            <w:tcW w:w="7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Class D, 750 authorized shares, $100 par value; 750 shares issued and</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outstanding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redeemable preferred stock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339"/>
        </w:trPr>
        <w:tc>
          <w:tcPr>
            <w:tcW w:w="7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Preferred stock- Class B, 600 authorized shares, $100 par value; 600 shares</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issued, no amounts outstanding .........................................</w:t>
            </w:r>
          </w:p>
        </w:tc>
        <w:tc>
          <w:tcPr>
            <w:tcW w:w="300" w:type="dxa"/>
            <w:vAlign w:val="bottom"/>
          </w:tcPr>
          <w:p>
            <w:pPr>
              <w:spacing w:after="0"/>
              <w:rPr>
                <w:sz w:val="14"/>
                <w:szCs w:val="1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Common stock- Class A, 1,900 authorized shares, $100 par value; 1,900</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shares issued and outstanding...........................................</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Retained earnings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stockholders' equity .................................</w:t>
            </w:r>
          </w:p>
        </w:tc>
        <w:tc>
          <w:tcPr>
            <w:tcW w:w="300" w:type="dxa"/>
            <w:vAlign w:val="bottom"/>
          </w:tcPr>
          <w:p>
            <w:pPr>
              <w:spacing w:after="0"/>
              <w:rPr>
                <w:sz w:val="14"/>
                <w:szCs w:val="1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7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Total .....................................................</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30,059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28,261</w:t>
            </w:r>
          </w:p>
        </w:tc>
      </w:tr>
      <w:tr>
        <w:trPr>
          <w:trHeight w:val="170"/>
        </w:trPr>
        <w:tc>
          <w:tcPr>
            <w:tcW w:w="7180" w:type="dxa"/>
            <w:vAlign w:val="bottom"/>
          </w:tcPr>
          <w:p>
            <w:pPr>
              <w:spacing w:after="0"/>
              <w:rPr>
                <w:sz w:val="14"/>
                <w:szCs w:val="14"/>
                <w:color w:val="auto"/>
              </w:rPr>
            </w:pP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Interim Unaudited Condensed Financial Statements</w:t>
      </w:r>
    </w:p>
    <w:p>
      <w:pPr>
        <w:sectPr>
          <w:pgSz w:w="11900" w:h="16838" w:orient="portrait"/>
          <w:cols w:equalWidth="0" w:num="1">
            <w:col w:w="10219"/>
          </w:cols>
          <w:pgMar w:left="240" w:top="136"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CHECKFREE MANAGEMENT CORPORATION</w:t>
      </w:r>
    </w:p>
    <w:p>
      <w:pPr>
        <w:jc w:val="center"/>
        <w:ind w:right="4060"/>
        <w:spacing w:after="0"/>
        <w:rPr>
          <w:sz w:val="20"/>
          <w:szCs w:val="20"/>
          <w:color w:val="auto"/>
        </w:rPr>
      </w:pPr>
      <w:r>
        <w:rPr>
          <w:rFonts w:ascii="Courier New" w:cs="Courier New" w:eastAsia="Courier New" w:hAnsi="Courier New"/>
          <w:sz w:val="15"/>
          <w:szCs w:val="15"/>
          <w:color w:val="auto"/>
        </w:rPr>
        <w:t>UNAUDITED CONDENSED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8, 1998</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(DATE OF</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rPr>
              <w:t>INCEPTION)</w:t>
            </w:r>
          </w:p>
        </w:tc>
        <w:tc>
          <w:tcPr>
            <w:tcW w:w="220" w:type="dxa"/>
            <w:vAlign w:val="bottom"/>
          </w:tcPr>
          <w:p>
            <w:pPr>
              <w:spacing w:after="0"/>
              <w:rPr>
                <w:sz w:val="14"/>
                <w:szCs w:val="14"/>
                <w:color w:val="auto"/>
              </w:rPr>
            </w:pP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NINE MONTHS</w:t>
            </w:r>
          </w:p>
        </w:tc>
      </w:t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w w:val="96"/>
              </w:rPr>
              <w:t>THREE MONTHS ENDED MARCH 31,</w:t>
            </w:r>
          </w:p>
        </w:tc>
        <w:tc>
          <w:tcPr>
            <w:tcW w:w="220" w:type="dxa"/>
            <w:vAlign w:val="bottom"/>
          </w:tcPr>
          <w:p>
            <w:pPr>
              <w:spacing w:after="0"/>
              <w:rPr>
                <w:sz w:val="14"/>
                <w:szCs w:val="14"/>
                <w:color w:val="auto"/>
              </w:rPr>
            </w:pPr>
          </w:p>
        </w:tc>
        <w:tc>
          <w:tcPr>
            <w:tcW w:w="14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TO</w:t>
            </w:r>
          </w:p>
        </w:tc>
        <w:tc>
          <w:tcPr>
            <w:tcW w:w="220" w:type="dxa"/>
            <w:vAlign w:val="bottom"/>
          </w:tcPr>
          <w:p>
            <w:pPr>
              <w:spacing w:after="0"/>
              <w:rPr>
                <w:sz w:val="14"/>
                <w:szCs w:val="14"/>
                <w:color w:val="auto"/>
              </w:rPr>
            </w:pPr>
          </w:p>
        </w:tc>
        <w:tc>
          <w:tcPr>
            <w:tcW w:w="13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ENDED</w:t>
            </w:r>
          </w:p>
        </w:tc>
      </w:t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2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4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MARCH 31, 1999</w:t>
            </w:r>
          </w:p>
        </w:tc>
        <w:tc>
          <w:tcPr>
            <w:tcW w:w="220" w:type="dxa"/>
            <w:vAlign w:val="bottom"/>
          </w:tcPr>
          <w:p>
            <w:pPr>
              <w:spacing w:after="0"/>
              <w:rPr>
                <w:sz w:val="14"/>
                <w:szCs w:val="14"/>
                <w:color w:val="auto"/>
              </w:rPr>
            </w:pPr>
          </w:p>
        </w:tc>
        <w:tc>
          <w:tcPr>
            <w:tcW w:w="13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MARCH 31, 2000</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3"/>
          </w:tcPr>
          <w:p>
            <w:pPr>
              <w:jc w:val="right"/>
              <w:ind w:right="1027"/>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9"/>
        </w:trPr>
        <w:tc>
          <w:tcPr>
            <w:tcW w:w="4520" w:type="dxa"/>
            <w:vAlign w:val="bottom"/>
          </w:tcPr>
          <w:p>
            <w:pPr>
              <w:jc w:val="right"/>
              <w:ind w:right="3667"/>
              <w:spacing w:after="0"/>
              <w:rPr>
                <w:sz w:val="20"/>
                <w:szCs w:val="20"/>
                <w:color w:val="auto"/>
              </w:rPr>
            </w:pPr>
            <w:r>
              <w:rPr>
                <w:rFonts w:ascii="Courier New" w:cs="Courier New" w:eastAsia="Courier New" w:hAnsi="Courier New"/>
                <w:sz w:val="15"/>
                <w:szCs w:val="15"/>
                <w:color w:val="auto"/>
                <w:w w:val="93"/>
              </w:rPr>
              <w:t>Revenues: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Interest income from related party ..........</w:t>
            </w:r>
          </w:p>
        </w:tc>
        <w:tc>
          <w:tcPr>
            <w:tcW w:w="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1,863</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Other interest income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revenues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665</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614</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702</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339"/>
        </w:trPr>
        <w:tc>
          <w:tcPr>
            <w:tcW w:w="4520" w:type="dxa"/>
            <w:vAlign w:val="bottom"/>
          </w:tcPr>
          <w:p>
            <w:pPr>
              <w:jc w:val="right"/>
              <w:ind w:right="3667"/>
              <w:spacing w:after="0"/>
              <w:rPr>
                <w:sz w:val="20"/>
                <w:szCs w:val="20"/>
                <w:color w:val="auto"/>
              </w:rPr>
            </w:pPr>
            <w:r>
              <w:rPr>
                <w:rFonts w:ascii="Courier New" w:cs="Courier New" w:eastAsia="Courier New" w:hAnsi="Courier New"/>
                <w:sz w:val="15"/>
                <w:szCs w:val="15"/>
                <w:color w:val="auto"/>
                <w:w w:val="93"/>
              </w:rPr>
              <w:t>Expenses: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Interest expense on deposit for future claims</w:t>
            </w: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liability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604</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553</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604</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General and administrative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Total expenses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662</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610</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662</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1,863</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Income before income tax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Income tax expense ...............................</w:t>
            </w:r>
          </w:p>
        </w:tc>
        <w:tc>
          <w:tcPr>
            <w:tcW w:w="320" w:type="dxa"/>
            <w:vAlign w:val="bottom"/>
          </w:tcPr>
          <w:p>
            <w:pPr>
              <w:spacing w:after="0"/>
              <w:rPr>
                <w:sz w:val="14"/>
                <w:szCs w:val="14"/>
                <w:color w:val="auto"/>
              </w:rPr>
            </w:pP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2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income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Dividends on redeemable preferred stock ..........</w:t>
            </w:r>
          </w:p>
        </w:tc>
        <w:tc>
          <w:tcPr>
            <w:tcW w:w="320" w:type="dxa"/>
            <w:vAlign w:val="bottom"/>
          </w:tcPr>
          <w:p>
            <w:pPr>
              <w:spacing w:after="0"/>
              <w:rPr>
                <w:sz w:val="14"/>
                <w:szCs w:val="14"/>
                <w:color w:val="auto"/>
              </w:rPr>
            </w:pP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14"/>
                <w:szCs w:val="14"/>
                <w:color w:val="auto"/>
              </w:rPr>
            </w:pP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452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7"/>
              </w:rPr>
              <w:t>Net income applicable to common shareholders .....</w:t>
            </w:r>
          </w:p>
        </w:tc>
        <w:tc>
          <w:tcPr>
            <w:tcW w:w="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4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0"/>
        </w:trPr>
        <w:tc>
          <w:tcPr>
            <w:tcW w:w="4520" w:type="dxa"/>
            <w:vAlign w:val="bottom"/>
          </w:tcPr>
          <w:p>
            <w:pPr>
              <w:spacing w:after="0"/>
              <w:rPr>
                <w:sz w:val="14"/>
                <w:szCs w:val="14"/>
                <w:color w:val="auto"/>
              </w:rPr>
            </w:pPr>
          </w:p>
        </w:tc>
        <w:tc>
          <w:tcPr>
            <w:tcW w:w="16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Interim Unaudited Condensed Financial Statements</w:t>
      </w:r>
    </w:p>
    <w:p>
      <w:pPr>
        <w:sectPr>
          <w:pgSz w:w="11900" w:h="16838" w:orient="portrait"/>
          <w:cols w:equalWidth="0" w:num="1">
            <w:col w:w="11100"/>
          </w:cols>
          <w:pgMar w:left="240" w:top="283" w:right="559"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CHECKFREE MANAGEMENT CORPORATION</w:t>
      </w:r>
    </w:p>
    <w:p>
      <w:pPr>
        <w:jc w:val="center"/>
        <w:ind w:right="3179"/>
        <w:spacing w:after="0"/>
        <w:rPr>
          <w:sz w:val="20"/>
          <w:szCs w:val="20"/>
          <w:color w:val="auto"/>
        </w:rPr>
      </w:pPr>
      <w:r>
        <w:rPr>
          <w:rFonts w:ascii="Courier New" w:cs="Courier New" w:eastAsia="Courier New" w:hAnsi="Courier New"/>
          <w:sz w:val="15"/>
          <w:szCs w:val="15"/>
          <w:color w:val="auto"/>
        </w:rPr>
        <w:t>UNAUDITED CONDENSED STATEMENTS OF CASH FLOWS</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DECEMBER 8, 1998</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w w:val="94"/>
              </w:rPr>
              <w:t>(DATE OF</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7"/>
              </w:rPr>
              <w:t>INCEPTION)</w:t>
            </w: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ind w:right="427"/>
              <w:spacing w:after="0"/>
              <w:rPr>
                <w:sz w:val="20"/>
                <w:szCs w:val="20"/>
                <w:color w:val="auto"/>
              </w:rPr>
            </w:pPr>
            <w:r>
              <w:rPr>
                <w:rFonts w:ascii="Courier New" w:cs="Courier New" w:eastAsia="Courier New" w:hAnsi="Courier New"/>
                <w:sz w:val="15"/>
                <w:szCs w:val="15"/>
                <w:color w:val="auto"/>
                <w:w w:val="99"/>
              </w:rPr>
              <w:t>TO</w:t>
            </w:r>
          </w:p>
        </w:tc>
        <w:tc>
          <w:tcPr>
            <w:tcW w:w="220" w:type="dxa"/>
            <w:vAlign w:val="bottom"/>
          </w:tcPr>
          <w:p>
            <w:pPr>
              <w:spacing w:after="0"/>
              <w:rPr>
                <w:sz w:val="14"/>
                <w:szCs w:val="14"/>
                <w:color w:val="auto"/>
              </w:rPr>
            </w:pPr>
          </w:p>
        </w:tc>
        <w:tc>
          <w:tcPr>
            <w:tcW w:w="14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NINE MONTHS</w:t>
            </w: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ENDED MARCH 31,</w:t>
            </w: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center"/>
              <w:ind w:right="407"/>
              <w:spacing w:after="0"/>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2000</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980" w:type="dxa"/>
            <w:vAlign w:val="bottom"/>
            <w:gridSpan w:val="3"/>
          </w:tcPr>
          <w:p>
            <w:pPr>
              <w:jc w:val="right"/>
              <w:ind w:right="967"/>
              <w:spacing w:after="0"/>
              <w:rPr>
                <w:sz w:val="20"/>
                <w:szCs w:val="20"/>
                <w:color w:val="auto"/>
              </w:rPr>
            </w:pPr>
            <w:r>
              <w:rPr>
                <w:rFonts w:ascii="Courier New" w:cs="Courier New" w:eastAsia="Courier New" w:hAnsi="Courier New"/>
                <w:sz w:val="15"/>
                <w:szCs w:val="15"/>
                <w:color w:val="auto"/>
              </w:rPr>
              <w:t>(IN THOUSANDS)</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(loss)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cash provided by operating activities ......</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Loan to related party .........................................</w:t>
            </w:r>
          </w:p>
        </w:tc>
        <w:tc>
          <w:tcPr>
            <w:tcW w:w="44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(30,512)</w:t>
            </w:r>
          </w:p>
        </w:tc>
        <w:tc>
          <w:tcPr>
            <w:tcW w:w="2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Principal payments on related party loan ......................</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1,507</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Net cash provided by (used in) investing</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(30,163)</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1,507</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assumption of health plan liabilities ...........</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30,472</w:t>
            </w:r>
          </w:p>
        </w:tc>
        <w:tc>
          <w:tcPr>
            <w:tcW w:w="2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Payments made on health plan liabilities ......................</w:t>
            </w:r>
          </w:p>
        </w:tc>
        <w:tc>
          <w:tcPr>
            <w:tcW w:w="440" w:type="dxa"/>
            <w:vAlign w:val="bottom"/>
          </w:tcPr>
          <w:p>
            <w:pPr>
              <w:spacing w:after="0"/>
              <w:rPr>
                <w:sz w:val="14"/>
                <w:szCs w:val="14"/>
                <w:color w:val="auto"/>
              </w:rPr>
            </w:pPr>
          </w:p>
        </w:tc>
        <w:tc>
          <w:tcPr>
            <w:tcW w:w="1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(609)</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(1,890)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Advance from related party, net................................</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90</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Proceeds from issuance of stock ...............................</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Redeemable preferred stock dividends paid .....................</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Net cash provided by (used in) financing</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activities....................................</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30,163</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(1,809)</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Net increase (decrease) in cash ...................................</w:t>
            </w:r>
          </w:p>
        </w:tc>
        <w:tc>
          <w:tcPr>
            <w:tcW w:w="440" w:type="dxa"/>
            <w:vAlign w:val="bottom"/>
          </w:tcPr>
          <w:p>
            <w:pPr>
              <w:spacing w:after="0"/>
              <w:rPr>
                <w:sz w:val="14"/>
                <w:szCs w:val="14"/>
                <w:color w:val="auto"/>
              </w:rPr>
            </w:pP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(290)</w:t>
            </w:r>
          </w:p>
        </w:tc>
      </w:tr>
      <w:tr>
        <w:trPr>
          <w:trHeight w:val="170"/>
        </w:trPr>
        <w:tc>
          <w:tcPr>
            <w:tcW w:w="60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Beginning of period ...........................................</w:t>
            </w:r>
          </w:p>
        </w:tc>
        <w:tc>
          <w:tcPr>
            <w:tcW w:w="440" w:type="dxa"/>
            <w:vAlign w:val="bottom"/>
          </w:tcPr>
          <w:p>
            <w:pPr>
              <w:spacing w:after="0"/>
              <w:rPr>
                <w:sz w:val="14"/>
                <w:szCs w:val="1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291</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End of period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339"/>
        </w:trPr>
        <w:tc>
          <w:tcPr>
            <w:tcW w:w="60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paid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1,689</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70"/>
        </w:trPr>
        <w:tc>
          <w:tcPr>
            <w:tcW w:w="60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Dividends accrued on redeemable preferred stock ................</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w:t>
            </w:r>
          </w:p>
        </w:tc>
      </w:tr>
      <w:tr>
        <w:trPr>
          <w:trHeight w:val="170"/>
        </w:trPr>
        <w:tc>
          <w:tcPr>
            <w:tcW w:w="6080" w:type="dxa"/>
            <w:vAlign w:val="bottom"/>
          </w:tcPr>
          <w:p>
            <w:pPr>
              <w:spacing w:after="0"/>
              <w:rPr>
                <w:sz w:val="14"/>
                <w:szCs w:val="14"/>
                <w:color w:val="auto"/>
              </w:rPr>
            </w:pPr>
          </w:p>
        </w:tc>
        <w:tc>
          <w:tcPr>
            <w:tcW w:w="180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bl>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See notes to Interim Unaudited Condensed Financial Statements</w:t>
      </w:r>
    </w:p>
    <w:p>
      <w:pPr>
        <w:sectPr>
          <w:pgSz w:w="11900" w:h="16838" w:orient="portrait"/>
          <w:cols w:equalWidth="0" w:num="1">
            <w:col w:w="10219"/>
          </w:cols>
          <w:pgMar w:left="240" w:top="283"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08"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CHECKFREE MANAGEMENT CORPORATION</w:t>
      </w:r>
    </w:p>
    <w:p>
      <w:pPr>
        <w:ind w:left="1050"/>
        <w:spacing w:after="0"/>
        <w:rPr>
          <w:sz w:val="20"/>
          <w:szCs w:val="20"/>
          <w:color w:val="auto"/>
        </w:rPr>
      </w:pPr>
      <w:r>
        <w:rPr>
          <w:rFonts w:ascii="Courier New" w:cs="Courier New" w:eastAsia="Courier New" w:hAnsi="Courier New"/>
          <w:sz w:val="15"/>
          <w:szCs w:val="15"/>
          <w:color w:val="auto"/>
        </w:rPr>
        <w:t>NOTES TO INTERIM UNAUDITED CONDENSED FINANCIAL STATEMENTS</w:t>
      </w:r>
    </w:p>
    <w:p>
      <w:pPr>
        <w:ind w:left="1770"/>
        <w:spacing w:after="0"/>
        <w:rPr>
          <w:sz w:val="20"/>
          <w:szCs w:val="20"/>
          <w:color w:val="auto"/>
        </w:rPr>
      </w:pPr>
      <w:r>
        <w:rPr>
          <w:rFonts w:ascii="Courier New" w:cs="Courier New" w:eastAsia="Courier New" w:hAnsi="Courier New"/>
          <w:sz w:val="15"/>
          <w:szCs w:val="15"/>
          <w:color w:val="auto"/>
        </w:rPr>
        <w:t>FOR THE NINE MONTHS ENDED MARCH 31, 2000</w:t>
      </w:r>
    </w:p>
    <w:p>
      <w:pPr>
        <w:spacing w:after="0" w:line="338" w:lineRule="exact"/>
        <w:rPr>
          <w:sz w:val="20"/>
          <w:szCs w:val="20"/>
          <w:color w:val="auto"/>
        </w:rPr>
      </w:pPr>
    </w:p>
    <w:p>
      <w:pPr>
        <w:ind w:left="790" w:hanging="790"/>
        <w:spacing w:after="0"/>
        <w:tabs>
          <w:tab w:leader="none" w:pos="79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Management Corporation ("CheckFree Management") was formed from a plan of recapitalization of RCM Systems, Inc., a wholly owned subsidiary of CheckFree Holdings Corporation ("CheckFree Holdings"), on December 8, 1998. CheckFree Management was formed as a medical claims management subsidiary in order to appropriately minimize, control, and manage the medical claims liabilities of CheckFree Holdings and its subsidiaries.</w:t>
      </w:r>
    </w:p>
    <w:p>
      <w:pPr>
        <w:spacing w:after="0" w:line="176"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September 30, 1999, CheckFree Holdings and its subsidiaries owned approximately 63% of CheckFree Management. On November 19, 1999, CheckFree Corporation, a wholly owned subsidiary of CheckFree Holdings, purchased all outstanding shares of Class D Preferred Stock. Subsequent to this purchase, CheckFree Holdings and its subsidiaries own 89% of the Company.</w:t>
      </w:r>
    </w:p>
    <w:p>
      <w:pPr>
        <w:spacing w:after="0" w:line="175" w:lineRule="exact"/>
        <w:rPr>
          <w:rFonts w:ascii="Courier New" w:cs="Courier New" w:eastAsia="Courier New" w:hAnsi="Courier New"/>
          <w:sz w:val="15"/>
          <w:szCs w:val="15"/>
          <w:color w:val="auto"/>
        </w:rPr>
      </w:pPr>
    </w:p>
    <w:p>
      <w:pPr>
        <w:ind w:left="790" w:right="3179"/>
        <w:spacing w:after="0" w:line="25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nine months ended March 31, 2000 are not necessarily indicative of the results for the full year.</w:t>
      </w:r>
    </w:p>
    <w:p>
      <w:pPr>
        <w:spacing w:after="0" w:line="167"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of CheckFree Management included within CheckFree Holdings Corporation and Subsidiaries Annual Report filed with the Securities and Exchange Commission on Form 10-K/A.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2"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REDEEMABLE PREFERRED STOCK DIVIDEND</w:t>
      </w:r>
    </w:p>
    <w:p>
      <w:pPr>
        <w:spacing w:after="0" w:line="174" w:lineRule="exact"/>
        <w:rPr>
          <w:rFonts w:ascii="Courier New" w:cs="Courier New" w:eastAsia="Courier New" w:hAnsi="Courier New"/>
          <w:sz w:val="15"/>
          <w:szCs w:val="15"/>
          <w:color w:val="auto"/>
        </w:rPr>
      </w:pPr>
    </w:p>
    <w:p>
      <w:pPr>
        <w:ind w:left="790" w:right="325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March 31, 2000, CheckFree Management declared and paid approximately $9,000 of previously accrued redeemable preferred stock dividends.</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w:t>
      </w:r>
    </w:p>
    <w:p>
      <w:pPr>
        <w:spacing w:after="0" w:line="174" w:lineRule="exact"/>
        <w:rPr>
          <w:rFonts w:ascii="Courier New" w:cs="Courier New" w:eastAsia="Courier New" w:hAnsi="Courier New"/>
          <w:sz w:val="15"/>
          <w:szCs w:val="15"/>
          <w:color w:val="auto"/>
        </w:rPr>
      </w:pPr>
    </w:p>
    <w:p>
      <w:pPr>
        <w:ind w:left="790" w:right="31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Company's current investment policy does not allow for the use of hedging instruments. In anticipation of the adoption of SFAS 133, the Company is currently reviewing all outstanding contracts for evidence of embedded derivative. Based on the procedures undertaken through this point, management does not believe that adoption of SFAS 133 will have a material impact on its results of operations.</w:t>
      </w:r>
    </w:p>
    <w:sectPr>
      <w:pgSz w:w="11900" w:h="16838" w:orient="portrait"/>
      <w:cols w:equalWidth="0" w:num="1">
        <w:col w:w="10229"/>
      </w:cols>
      <w:pgMar w:left="230" w:top="2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8"/>
    </w:lvl>
  </w:abstractNum>
  <w:abstractNum w:abstractNumId="10">
    <w:nsid w:val="7C83E458"/>
    <w:multiLevelType w:val="hybridMultilevel"/>
    <w:lvl w:ilvl="0">
      <w:lvlJc w:val="left"/>
      <w:lvlText w:val="%1."/>
      <w:numFmt w:val="decimal"/>
      <w:start w:val="9"/>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1"/>
    </w:lvl>
  </w:abstractNum>
  <w:abstractNum w:abstractNumId="14">
    <w:nsid w:val="628C895D"/>
    <w:multiLevelType w:val="hybridMultilevel"/>
    <w:lvl w:ilvl="0">
      <w:lvlJc w:val="left"/>
      <w:lvlText w:val="o"/>
      <w:numFmt w:val="bullet"/>
      <w:start w:val="1"/>
    </w:lvl>
  </w:abstractNum>
  <w:abstractNum w:abstractNumId="15">
    <w:nsid w:val="333AB105"/>
    <w:multiLevelType w:val="hybridMultilevel"/>
    <w:lvl w:ilvl="0">
      <w:lvlJc w:val="left"/>
      <w:lvlText w:val="o"/>
      <w:numFmt w:val="bullet"/>
      <w:start w:val="1"/>
    </w:lvl>
  </w:abstractNum>
  <w:abstractNum w:abstractNumId="16">
    <w:nsid w:val="721DA317"/>
    <w:multiLevelType w:val="hybridMultilevel"/>
    <w:lvl w:ilvl="0">
      <w:lvlJc w:val="left"/>
      <w:lvlText w:val="o"/>
      <w:numFmt w:val="bullet"/>
      <w:start w:val="1"/>
    </w:lvl>
  </w:abstractNum>
  <w:abstractNum w:abstractNumId="17">
    <w:nsid w:val="2443A858"/>
    <w:multiLevelType w:val="hybridMultilevel"/>
    <w:lvl w:ilvl="0">
      <w:lvlJc w:val="left"/>
      <w:lvlText w:val="o"/>
      <w:numFmt w:val="bullet"/>
      <w:start w:val="1"/>
    </w:lvl>
  </w:abstractNum>
  <w:abstractNum w:abstractNumId="18">
    <w:nsid w:val="2D1D5AE9"/>
    <w:multiLevelType w:val="hybridMultilevel"/>
    <w:lvl w:ilvl="0">
      <w:lvlJc w:val="left"/>
      <w:lvlText w:val="o"/>
      <w:numFmt w:val="bullet"/>
      <w:start w:val="1"/>
    </w:lvl>
  </w:abstractNum>
  <w:abstractNum w:abstractNumId="19">
    <w:nsid w:val="6763845E"/>
    <w:multiLevelType w:val="hybridMultilevel"/>
    <w:lvl w:ilvl="0">
      <w:lvlJc w:val="left"/>
      <w:lvlText w:val="o"/>
      <w:numFmt w:val="bullet"/>
      <w:start w:val="1"/>
    </w:lvl>
  </w:abstractNum>
  <w:abstractNum w:abstractNumId="20">
    <w:nsid w:val="75A2A8D4"/>
    <w:multiLevelType w:val="hybridMultilevel"/>
    <w:lvl w:ilvl="0">
      <w:lvlJc w:val="left"/>
      <w:lvlText w:val="o"/>
      <w:numFmt w:val="bullet"/>
      <w:start w:val="1"/>
    </w:lvl>
  </w:abstractNum>
  <w:abstractNum w:abstractNumId="21">
    <w:nsid w:val="8EDBDAB"/>
    <w:multiLevelType w:val="hybridMultilevel"/>
    <w:lvl w:ilvl="0">
      <w:lvlJc w:val="left"/>
      <w:lvlText w:val="o"/>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upperLetter"/>
      <w:start w:val="2"/>
    </w:lvl>
  </w:abstractNum>
  <w:abstractNum w:abstractNumId="24">
    <w:nsid w:val="B03E0C6"/>
    <w:multiLevelType w:val="hybridMultilevel"/>
    <w:lvl w:ilvl="0">
      <w:lvlJc w:val="left"/>
      <w:lvlText w:val="(%1)"/>
      <w:numFmt w:val="lowerRoman"/>
      <w:start w:val="1"/>
    </w:lvl>
  </w:abstractNum>
  <w:abstractNum w:abstractNumId="25">
    <w:nsid w:val="189A769B"/>
    <w:multiLevelType w:val="hybridMultilevel"/>
    <w:lvl w:ilvl="0">
      <w:lvlJc w:val="left"/>
      <w:lvlText w:val="*"/>
      <w:numFmt w:val="bullet"/>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2019-12-14T05:54:42Z</dcterms:created>
  <dcterms:modified xsi:type="dcterms:W3CDTF">2019-12-14T05:54:42Z</dcterms:modified>
</cp:coreProperties>
</file>