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Checkfree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162813109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1 of 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8,924,630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10,582,810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10,582,810 Beneficial ownership disclaimed pursuant to Rule 13d-4</w:t>
      </w:r>
    </w:p>
    <w:p>
      <w:pPr>
        <w:spacing w:after="0" w:line="214"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12.1%</w:t>
      </w:r>
    </w:p>
    <w:p>
      <w:pPr>
        <w:spacing w:after="0" w:line="214"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2 of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Guardian Trust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52"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0" w:lineRule="exact"/>
        <w:rPr>
          <w:sz w:val="20"/>
          <w:szCs w:val="20"/>
          <w:color w:val="auto"/>
        </w:rPr>
      </w:pPr>
    </w:p>
    <w:p>
      <w:pPr>
        <w:spacing w:after="0" w:line="209" w:lineRule="exact"/>
        <w:rPr>
          <w:sz w:val="20"/>
          <w:szCs w:val="20"/>
          <w:color w:val="auto"/>
        </w:rPr>
      </w:pPr>
    </w:p>
    <w:p>
      <w:pPr>
        <w:ind w:left="1900" w:right="6519" w:hanging="417"/>
        <w:spacing w:after="0" w:line="470"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7,498,830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9,157,010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779" w:hanging="417"/>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9,157,010 Beneficial ownership disclaimed pursuant to Rule 13d-4</w:t>
      </w:r>
    </w:p>
    <w:p>
      <w:pPr>
        <w:spacing w:after="0" w:line="214" w:lineRule="exact"/>
        <w:rPr>
          <w:sz w:val="20"/>
          <w:szCs w:val="20"/>
          <w:color w:val="auto"/>
        </w:rPr>
      </w:pPr>
    </w:p>
    <w:p>
      <w:pPr>
        <w:ind w:left="540" w:right="2519" w:hanging="427"/>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10.5%</w:t>
      </w:r>
    </w:p>
    <w:p>
      <w:pPr>
        <w:spacing w:after="0" w:line="214"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BK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3 of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Checkfree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4411 East Jones Bridge Road</w:t>
      </w:r>
    </w:p>
    <w:p>
      <w:pPr>
        <w:ind w:left="740"/>
        <w:spacing w:after="0"/>
        <w:rPr>
          <w:sz w:val="20"/>
          <w:szCs w:val="20"/>
          <w:color w:val="auto"/>
        </w:rPr>
      </w:pPr>
      <w:r>
        <w:rPr>
          <w:rFonts w:ascii="Courier New" w:cs="Courier New" w:eastAsia="Courier New" w:hAnsi="Courier New"/>
          <w:sz w:val="18"/>
          <w:szCs w:val="18"/>
          <w:color w:val="auto"/>
        </w:rPr>
        <w:t>Norcross, GA 30092</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159"/>
        <w:spacing w:after="0" w:line="235" w:lineRule="auto"/>
        <w:rPr>
          <w:sz w:val="20"/>
          <w:szCs w:val="20"/>
          <w:color w:val="auto"/>
        </w:rPr>
      </w:pPr>
      <w:r>
        <w:rPr>
          <w:rFonts w:ascii="Courier New" w:cs="Courier New" w:eastAsia="Courier New" w:hAnsi="Courier New"/>
          <w:sz w:val="18"/>
          <w:szCs w:val="18"/>
          <w:color w:val="auto"/>
        </w:rPr>
        <w:t>Capital Group International, Inc. and Capital Guardian Trust Company</w:t>
      </w:r>
    </w:p>
    <w:p>
      <w:pPr>
        <w:spacing w:after="0" w:line="208" w:lineRule="exact"/>
        <w:rPr>
          <w:sz w:val="20"/>
          <w:szCs w:val="20"/>
          <w:color w:val="auto"/>
        </w:rPr>
      </w:pPr>
    </w:p>
    <w:p>
      <w:pPr>
        <w:ind w:left="740" w:right="3779" w:hanging="736"/>
        <w:spacing w:after="0" w:line="235" w:lineRule="auto"/>
        <w:rPr>
          <w:sz w:val="20"/>
          <w:szCs w:val="20"/>
          <w:color w:val="auto"/>
        </w:rPr>
      </w:pPr>
      <w:r>
        <w:rPr>
          <w:rFonts w:ascii="Courier New" w:cs="Courier New" w:eastAsia="Courier New" w:hAnsi="Courier New"/>
          <w:sz w:val="18"/>
          <w:szCs w:val="18"/>
          <w:color w:val="auto"/>
        </w:rPr>
        <w:t>Item 2(b)</w:t>
      </w:r>
      <w:r>
        <w:rPr>
          <w:sz w:val="20"/>
          <w:szCs w:val="20"/>
          <w:color w:val="auto"/>
        </w:rPr>
        <w:t xml:space="preserve"> </w:t>
      </w:r>
      <w:r>
        <w:rPr>
          <w:rFonts w:ascii="Courier New" w:cs="Courier New" w:eastAsia="Courier New" w:hAnsi="Courier New"/>
          <w:sz w:val="18"/>
          <w:szCs w:val="18"/>
          <w:color w:val="auto"/>
        </w:rPr>
        <w:t>Address or principal business office or, if none, 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ectPr>
          <w:pgSz w:w="11900" w:h="16838" w:orient="portrait"/>
          <w:cols w:equalWidth="0" w:num="1">
            <w:col w:w="10219"/>
          </w:cols>
          <w:pgMar w:left="240" w:top="136" w:right="1440" w:bottom="0" w:gutter="0" w:footer="0" w:header="0"/>
        </w:sectPr>
      </w:pPr>
    </w:p>
    <w:bookmarkStart w:id="3" w:name="page4"/>
    <w:bookmarkEnd w:id="3"/>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162813109</w:t>
      </w:r>
    </w:p>
    <w:p>
      <w:pPr>
        <w:spacing w:after="0" w:line="207" w:lineRule="exact"/>
        <w:rPr>
          <w:sz w:val="20"/>
          <w:szCs w:val="20"/>
          <w:color w:val="auto"/>
        </w:rPr>
      </w:pPr>
    </w:p>
    <w:p>
      <w:pPr>
        <w:jc w:val="right"/>
        <w:ind w:right="293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filings is a:</w:t>
      </w:r>
    </w:p>
    <w:p>
      <w:pPr>
        <w:spacing w:after="0" w:line="6" w:lineRule="exact"/>
        <w:rPr>
          <w:sz w:val="20"/>
          <w:szCs w:val="20"/>
          <w:color w:val="auto"/>
        </w:rPr>
      </w:pPr>
    </w:p>
    <w:p>
      <w:pPr>
        <w:ind w:left="1280" w:right="3039" w:hanging="535"/>
        <w:spacing w:after="0" w:line="235" w:lineRule="auto"/>
        <w:tabs>
          <w:tab w:leader="none" w:pos="138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(15 U.S.C. 78c).</w:t>
      </w:r>
    </w:p>
    <w:p>
      <w:pPr>
        <w:spacing w:after="0" w:line="6" w:lineRule="exact"/>
        <w:rPr>
          <w:sz w:val="20"/>
          <w:szCs w:val="20"/>
          <w:color w:val="auto"/>
        </w:rPr>
      </w:pPr>
    </w:p>
    <w:p>
      <w:pPr>
        <w:ind w:left="1280" w:right="3479" w:hanging="535"/>
        <w:spacing w:after="0" w:line="235" w:lineRule="auto"/>
        <w:tabs>
          <w:tab w:leader="none" w:pos="13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1" w:lineRule="exact"/>
        <w:rPr>
          <w:sz w:val="20"/>
          <w:szCs w:val="20"/>
          <w:color w:val="auto"/>
        </w:rPr>
      </w:pPr>
    </w:p>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4 of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0" w:right="283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7"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is deemed to be the beneficial owner of 9,157,010 shares or 10.5% of the 87,386,580 shares of Class A Common Stock believed to be outstanding as a result of its serving as the investment manager of various institutional accounts.</w:t>
      </w: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Shares reported by Capital Group International, Inc. include</w:t>
      </w:r>
    </w:p>
    <w:p>
      <w:pPr>
        <w:ind w:left="740"/>
        <w:spacing w:after="0" w:line="238" w:lineRule="auto"/>
        <w:rPr>
          <w:sz w:val="20"/>
          <w:szCs w:val="20"/>
          <w:color w:val="auto"/>
        </w:rPr>
      </w:pPr>
      <w:r>
        <w:rPr>
          <w:rFonts w:ascii="Courier New" w:cs="Courier New" w:eastAsia="Courier New" w:hAnsi="Courier New"/>
          <w:sz w:val="18"/>
          <w:szCs w:val="18"/>
          <w:color w:val="auto"/>
        </w:rPr>
        <w:t>83,070 shares resulting from the assumed conversion of</w:t>
      </w:r>
    </w:p>
    <w:p>
      <w:pPr>
        <w:ind w:left="740"/>
        <w:spacing w:after="0"/>
        <w:rPr>
          <w:sz w:val="20"/>
          <w:szCs w:val="20"/>
          <w:color w:val="auto"/>
        </w:rPr>
      </w:pPr>
      <w:r>
        <w:rPr>
          <w:rFonts w:ascii="Courier New" w:cs="Courier New" w:eastAsia="Courier New" w:hAnsi="Courier New"/>
          <w:sz w:val="18"/>
          <w:szCs w:val="18"/>
          <w:color w:val="auto"/>
        </w:rPr>
        <w:t>$6,081,000 principal amount of the 6.5% Convertible Subordinate</w:t>
      </w:r>
    </w:p>
    <w:p>
      <w:pPr>
        <w:ind w:left="740"/>
        <w:spacing w:after="0" w:line="237" w:lineRule="auto"/>
        <w:rPr>
          <w:sz w:val="20"/>
          <w:szCs w:val="20"/>
          <w:color w:val="auto"/>
        </w:rPr>
      </w:pPr>
      <w:r>
        <w:rPr>
          <w:rFonts w:ascii="Courier New" w:cs="Courier New" w:eastAsia="Courier New" w:hAnsi="Courier New"/>
          <w:sz w:val="18"/>
          <w:szCs w:val="18"/>
          <w:color w:val="auto"/>
        </w:rPr>
        <w:t>Note, due 12/1/06; and include 90,510 shares resulting from the</w:t>
      </w:r>
    </w:p>
    <w:p>
      <w:pPr>
        <w:ind w:left="740"/>
        <w:spacing w:after="0" w:line="238" w:lineRule="auto"/>
        <w:rPr>
          <w:sz w:val="20"/>
          <w:szCs w:val="20"/>
          <w:color w:val="auto"/>
        </w:rPr>
      </w:pPr>
      <w:r>
        <w:rPr>
          <w:rFonts w:ascii="Courier New" w:cs="Courier New" w:eastAsia="Courier New" w:hAnsi="Courier New"/>
          <w:sz w:val="18"/>
          <w:szCs w:val="18"/>
          <w:color w:val="auto"/>
        </w:rPr>
        <w:t>assumed conversion of $6,625,000 principal amount of the 144A</w:t>
      </w:r>
    </w:p>
    <w:p>
      <w:pPr>
        <w:ind w:left="740"/>
        <w:spacing w:after="0"/>
        <w:rPr>
          <w:sz w:val="20"/>
          <w:szCs w:val="20"/>
          <w:color w:val="auto"/>
        </w:rPr>
      </w:pPr>
      <w:r>
        <w:rPr>
          <w:rFonts w:ascii="Courier New" w:cs="Courier New" w:eastAsia="Courier New" w:hAnsi="Courier New"/>
          <w:sz w:val="18"/>
          <w:szCs w:val="18"/>
          <w:color w:val="auto"/>
        </w:rPr>
        <w:t>6.5% Convertible Subordinate Note, due 12/1/06.</w:t>
      </w:r>
    </w:p>
    <w:p>
      <w:pPr>
        <w:spacing w:after="0" w:line="206"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sectPr>
          <w:pgSz w:w="11900" w:h="16838" w:orient="portrait"/>
          <w:cols w:equalWidth="0" w:num="1">
            <w:col w:w="10219"/>
          </w:cols>
          <w:pgMar w:left="240" w:top="339" w:right="1440" w:bottom="0" w:gutter="0" w:footer="0" w:header="0"/>
        </w:sectPr>
      </w:pPr>
    </w:p>
    <w:bookmarkStart w:id="4" w:name="page5"/>
    <w:bookmarkEnd w:id="4"/>
    <w:p>
      <w:pPr>
        <w:ind w:left="740" w:right="303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93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Capital Group International, Inc.</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9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5 of 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2739"/>
        <w:spacing w:after="0" w:line="271" w:lineRule="auto"/>
        <w:rPr>
          <w:sz w:val="20"/>
          <w:szCs w:val="20"/>
          <w:color w:val="auto"/>
        </w:rPr>
      </w:pPr>
      <w:r>
        <w:rPr>
          <w:rFonts w:ascii="Courier New" w:cs="Courier New" w:eastAsia="Courier New" w:hAnsi="Courier New"/>
          <w:sz w:val="16"/>
          <w:szCs w:val="16"/>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w:t>
      </w:r>
    </w:p>
    <w:p>
      <w:pPr>
        <w:spacing w:after="0" w:line="18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60" w:right="2839"/>
        <w:spacing w:after="0" w:line="271" w:lineRule="auto"/>
        <w:rPr>
          <w:sz w:val="20"/>
          <w:szCs w:val="20"/>
          <w:color w:val="auto"/>
        </w:rPr>
      </w:pPr>
      <w:r>
        <w:rPr>
          <w:rFonts w:ascii="Courier New" w:cs="Courier New" w:eastAsia="Courier New" w:hAnsi="Courier New"/>
          <w:sz w:val="16"/>
          <w:szCs w:val="16"/>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p>
    <w:p>
      <w:pPr>
        <w:sectPr>
          <w:pgSz w:w="11900" w:h="16838" w:orient="portrait"/>
          <w:cols w:equalWidth="0" w:num="1">
            <w:col w:w="10219"/>
          </w:cols>
          <w:pgMar w:left="240" w:top="142" w:right="1440" w:bottom="0" w:gutter="0" w:footer="0" w:header="0"/>
        </w:sectPr>
      </w:pPr>
    </w:p>
    <w:bookmarkStart w:id="5" w:name="page6"/>
    <w:bookmarkEnd w:id="5"/>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Guardian Trust Company</w:t>
      </w:r>
    </w:p>
    <w:p>
      <w:pPr>
        <w:sectPr>
          <w:pgSz w:w="11900" w:h="16838" w:orient="portrait"/>
          <w:cols w:equalWidth="0" w:num="1">
            <w:col w:w="10219"/>
          </w:cols>
          <w:pgMar w:left="240" w:top="339" w:right="1440" w:bottom="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162813109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8</w:t>
      </w:r>
    </w:p>
    <w:p>
      <w:pPr>
        <w:spacing w:after="0" w:line="200" w:lineRule="exact"/>
        <w:rPr>
          <w:sz w:val="20"/>
          <w:szCs w:val="20"/>
          <w:color w:val="auto"/>
        </w:rPr>
      </w:pPr>
    </w:p>
    <w:p>
      <w:pPr>
        <w:sectPr>
          <w:pgSz w:w="11900" w:h="16838" w:orient="portrait"/>
          <w:cols w:equalWidth="0" w:num="2">
            <w:col w:w="6020" w:space="720"/>
            <w:col w:w="3479"/>
          </w:cols>
          <w:pgMar w:left="240" w:top="339" w:right="1440" w:bottom="132"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Kristine M. Nishiyama</w:t>
      </w:r>
    </w:p>
    <w:p>
      <w:pPr>
        <w:spacing w:after="0" w:line="200" w:lineRule="exact"/>
        <w:rPr>
          <w:sz w:val="20"/>
          <w:szCs w:val="20"/>
          <w:color w:val="auto"/>
        </w:rPr>
      </w:pPr>
    </w:p>
    <w:p>
      <w:pPr>
        <w:sectPr>
          <w:pgSz w:w="11900" w:h="16838" w:orient="portrait"/>
          <w:cols w:equalWidth="0" w:num="2">
            <w:col w:w="1160" w:space="420"/>
            <w:col w:w="8639"/>
          </w:cols>
          <w:pgMar w:left="240" w:top="339" w:right="1440" w:bottom="132"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Kristine M. Nishiyama</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939"/>
        <w:spacing w:after="0" w:line="273" w:lineRule="auto"/>
        <w:rPr>
          <w:sz w:val="20"/>
          <w:szCs w:val="20"/>
          <w:color w:val="auto"/>
        </w:rPr>
      </w:pPr>
      <w:r>
        <w:rPr>
          <w:rFonts w:ascii="Courier New" w:cs="Courier New" w:eastAsia="Courier New" w:hAnsi="Courier New"/>
          <w:sz w:val="16"/>
          <w:szCs w:val="16"/>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7 of 8</w:t>
      </w:r>
    </w:p>
    <w:p>
      <w:pPr>
        <w:sectPr>
          <w:pgSz w:w="11900" w:h="16838" w:orient="portrait"/>
          <w:cols w:equalWidth="0" w:num="1">
            <w:col w:w="10219"/>
          </w:cols>
          <w:pgMar w:left="240" w:top="339" w:right="1440" w:bottom="132" w:gutter="0" w:footer="0" w:header="0"/>
          <w:type w:val="continuous"/>
        </w:sectPr>
      </w:pPr>
    </w:p>
    <w:bookmarkStart w:id="6" w:name="page7"/>
    <w:bookmarkEnd w:id="6"/>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jc w:val="center"/>
        <w:ind w:right="2739"/>
        <w:spacing w:after="0" w:line="238" w:lineRule="auto"/>
        <w:rPr>
          <w:sz w:val="20"/>
          <w:szCs w:val="20"/>
          <w:color w:val="auto"/>
        </w:rPr>
      </w:pPr>
      <w:r>
        <w:rPr>
          <w:rFonts w:ascii="Courier New" w:cs="Courier New" w:eastAsia="Courier New" w:hAnsi="Courier New"/>
          <w:sz w:val="18"/>
          <w:szCs w:val="18"/>
          <w:color w:val="auto"/>
        </w:rPr>
        <w:t>February 11, 2002</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and Capital Guardian Trust Company ("CGTC") hereby agree to file a joint statement on Schedule 13G under the Securities Exchange Act of 1934 (the "Act") in connection with their beneficial ownership of Class A Common Stock issued by Checkfree Corporation.</w:t>
      </w:r>
    </w:p>
    <w:p>
      <w:pPr>
        <w:spacing w:after="0" w:line="209"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CGII and CGTC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CGII and CGTC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Chairman</w:t>
      </w:r>
    </w:p>
    <w:p>
      <w:pPr>
        <w:ind w:left="370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Chairman</w:t>
      </w:r>
    </w:p>
    <w:p>
      <w:pPr>
        <w:ind w:left="370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Kristine M. Nishiyama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Kristine M. Nishiyama</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8 of 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4"/>
      <w:numFmt w:val="bullet"/>
      <w:start w:val="1"/>
    </w:lvl>
  </w:abstractNum>
  <w:abstractNum w:abstractNumId="4">
    <w:nsid w:val="66EF438D"/>
    <w:multiLevelType w:val="hybridMultilevel"/>
    <w:lvl w:ilvl="0">
      <w:lvlJc w:val="left"/>
      <w:lvlText w:val="5"/>
      <w:numFmt w:val="bullet"/>
      <w:start w:val="1"/>
    </w:lvl>
  </w:abstractNum>
  <w:abstractNum w:abstractNumId="5">
    <w:nsid w:val="140E0F76"/>
    <w:multiLevelType w:val="hybridMultilevel"/>
    <w:lvl w:ilvl="0">
      <w:lvlJc w:val="left"/>
      <w:lvlText w:val="8"/>
      <w:numFmt w:val="bullet"/>
      <w:start w:val="1"/>
    </w:lvl>
  </w:abstractNum>
  <w:abstractNum w:abstractNumId="6">
    <w:nsid w:val="3352255A"/>
    <w:multiLevelType w:val="hybridMultilevel"/>
    <w:lvl w:ilvl="0">
      <w:lvlJc w:val="left"/>
      <w:lvlText w:val="9"/>
      <w:numFmt w:val="bullet"/>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5"/>
      <w:numFmt w:val="bullet"/>
      <w:start w:val="1"/>
    </w:lvl>
  </w:abstractNum>
  <w:abstractNum w:abstractNumId="12">
    <w:nsid w:val="6B68079A"/>
    <w:multiLevelType w:val="hybridMultilevel"/>
    <w:lvl w:ilvl="0">
      <w:lvlJc w:val="left"/>
      <w:lvlText w:val="8"/>
      <w:numFmt w:val="bullet"/>
      <w:start w:val="1"/>
    </w:lvl>
  </w:abstractNum>
  <w:abstractNum w:abstractNumId="13">
    <w:nsid w:val="4E6AFB66"/>
    <w:multiLevelType w:val="hybridMultilevel"/>
    <w:lvl w:ilvl="0">
      <w:lvlJc w:val="left"/>
      <w:lvlText w:val="9"/>
      <w:numFmt w:val="bullet"/>
      <w:start w:val="1"/>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2019-12-14T05:11:37Z</dcterms:created>
  <dcterms:modified xsi:type="dcterms:W3CDTF">2019-12-14T05:11:37Z</dcterms:modified>
</cp:coreProperties>
</file>