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line="238" w:lineRule="auto"/>
        <w:rPr>
          <w:sz w:val="20"/>
          <w:szCs w:val="20"/>
          <w:color w:val="auto"/>
        </w:rPr>
      </w:pPr>
      <w:r>
        <w:rPr>
          <w:rFonts w:ascii="Courier New" w:cs="Courier New" w:eastAsia="Courier New" w:hAnsi="Courier New"/>
          <w:sz w:val="18"/>
          <w:szCs w:val="18"/>
          <w:color w:val="auto"/>
        </w:rPr>
        <w:t>(Amendment No.________)*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Checkfree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$0.01)</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1628161028</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class.)(See Rule 13d-7.)</w:t>
      </w:r>
    </w:p>
    <w:p>
      <w:pPr>
        <w:spacing w:after="0" w:line="208" w:lineRule="exact"/>
        <w:rPr>
          <w:sz w:val="24"/>
          <w:szCs w:val="24"/>
          <w:color w:val="auto"/>
        </w:rPr>
      </w:pPr>
    </w:p>
    <w:p>
      <w:pPr>
        <w:ind w:right="169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ind w:left="3280"/>
        <w:spacing w:after="0" w:line="238" w:lineRule="auto"/>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139"/>
          </w:cols>
          <w:pgMar w:left="32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1628161028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5</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440" w:space="720"/>
            <w:col w:w="2979"/>
          </w:cols>
          <w:pgMar w:left="320" w:top="722" w:right="1440" w:bottom="166"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722" w:right="1440" w:bottom="166" w:gutter="0" w:footer="0" w:header="0"/>
          <w:type w:val="continuous"/>
        </w:sectPr>
      </w:pPr>
    </w:p>
    <w:p>
      <w:pPr>
        <w:spacing w:after="0" w:line="16"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420" w:right="2439"/>
        <w:spacing w:after="0" w:line="235" w:lineRule="auto"/>
        <w:rPr>
          <w:sz w:val="20"/>
          <w:szCs w:val="20"/>
          <w:color w:val="auto"/>
        </w:rPr>
      </w:pPr>
      <w:r>
        <w:rPr>
          <w:rFonts w:ascii="Courier New" w:cs="Courier New" w:eastAsia="Courier New" w:hAnsi="Courier New"/>
          <w:sz w:val="18"/>
          <w:szCs w:val="18"/>
          <w:color w:val="auto"/>
        </w:rPr>
        <w:t>Brown Investment Advisory &amp; Trust Company ("BIATC"), its wholly owned subsidiary, Brown Advisory Incorporated ("BAI"). 52-1811121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7280"/>
        <w:spacing w:after="0" w:line="238" w:lineRule="auto"/>
        <w:tabs>
          <w:tab w:leader="none" w:pos="7780" w:val="left"/>
        </w:tabs>
        <w:rPr>
          <w:sz w:val="20"/>
          <w:szCs w:val="20"/>
          <w:color w:val="auto"/>
        </w:rPr>
      </w:pPr>
      <w:r>
        <w:rPr>
          <w:rFonts w:ascii="Courier New" w:cs="Courier New" w:eastAsia="Courier New" w:hAnsi="Courier New"/>
          <w:sz w:val="18"/>
          <w:szCs w:val="18"/>
          <w:color w:val="auto"/>
        </w:rPr>
        <w:t>(a)</w:t>
        <w:tab/>
        <w:t>[ ]</w:t>
      </w:r>
    </w:p>
    <w:p>
      <w:pPr>
        <w:ind w:left="7280"/>
        <w:spacing w:after="0" w:line="238" w:lineRule="auto"/>
        <w:tabs>
          <w:tab w:leader="none" w:pos="7780" w:val="left"/>
        </w:tabs>
        <w:rPr>
          <w:sz w:val="20"/>
          <w:szCs w:val="20"/>
          <w:color w:val="auto"/>
        </w:rPr>
      </w:pPr>
      <w:r>
        <w:rPr>
          <w:rFonts w:ascii="Courier New" w:cs="Courier New" w:eastAsia="Courier New" w:hAnsi="Courier New"/>
          <w:sz w:val="18"/>
          <w:szCs w:val="18"/>
          <w:color w:val="auto"/>
        </w:rPr>
        <w:t>(b)</w:t>
        <w:tab/>
        <w:t>[x]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420" w:right="2019"/>
        <w:spacing w:after="0" w:line="235" w:lineRule="auto"/>
        <w:rPr>
          <w:sz w:val="20"/>
          <w:szCs w:val="20"/>
          <w:color w:val="auto"/>
        </w:rPr>
      </w:pPr>
      <w:r>
        <w:rPr>
          <w:rFonts w:ascii="Courier New" w:cs="Courier New" w:eastAsia="Courier New" w:hAnsi="Courier New"/>
          <w:sz w:val="18"/>
          <w:szCs w:val="18"/>
          <w:color w:val="auto"/>
        </w:rPr>
        <w:t>Brown Investment Advisory &amp; Trust Company and Brown Advisory Incorporated are Maryland corporations.</w:t>
      </w:r>
    </w:p>
    <w:p>
      <w:pPr>
        <w:spacing w:after="0" w:line="208"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940" w:type="dxa"/>
            <w:vAlign w:val="bottom"/>
          </w:tcPr>
          <w:p>
            <w:pPr>
              <w:jc w:val="right"/>
              <w:ind w:right="349"/>
              <w:spacing w:after="0" w:line="203" w:lineRule="exact"/>
              <w:rPr>
                <w:sz w:val="20"/>
                <w:szCs w:val="20"/>
                <w:color w:val="auto"/>
              </w:rPr>
            </w:pPr>
            <w:r>
              <w:rPr>
                <w:rFonts w:ascii="Courier New" w:cs="Courier New" w:eastAsia="Courier New" w:hAnsi="Courier New"/>
                <w:sz w:val="18"/>
                <w:szCs w:val="18"/>
                <w:color w:val="auto"/>
              </w:rPr>
              <w:t>5</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BIATC</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57400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8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57400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640" w:type="dxa"/>
            <w:vAlign w:val="bottom"/>
            <w:gridSpan w:val="2"/>
          </w:tcPr>
          <w:p>
            <w:pPr>
              <w:ind w:left="200"/>
              <w:spacing w:after="0"/>
              <w:rPr>
                <w:sz w:val="20"/>
                <w:szCs w:val="20"/>
                <w:color w:val="auto"/>
              </w:rPr>
            </w:pPr>
            <w:r>
              <w:rPr>
                <w:rFonts w:ascii="Courier New" w:cs="Courier New" w:eastAsia="Courier New" w:hAnsi="Courier New"/>
                <w:sz w:val="5"/>
                <w:szCs w:val="5"/>
                <w:color w:val="auto"/>
                <w:w w:val="80"/>
              </w:rPr>
              <w: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jc w:val="right"/>
              <w:ind w:right="349"/>
              <w:spacing w:after="0" w:line="203" w:lineRule="exact"/>
              <w:rPr>
                <w:sz w:val="20"/>
                <w:szCs w:val="20"/>
                <w:color w:val="auto"/>
              </w:rPr>
            </w:pPr>
            <w:r>
              <w:rPr>
                <w:rFonts w:ascii="Courier New" w:cs="Courier New" w:eastAsia="Courier New" w:hAnsi="Courier New"/>
                <w:sz w:val="18"/>
                <w:szCs w:val="18"/>
                <w:color w:val="auto"/>
              </w:rPr>
              <w:t>6</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BIATC</w:t>
            </w:r>
          </w:p>
        </w:tc>
        <w:tc>
          <w:tcPr>
            <w:tcW w:w="3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0</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3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0</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gridSpan w:val="2"/>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w:t>
            </w:r>
          </w:p>
        </w:tc>
        <w:tc>
          <w:tcPr>
            <w:tcW w:w="38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0</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spacing w:after="0"/>
              <w:rPr>
                <w:sz w:val="17"/>
                <w:szCs w:val="17"/>
                <w:color w:val="auto"/>
              </w:rPr>
            </w:pPr>
          </w:p>
        </w:tc>
        <w:tc>
          <w:tcPr>
            <w:tcW w:w="642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spacing w:after="0"/>
              <w:rPr>
                <w:sz w:val="17"/>
                <w:szCs w:val="17"/>
                <w:color w:val="auto"/>
              </w:rPr>
            </w:pPr>
          </w:p>
        </w:tc>
        <w:tc>
          <w:tcPr>
            <w:tcW w:w="5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49"/>
              <w:spacing w:after="0" w:line="203" w:lineRule="exact"/>
              <w:rPr>
                <w:sz w:val="20"/>
                <w:szCs w:val="20"/>
                <w:color w:val="auto"/>
              </w:rPr>
            </w:pPr>
            <w:r>
              <w:rPr>
                <w:rFonts w:ascii="Courier New" w:cs="Courier New" w:eastAsia="Courier New" w:hAnsi="Courier New"/>
                <w:sz w:val="18"/>
                <w:szCs w:val="18"/>
                <w:color w:val="auto"/>
              </w:rPr>
              <w:t>7</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BIATC</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57400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8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57400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640" w:type="dxa"/>
            <w:vAlign w:val="bottom"/>
            <w:gridSpan w:val="2"/>
          </w:tcPr>
          <w:p>
            <w:pPr>
              <w:ind w:left="200"/>
              <w:spacing w:after="0"/>
              <w:rPr>
                <w:sz w:val="20"/>
                <w:szCs w:val="20"/>
                <w:color w:val="auto"/>
              </w:rPr>
            </w:pPr>
            <w:r>
              <w:rPr>
                <w:rFonts w:ascii="Courier New" w:cs="Courier New" w:eastAsia="Courier New" w:hAnsi="Courier New"/>
                <w:sz w:val="5"/>
                <w:szCs w:val="5"/>
                <w:color w:val="auto"/>
                <w:w w:val="80"/>
              </w:rPr>
              <w: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jc w:val="right"/>
              <w:ind w:right="349"/>
              <w:spacing w:after="0" w:line="203" w:lineRule="exact"/>
              <w:rPr>
                <w:sz w:val="20"/>
                <w:szCs w:val="20"/>
                <w:color w:val="auto"/>
              </w:rPr>
            </w:pPr>
            <w:r>
              <w:rPr>
                <w:rFonts w:ascii="Courier New" w:cs="Courier New" w:eastAsia="Courier New" w:hAnsi="Courier New"/>
                <w:sz w:val="18"/>
                <w:szCs w:val="18"/>
                <w:color w:val="auto"/>
              </w:rPr>
              <w:t>8</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BIATC</w:t>
            </w:r>
          </w:p>
        </w:tc>
        <w:tc>
          <w:tcPr>
            <w:tcW w:w="3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0</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3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0</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2"/>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gridSpan w:val="2"/>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w:t>
            </w:r>
          </w:p>
        </w:tc>
        <w:tc>
          <w:tcPr>
            <w:tcW w:w="3840" w:type="dxa"/>
            <w:vAlign w:val="bottom"/>
          </w:tcPr>
          <w:p>
            <w:pPr>
              <w:spacing w:after="0"/>
              <w:rPr>
                <w:sz w:val="17"/>
                <w:szCs w:val="17"/>
                <w:color w:val="auto"/>
              </w:rPr>
            </w:pPr>
          </w:p>
        </w:tc>
      </w:tr>
    </w:tbl>
    <w:p>
      <w:pPr>
        <w:ind w:left="3900" w:hanging="207"/>
        <w:spacing w:after="0" w:line="238" w:lineRule="auto"/>
        <w:tabs>
          <w:tab w:leader="none" w:pos="3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6190827</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6190827</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11.0%</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6" w:lineRule="exact"/>
        <w:rPr>
          <w:rFonts w:ascii="Courier New" w:cs="Courier New" w:eastAsia="Courier New" w:hAnsi="Courier New"/>
          <w:sz w:val="18"/>
          <w:szCs w:val="18"/>
          <w:color w:val="auto"/>
        </w:rPr>
      </w:pPr>
    </w:p>
    <w:p>
      <w:pPr>
        <w:ind w:left="540" w:right="85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BIATC - BK BAI - IA</w:t>
      </w:r>
    </w:p>
    <w:p>
      <w:pPr>
        <w:spacing w:after="0" w:line="16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139"/>
          </w:cols>
          <w:pgMar w:left="320" w:top="722" w:right="1440" w:bottom="166" w:gutter="0" w:footer="0" w:header="0"/>
          <w:type w:val="continuous"/>
        </w:sectPr>
      </w:pPr>
    </w:p>
    <w:bookmarkStart w:id="2" w:name="page3"/>
    <w:bookmarkEnd w:id="2"/>
    <w:p>
      <w:pPr>
        <w:jc w:val="right"/>
        <w:ind w:right="1699"/>
        <w:spacing w:after="0"/>
        <w:rPr>
          <w:sz w:val="20"/>
          <w:szCs w:val="20"/>
          <w:color w:val="auto"/>
        </w:rPr>
      </w:pPr>
      <w:r>
        <w:rPr>
          <w:rFonts w:ascii="Courier New" w:cs="Courier New" w:eastAsia="Courier New" w:hAnsi="Courier New"/>
          <w:sz w:val="18"/>
          <w:szCs w:val="18"/>
          <w:color w:val="auto"/>
        </w:rPr>
        <w:t>Page 3 of 5 Pages</w:t>
      </w:r>
    </w:p>
    <w:p>
      <w:pPr>
        <w:spacing w:after="0" w:line="201" w:lineRule="exact"/>
        <w:rPr>
          <w:sz w:val="20"/>
          <w:szCs w:val="20"/>
          <w:color w:val="auto"/>
        </w:rPr>
      </w:pPr>
    </w:p>
    <w:p>
      <w:pPr>
        <w:spacing w:after="0"/>
        <w:tabs>
          <w:tab w:leader="none" w:pos="1360" w:val="left"/>
          <w:tab w:leader="none" w:pos="3260" w:val="left"/>
        </w:tabs>
        <w:rPr>
          <w:sz w:val="20"/>
          <w:szCs w:val="20"/>
          <w:color w:val="auto"/>
        </w:rPr>
      </w:pPr>
      <w:r>
        <w:rPr>
          <w:rFonts w:ascii="Courier New" w:cs="Courier New" w:eastAsia="Courier New" w:hAnsi="Courier New"/>
          <w:sz w:val="18"/>
          <w:szCs w:val="18"/>
          <w:color w:val="auto"/>
        </w:rPr>
        <w:t>Item 1. (a)</w:t>
        <w:tab/>
        <w:t>NAME OF ISSUER:</w:t>
      </w:r>
      <w:r>
        <w:rPr>
          <w:sz w:val="20"/>
          <w:szCs w:val="20"/>
          <w:color w:val="auto"/>
        </w:rPr>
        <w:tab/>
      </w:r>
      <w:r>
        <w:rPr>
          <w:rFonts w:ascii="Courier New" w:cs="Courier New" w:eastAsia="Courier New" w:hAnsi="Courier New"/>
          <w:sz w:val="16"/>
          <w:szCs w:val="16"/>
          <w:color w:val="auto"/>
        </w:rPr>
        <w:t>Checkfree Corporation DE</w:t>
      </w:r>
    </w:p>
    <w:p>
      <w:pPr>
        <w:spacing w:after="0" w:line="207" w:lineRule="exact"/>
        <w:rPr>
          <w:sz w:val="20"/>
          <w:szCs w:val="20"/>
          <w:color w:val="auto"/>
        </w:rPr>
      </w:pPr>
    </w:p>
    <w:p>
      <w:pPr>
        <w:ind w:left="1380" w:right="3699" w:hanging="530"/>
        <w:spacing w:after="0" w:line="235"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8275 N. High St, Columbus OH 43235</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380" w:right="2119"/>
        <w:spacing w:after="0" w:line="235" w:lineRule="auto"/>
        <w:rPr>
          <w:sz w:val="20"/>
          <w:szCs w:val="20"/>
          <w:color w:val="auto"/>
        </w:rPr>
      </w:pPr>
      <w:r>
        <w:rPr>
          <w:rFonts w:ascii="Courier New" w:cs="Courier New" w:eastAsia="Courier New" w:hAnsi="Courier New"/>
          <w:sz w:val="18"/>
          <w:szCs w:val="18"/>
          <w:color w:val="auto"/>
        </w:rPr>
        <w:t>Brown Investment Advisory &amp; Trust Company ("BIATC"), its wholly owned subsidiary, Brown Advisory Incorporated ("BAI").</w:t>
      </w:r>
    </w:p>
    <w:p>
      <w:pPr>
        <w:spacing w:after="0" w:line="202" w:lineRule="exact"/>
        <w:rPr>
          <w:sz w:val="20"/>
          <w:szCs w:val="20"/>
          <w:color w:val="auto"/>
        </w:rPr>
      </w:pPr>
    </w:p>
    <w:p>
      <w:pPr>
        <w:ind w:left="1380" w:hanging="530"/>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380" w:right="61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 South Street Baltimore, Maryland 21202</w:t>
      </w:r>
    </w:p>
    <w:p>
      <w:pPr>
        <w:spacing w:after="0" w:line="163" w:lineRule="exact"/>
        <w:rPr>
          <w:rFonts w:ascii="Courier New" w:cs="Courier New" w:eastAsia="Courier New" w:hAnsi="Courier New"/>
          <w:sz w:val="18"/>
          <w:szCs w:val="18"/>
          <w:color w:val="auto"/>
        </w:rPr>
      </w:pPr>
    </w:p>
    <w:p>
      <w:pPr>
        <w:ind w:left="1380" w:hanging="530"/>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380" w:right="24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Brown Investment Advisory &amp; Trust Company and Brown Advisory Incorporated are Maryland corporations.</w:t>
      </w:r>
    </w:p>
    <w:p>
      <w:pPr>
        <w:spacing w:after="0" w:line="208" w:lineRule="exact"/>
        <w:rPr>
          <w:rFonts w:ascii="Courier New" w:cs="Courier New" w:eastAsia="Courier New" w:hAnsi="Courier New"/>
          <w:sz w:val="18"/>
          <w:szCs w:val="18"/>
          <w:color w:val="auto"/>
        </w:rPr>
      </w:pPr>
    </w:p>
    <w:p>
      <w:pPr>
        <w:ind w:left="1380" w:right="5599" w:hanging="530"/>
        <w:spacing w:after="0" w:line="536" w:lineRule="auto"/>
        <w:tabs>
          <w:tab w:leader="none" w:pos="13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of ($0.01 par) of</w:t>
      </w:r>
    </w:p>
    <w:p>
      <w:pPr>
        <w:ind w:left="1380" w:right="7399" w:hanging="530"/>
        <w:spacing w:after="0" w:line="290" w:lineRule="auto"/>
        <w:tabs>
          <w:tab w:leader="none" w:pos="13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1628161028</w:t>
      </w:r>
    </w:p>
    <w:p>
      <w:pPr>
        <w:spacing w:after="0" w:line="169" w:lineRule="exact"/>
        <w:rPr>
          <w:sz w:val="20"/>
          <w:szCs w:val="20"/>
          <w:color w:val="auto"/>
        </w:rPr>
      </w:pPr>
    </w:p>
    <w:p>
      <w:pPr>
        <w:ind w:left="860" w:right="2239" w:hanging="841"/>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 BIATC</w:t>
      </w:r>
    </w:p>
    <w:p>
      <w:pPr>
        <w:spacing w:after="0" w:line="207" w:lineRule="exact"/>
        <w:rPr>
          <w:sz w:val="20"/>
          <w:szCs w:val="20"/>
          <w:color w:val="auto"/>
        </w:rPr>
      </w:pPr>
    </w:p>
    <w:p>
      <w:pPr>
        <w:ind w:left="1280" w:right="3699" w:hanging="430"/>
        <w:spacing w:after="0" w:line="469"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For BAI</w:t>
      </w:r>
    </w:p>
    <w:p>
      <w:pPr>
        <w:spacing w:after="0" w:line="13" w:lineRule="exact"/>
        <w:rPr>
          <w:sz w:val="20"/>
          <w:szCs w:val="20"/>
          <w:color w:val="auto"/>
        </w:rPr>
      </w:pPr>
    </w:p>
    <w:p>
      <w:pPr>
        <w:ind w:left="1280" w:right="2759" w:hanging="43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ectPr>
          <w:pgSz w:w="11900" w:h="16838" w:orient="portrait"/>
          <w:cols w:equalWidth="0" w:num="1">
            <w:col w:w="10139"/>
          </w:cols>
          <w:pgMar w:left="320" w:top="717" w:right="1440" w:bottom="1440" w:gutter="0" w:footer="0" w:header="0"/>
        </w:sectPr>
      </w:pPr>
    </w:p>
    <w:bookmarkStart w:id="3" w:name="page4"/>
    <w:bookmarkEnd w:id="3"/>
    <w:p>
      <w:pPr>
        <w:jc w:val="right"/>
        <w:ind w:right="1699"/>
        <w:spacing w:after="0"/>
        <w:rPr>
          <w:sz w:val="20"/>
          <w:szCs w:val="20"/>
          <w:color w:val="auto"/>
        </w:rPr>
      </w:pPr>
      <w:r>
        <w:rPr>
          <w:rFonts w:ascii="Courier New" w:cs="Courier New" w:eastAsia="Courier New" w:hAnsi="Courier New"/>
          <w:sz w:val="18"/>
          <w:szCs w:val="18"/>
          <w:color w:val="auto"/>
        </w:rPr>
        <w:t>Page 4 of 5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hanging="524"/>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As of December 31, 1999</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6190827</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6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6190827</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1480" w:hanging="524"/>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BIATC  11.0%</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BAI</w:t>
      </w:r>
      <w:r>
        <w:rPr>
          <w:rFonts w:ascii="Courier New" w:cs="Courier New" w:eastAsia="Courier New" w:hAnsi="Courier New"/>
          <w:sz w:val="16"/>
          <w:szCs w:val="16"/>
          <w:color w:val="auto"/>
        </w:rPr>
        <w:t>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57400</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2120" w:hanging="638"/>
        <w:spacing w:after="0"/>
        <w:tabs>
          <w:tab w:leader="none" w:pos="21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48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2"/>
              </w:rPr>
              <w:t>0</w:t>
            </w:r>
          </w:p>
        </w:tc>
        <w:tc>
          <w:tcPr>
            <w:tcW w:w="620" w:type="dxa"/>
            <w:vAlign w:val="bottom"/>
          </w:tcPr>
          <w:p>
            <w:pPr>
              <w:spacing w:after="0"/>
              <w:rPr>
                <w:sz w:val="20"/>
                <w:szCs w:val="20"/>
                <w:color w:val="auto"/>
              </w:rPr>
            </w:pPr>
            <w:r>
              <w:rPr>
                <w:rFonts w:ascii="Courier New" w:cs="Courier New" w:eastAsia="Courier New" w:hAnsi="Courier New"/>
                <w:sz w:val="18"/>
                <w:szCs w:val="18"/>
                <w:color w:val="auto"/>
                <w:w w:val="92"/>
              </w:rPr>
              <w:t>shares</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48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680" w:type="dxa"/>
            <w:vAlign w:val="bottom"/>
          </w:tcPr>
          <w:p>
            <w:pPr>
              <w:spacing w:after="0"/>
              <w:rPr>
                <w:sz w:val="17"/>
                <w:szCs w:val="17"/>
                <w:color w:val="auto"/>
              </w:rPr>
            </w:pPr>
          </w:p>
        </w:tc>
        <w:tc>
          <w:tcPr>
            <w:tcW w:w="4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620" w:type="dxa"/>
            <w:vAlign w:val="bottom"/>
          </w:tcPr>
          <w:p>
            <w:pPr>
              <w:spacing w:after="0"/>
              <w:rPr>
                <w:sz w:val="17"/>
                <w:szCs w:val="17"/>
                <w:color w:val="auto"/>
              </w:rPr>
            </w:pPr>
          </w:p>
        </w:tc>
      </w:tr>
    </w:tbl>
    <w:p>
      <w:pPr>
        <w:ind w:left="3280" w:hanging="218"/>
        <w:spacing w:after="0" w:line="238" w:lineRule="auto"/>
        <w:tabs>
          <w:tab w:leader="none" w:pos="3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57400</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2120" w:hanging="638"/>
        <w:spacing w:after="0"/>
        <w:tabs>
          <w:tab w:leader="none" w:pos="21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48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2"/>
              </w:rPr>
              <w:t>0</w:t>
            </w:r>
          </w:p>
        </w:tc>
        <w:tc>
          <w:tcPr>
            <w:tcW w:w="620" w:type="dxa"/>
            <w:vAlign w:val="bottom"/>
          </w:tcPr>
          <w:p>
            <w:pPr>
              <w:spacing w:after="0"/>
              <w:rPr>
                <w:sz w:val="20"/>
                <w:szCs w:val="20"/>
                <w:color w:val="auto"/>
              </w:rPr>
            </w:pPr>
            <w:r>
              <w:rPr>
                <w:rFonts w:ascii="Courier New" w:cs="Courier New" w:eastAsia="Courier New" w:hAnsi="Courier New"/>
                <w:sz w:val="18"/>
                <w:szCs w:val="18"/>
                <w:color w:val="auto"/>
                <w:w w:val="92"/>
              </w:rPr>
              <w:t>shares</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48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680" w:type="dxa"/>
            <w:vAlign w:val="bottom"/>
          </w:tcPr>
          <w:p>
            <w:pPr>
              <w:spacing w:after="0"/>
              <w:rPr>
                <w:sz w:val="17"/>
                <w:szCs w:val="17"/>
                <w:color w:val="auto"/>
              </w:rPr>
            </w:pPr>
          </w:p>
        </w:tc>
        <w:tc>
          <w:tcPr>
            <w:tcW w:w="4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62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48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shares</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18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19" w:firstLine="73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139"/>
          </w:cols>
          <w:pgMar w:left="320" w:top="717" w:right="1440" w:bottom="0" w:gutter="0" w:footer="0" w:header="0"/>
        </w:sectPr>
      </w:pPr>
    </w:p>
    <w:bookmarkStart w:id="4" w:name="page5"/>
    <w:bookmarkEnd w:id="4"/>
    <w:p>
      <w:pPr>
        <w:jc w:val="right"/>
        <w:ind w:right="1699"/>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As of December 31, 1999</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Signature:</w:t>
        <w:tab/>
        <w:t>Brown Investment Advisory &amp; Trust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E. Hieber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Title:</w:t>
        <w:tab/>
        <w:t>Vice President</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Signature:</w:t>
        <w:tab/>
        <w:t>Brown Advisory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E. Hieber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Title:</w:t>
        <w:tab/>
        <w:t>Vice President</w:t>
      </w:r>
    </w:p>
    <w:sectPr>
      <w:pgSz w:w="11900" w:h="16838" w:orient="portrait"/>
      <w:cols w:equalWidth="0" w:num="1">
        <w:col w:w="9399"/>
      </w:cols>
      <w:pgMar w:left="106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0"/>
      <w:numFmt w:val="bullet"/>
      <w:start w:val="1"/>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decimal"/>
      <w:start w:val="12"/>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lvl w:ilvl="1">
      <w:lvlJc w:val="left"/>
      <w:lvlText w:val="(%2)"/>
      <w:numFmt w:val="lowerLetter"/>
      <w:start w:val="9"/>
    </w:lvl>
  </w:abstractNum>
  <w:abstractNum w:abstractNumId="16">
    <w:nsid w:val="431BD7B7"/>
    <w:multiLevelType w:val="hybridMultilevel"/>
    <w:lvl w:ilvl="0">
      <w:lvlJc w:val="left"/>
      <w:lvlText w:val="(%1)"/>
      <w:numFmt w:val="lowerRoman"/>
      <w:start w:val="2"/>
    </w:lvl>
  </w:abstractNum>
  <w:abstractNum w:abstractNumId="17">
    <w:nsid w:val="3F2DBA31"/>
    <w:multiLevelType w:val="hybridMultilevel"/>
    <w:lvl w:ilvl="0">
      <w:lvlJc w:val="left"/>
      <w:lvlText w:val="(%1)"/>
      <w:numFmt w:val="lowerRoman"/>
      <w:start w:val="2"/>
    </w:lvl>
    <w:lvl w:ilvl="1">
      <w:lvlJc w:val="left"/>
      <w:lvlText w:val="0"/>
      <w:numFmt w:val="bullet"/>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2020-10-06T11:28:35Z</dcterms:created>
  <dcterms:modified xsi:type="dcterms:W3CDTF">2020-10-06T11:28:35Z</dcterms:modified>
</cp:coreProperties>
</file>