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715010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61"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163195</wp:posOffset>
            </wp:positionV>
            <wp:extent cx="2168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113665</wp:posOffset>
            </wp:positionV>
            <wp:extent cx="2168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3"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20"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May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201930</wp:posOffset>
            </wp:positionV>
            <wp:extent cx="2168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43"/>
          <w:szCs w:val="43"/>
          <w:b w:val="1"/>
          <w:bCs w:val="1"/>
          <w:color w:val="auto"/>
        </w:rPr>
        <w:t>Fiserv, Inc.</w:t>
      </w:r>
    </w:p>
    <w:p>
      <w:pPr>
        <w:spacing w:after="0" w:line="58"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184785</wp:posOffset>
            </wp:positionV>
            <wp:extent cx="2168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tbl>
      <w:tblPr>
        <w:tblLayout w:type="fixed"/>
        <w:tblInd w:w="940" w:type="dxa"/>
        <w:tblCellMar>
          <w:top w:w="0" w:type="dxa"/>
          <w:left w:w="0" w:type="dxa"/>
          <w:bottom w:w="0" w:type="dxa"/>
          <w:right w:w="0" w:type="dxa"/>
        </w:tblCellMar>
      </w:tblPr>
      <w:tr>
        <w:trPr>
          <w:trHeight w:val="227"/>
        </w:trPr>
        <w:tc>
          <w:tcPr>
            <w:tcW w:w="2060" w:type="dxa"/>
            <w:vAlign w:val="bottom"/>
          </w:tcPr>
          <w:p>
            <w:pPr>
              <w:jc w:val="center"/>
              <w:ind w:right="28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538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1-38962</w:t>
            </w:r>
          </w:p>
        </w:tc>
        <w:tc>
          <w:tcPr>
            <w:tcW w:w="1620" w:type="dxa"/>
            <w:vAlign w:val="bottom"/>
          </w:tcPr>
          <w:p>
            <w:pPr>
              <w:jc w:val="center"/>
              <w:ind w:left="422"/>
              <w:spacing w:after="0"/>
              <w:rPr>
                <w:sz w:val="20"/>
                <w:szCs w:val="20"/>
                <w:color w:val="auto"/>
              </w:rPr>
            </w:pPr>
            <w:r>
              <w:rPr>
                <w:rFonts w:ascii="Times New Roman" w:cs="Times New Roman" w:eastAsia="Times New Roman" w:hAnsi="Times New Roman"/>
                <w:sz w:val="18"/>
                <w:szCs w:val="18"/>
                <w:b w:val="1"/>
                <w:bCs w:val="1"/>
                <w:color w:val="auto"/>
              </w:rPr>
              <w:t>39-1506125</w:t>
            </w:r>
          </w:p>
        </w:tc>
      </w:tr>
      <w:tr>
        <w:trPr>
          <w:trHeight w:val="146"/>
        </w:trPr>
        <w:tc>
          <w:tcPr>
            <w:tcW w:w="2060" w:type="dxa"/>
            <w:vAlign w:val="bottom"/>
          </w:tcPr>
          <w:p>
            <w:pPr>
              <w:jc w:val="center"/>
              <w:ind w:right="28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380" w:type="dxa"/>
            <w:vAlign w:val="bottom"/>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620" w:type="dxa"/>
            <w:vAlign w:val="bottom"/>
          </w:tcPr>
          <w:p>
            <w:pPr>
              <w:jc w:val="center"/>
              <w:ind w:left="44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6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3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20" w:type="dxa"/>
            <w:vAlign w:val="bottom"/>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2060" w:type="dxa"/>
            <w:vAlign w:val="bottom"/>
          </w:tcPr>
          <w:p>
            <w:pPr>
              <w:spacing w:after="0"/>
              <w:rPr>
                <w:sz w:val="24"/>
                <w:szCs w:val="24"/>
                <w:color w:val="auto"/>
              </w:rPr>
            </w:pPr>
          </w:p>
        </w:tc>
        <w:tc>
          <w:tcPr>
            <w:tcW w:w="538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600 N. Vel R. Phillips Avenue, Milwaukee, Wisconsin 53203</w:t>
            </w:r>
          </w:p>
        </w:tc>
        <w:tc>
          <w:tcPr>
            <w:tcW w:w="1620" w:type="dxa"/>
            <w:vAlign w:val="bottom"/>
          </w:tcPr>
          <w:p>
            <w:pPr>
              <w:spacing w:after="0"/>
              <w:rPr>
                <w:sz w:val="24"/>
                <w:szCs w:val="24"/>
                <w:color w:val="auto"/>
              </w:rPr>
            </w:pPr>
          </w:p>
        </w:tc>
      </w:tr>
      <w:tr>
        <w:trPr>
          <w:trHeight w:val="190"/>
        </w:trPr>
        <w:tc>
          <w:tcPr>
            <w:tcW w:w="2060" w:type="dxa"/>
            <w:vAlign w:val="bottom"/>
          </w:tcPr>
          <w:p>
            <w:pPr>
              <w:spacing w:after="0"/>
              <w:rPr>
                <w:sz w:val="16"/>
                <w:szCs w:val="16"/>
                <w:color w:val="auto"/>
              </w:rPr>
            </w:pPr>
          </w:p>
        </w:tc>
        <w:tc>
          <w:tcPr>
            <w:tcW w:w="53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620" w:type="dxa"/>
            <w:vAlign w:val="bottom"/>
          </w:tcPr>
          <w:p>
            <w:pPr>
              <w:spacing w:after="0"/>
              <w:rPr>
                <w:sz w:val="16"/>
                <w:szCs w:val="16"/>
                <w:color w:val="auto"/>
              </w:rPr>
            </w:pPr>
          </w:p>
        </w:tc>
      </w:tr>
      <w:tr>
        <w:trPr>
          <w:trHeight w:val="417"/>
        </w:trPr>
        <w:tc>
          <w:tcPr>
            <w:tcW w:w="2060" w:type="dxa"/>
            <w:vAlign w:val="bottom"/>
          </w:tcPr>
          <w:p>
            <w:pPr>
              <w:spacing w:after="0"/>
              <w:rPr>
                <w:sz w:val="24"/>
                <w:szCs w:val="24"/>
                <w:color w:val="auto"/>
              </w:rPr>
            </w:pPr>
          </w:p>
        </w:tc>
        <w:tc>
          <w:tcPr>
            <w:tcW w:w="538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(262) 879-5000</w:t>
            </w:r>
          </w:p>
        </w:tc>
        <w:tc>
          <w:tcPr>
            <w:tcW w:w="1620" w:type="dxa"/>
            <w:vAlign w:val="bottom"/>
          </w:tcPr>
          <w:p>
            <w:pPr>
              <w:spacing w:after="0"/>
              <w:rPr>
                <w:sz w:val="24"/>
                <w:szCs w:val="24"/>
                <w:color w:val="auto"/>
              </w:rPr>
            </w:pPr>
          </w:p>
        </w:tc>
      </w:tr>
      <w:tr>
        <w:trPr>
          <w:trHeight w:val="190"/>
        </w:trPr>
        <w:tc>
          <w:tcPr>
            <w:tcW w:w="2060" w:type="dxa"/>
            <w:vAlign w:val="bottom"/>
          </w:tcPr>
          <w:p>
            <w:pPr>
              <w:spacing w:after="0"/>
              <w:rPr>
                <w:sz w:val="16"/>
                <w:szCs w:val="16"/>
                <w:color w:val="auto"/>
              </w:rPr>
            </w:pPr>
          </w:p>
        </w:tc>
        <w:tc>
          <w:tcPr>
            <w:tcW w:w="53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177800</wp:posOffset>
            </wp:positionV>
            <wp:extent cx="2357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199" w:right="10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r>
              <w:rPr>
                <w:rFonts w:ascii="Times New Roman" w:cs="Times New Roman" w:eastAsia="Times New Roman" w:hAnsi="Times New Roman"/>
                <w:sz w:val="18"/>
                <w:szCs w:val="18"/>
                <w:b w:val="1"/>
                <w:bCs w:val="1"/>
                <w:color w:val="auto"/>
              </w:rPr>
              <w:t>:</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486"/>
        </w:trPr>
        <w:tc>
          <w:tcPr>
            <w:tcW w:w="10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4"/>
                <w:szCs w:val="24"/>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30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FISV</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1.125% Senior Notes due 2027</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FISV27</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1.625% Senior Notes due 2030</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FISV30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3.000% Senior Notes due 2031</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FISV31</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4.500% Senior Notes due 2031</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FISV31A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2.875% Senior Notes due 2028</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FISV28C</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3.500% Senior Notes due 2032</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FISV32</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4.000% Senior Notes due 2036</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FISV36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400"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1"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93980</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59690</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80"/>
          </w:cols>
          <w:pgMar w:left="320" w:top="846" w:right="499" w:bottom="1440" w:gutter="0" w:footer="0" w:header="0"/>
        </w:sectPr>
      </w:pPr>
    </w:p>
    <w:bookmarkStart w:id="2" w:name="page3"/>
    <w:bookmarkEnd w:id="2"/>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May 5, 2026, Fiserv, Inc. issued a press release announcing its financial results for the quarter ended March 31, 2026. A copy of the press release is attached as Exhibit 99.1 to this Current Report on Form 8-K and is incorporated by reference herein.</w:t>
      </w:r>
    </w:p>
    <w:p>
      <w:pPr>
        <w:spacing w:after="0" w:line="225"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980" w:type="dxa"/>
            <w:vAlign w:val="bottom"/>
          </w:tcPr>
          <w:p>
            <w:pPr>
              <w:spacing w:after="0"/>
              <w:rPr>
                <w:sz w:val="10"/>
                <w:szCs w:val="10"/>
                <w:color w:val="auto"/>
              </w:rPr>
            </w:pPr>
          </w:p>
        </w:tc>
        <w:tc>
          <w:tcPr>
            <w:tcW w:w="9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Borders>
              <w:right w:val="single" w:sz="8" w:color="auto"/>
            </w:tcBorders>
            <w:gridSpan w:val="2"/>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60" w:type="dxa"/>
            <w:vAlign w:val="bottom"/>
          </w:tcPr>
          <w:p>
            <w:pPr>
              <w:spacing w:after="0"/>
              <w:rPr>
                <w:sz w:val="24"/>
                <w:szCs w:val="24"/>
                <w:color w:val="auto"/>
              </w:rPr>
            </w:pPr>
          </w:p>
        </w:tc>
        <w:tc>
          <w:tcPr>
            <w:tcW w:w="5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99.1</w:t>
            </w:r>
          </w:p>
        </w:tc>
        <w:tc>
          <w:tcPr>
            <w:tcW w:w="980" w:type="dxa"/>
            <w:vAlign w:val="bottom"/>
          </w:tcPr>
          <w:p>
            <w:pPr>
              <w:spacing w:after="0"/>
              <w:rPr>
                <w:sz w:val="24"/>
                <w:szCs w:val="24"/>
                <w:color w:val="auto"/>
              </w:rPr>
            </w:pPr>
          </w:p>
        </w:tc>
        <w:tc>
          <w:tcPr>
            <w:tcW w:w="8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of Fiserv, Inc., dated May 5, 2026 (furnished pursuant to Item 2.02 of this Current Report on Form 8-K)</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16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spacing w:after="0"/>
              <w:rPr>
                <w:sz w:val="21"/>
                <w:szCs w:val="21"/>
                <w:color w:val="auto"/>
              </w:rPr>
            </w:pPr>
          </w:p>
        </w:tc>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22"/>
        </w:trPr>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8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5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FISERV, INC.</w:t>
            </w: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5, 2026</w:t>
            </w:r>
          </w:p>
        </w:tc>
        <w:tc>
          <w:tcPr>
            <w:tcW w:w="27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M. Todd</w:t>
            </w:r>
          </w:p>
        </w:tc>
      </w:tr>
      <w:tr>
        <w:trPr>
          <w:trHeight w:val="218"/>
        </w:trPr>
        <w:tc>
          <w:tcPr>
            <w:tcW w:w="5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M. Todd</w:t>
            </w:r>
          </w:p>
        </w:tc>
      </w:tr>
      <w:tr>
        <w:trPr>
          <w:trHeight w:val="234"/>
        </w:trPr>
        <w:tc>
          <w:tcPr>
            <w:tcW w:w="5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887" w:right="359" w:bottom="1440" w:gutter="0" w:footer="0" w:header="0"/>
        </w:sectPr>
      </w:pPr>
    </w:p>
    <w:bookmarkStart w:id="4" w:name="page5"/>
    <w:bookmarkEnd w:id="4"/>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19685</wp:posOffset>
            </wp:positionV>
            <wp:extent cx="1320165" cy="8312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016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27"/>
          <w:szCs w:val="27"/>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40" w:type="dxa"/>
        <w:tblCellMar>
          <w:top w:w="0" w:type="dxa"/>
          <w:left w:w="0" w:type="dxa"/>
          <w:bottom w:w="0" w:type="dxa"/>
          <w:right w:w="0" w:type="dxa"/>
        </w:tblCellMar>
      </w:tblPr>
      <w:tr>
        <w:trPr>
          <w:trHeight w:val="239"/>
        </w:trPr>
        <w:tc>
          <w:tcPr>
            <w:tcW w:w="4520" w:type="dxa"/>
            <w:vAlign w:val="bottom"/>
            <w:gridSpan w:val="2"/>
          </w:tcPr>
          <w:p>
            <w:pPr>
              <w:spacing w:after="0"/>
              <w:rPr>
                <w:sz w:val="20"/>
                <w:szCs w:val="20"/>
                <w:color w:val="auto"/>
              </w:rPr>
            </w:pPr>
            <w:r>
              <w:rPr>
                <w:rFonts w:ascii="Arial" w:cs="Arial" w:eastAsia="Arial" w:hAnsi="Arial"/>
                <w:sz w:val="18"/>
                <w:szCs w:val="18"/>
                <w:color w:val="auto"/>
              </w:rPr>
              <w:t>For more information contact:</w:t>
            </w:r>
          </w:p>
        </w:tc>
        <w:tc>
          <w:tcPr>
            <w:tcW w:w="9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15"/>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Media Relations:</w:t>
            </w:r>
          </w:p>
        </w:tc>
        <w:tc>
          <w:tcPr>
            <w:tcW w:w="4240" w:type="dxa"/>
            <w:vAlign w:val="bottom"/>
            <w:gridSpan w:val="3"/>
          </w:tcPr>
          <w:p>
            <w:pPr>
              <w:ind w:left="960"/>
              <w:spacing w:after="0"/>
              <w:rPr>
                <w:sz w:val="20"/>
                <w:szCs w:val="20"/>
                <w:color w:val="auto"/>
              </w:rPr>
            </w:pPr>
            <w:r>
              <w:rPr>
                <w:rFonts w:ascii="Arial" w:cs="Arial" w:eastAsia="Arial" w:hAnsi="Arial"/>
                <w:sz w:val="18"/>
                <w:szCs w:val="18"/>
                <w:b w:val="1"/>
                <w:bCs w:val="1"/>
                <w:color w:val="auto"/>
              </w:rPr>
              <w:t>Investor Relations:</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Stacy Davidson</w:t>
            </w:r>
          </w:p>
        </w:tc>
        <w:tc>
          <w:tcPr>
            <w:tcW w:w="4240" w:type="dxa"/>
            <w:vAlign w:val="bottom"/>
            <w:gridSpan w:val="3"/>
          </w:tcPr>
          <w:p>
            <w:pPr>
              <w:ind w:left="960"/>
              <w:spacing w:after="0"/>
              <w:rPr>
                <w:sz w:val="20"/>
                <w:szCs w:val="20"/>
                <w:color w:val="auto"/>
              </w:rPr>
            </w:pPr>
            <w:r>
              <w:rPr>
                <w:rFonts w:ascii="Arial" w:cs="Arial" w:eastAsia="Arial" w:hAnsi="Arial"/>
                <w:sz w:val="18"/>
                <w:szCs w:val="18"/>
                <w:color w:val="auto"/>
              </w:rPr>
              <w:t>Walter Pritchard</w:t>
            </w: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Chief Communications and Marketing Officer</w:t>
            </w:r>
          </w:p>
        </w:tc>
        <w:tc>
          <w:tcPr>
            <w:tcW w:w="4240" w:type="dxa"/>
            <w:vAlign w:val="bottom"/>
            <w:gridSpan w:val="3"/>
          </w:tcPr>
          <w:p>
            <w:pPr>
              <w:ind w:left="960"/>
              <w:spacing w:after="0" w:line="202" w:lineRule="exact"/>
              <w:rPr>
                <w:sz w:val="20"/>
                <w:szCs w:val="20"/>
                <w:color w:val="auto"/>
              </w:rPr>
            </w:pPr>
            <w:r>
              <w:rPr>
                <w:rFonts w:ascii="Arial" w:cs="Arial" w:eastAsia="Arial" w:hAnsi="Arial"/>
                <w:sz w:val="18"/>
                <w:szCs w:val="18"/>
                <w:color w:val="auto"/>
                <w:w w:val="99"/>
              </w:rPr>
              <w:t>Senior Vice President, Investor Relations</w:t>
            </w: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Fiserv, Inc.</w:t>
            </w:r>
          </w:p>
        </w:tc>
        <w:tc>
          <w:tcPr>
            <w:tcW w:w="424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Fiserv, Inc.</w:t>
            </w:r>
          </w:p>
        </w:tc>
      </w:tr>
      <w:tr>
        <w:trPr>
          <w:trHeight w:val="194"/>
        </w:trPr>
        <w:tc>
          <w:tcPr>
            <w:tcW w:w="216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97"/>
              </w:rPr>
              <w:t>stacy.davidson@fiserv.com</w:t>
            </w:r>
          </w:p>
        </w:tc>
        <w:tc>
          <w:tcPr>
            <w:tcW w:w="2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2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98"/>
              </w:rPr>
              <w:t>walter.pritchard@fiserv.com</w:t>
            </w:r>
          </w:p>
        </w:tc>
        <w:tc>
          <w:tcPr>
            <w:tcW w:w="10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40"/>
        <w:spacing w:after="0"/>
        <w:rPr>
          <w:sz w:val="20"/>
          <w:szCs w:val="20"/>
          <w:color w:val="auto"/>
        </w:rPr>
      </w:pPr>
      <w:r>
        <w:rPr>
          <w:rFonts w:ascii="Arial" w:cs="Arial" w:eastAsia="Arial" w:hAnsi="Arial"/>
          <w:sz w:val="25"/>
          <w:szCs w:val="25"/>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Fiserv Reports First Quarter 2026 Results</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GAAP revenue decrease of 2% and organic revenue decrease of 4%;</w:t>
      </w:r>
    </w:p>
    <w:p>
      <w:pPr>
        <w:spacing w:after="0" w:line="24" w:lineRule="exact"/>
        <w:rPr>
          <w:sz w:val="20"/>
          <w:szCs w:val="20"/>
          <w:color w:val="auto"/>
        </w:rPr>
      </w:pPr>
    </w:p>
    <w:p>
      <w:pPr>
        <w:jc w:val="center"/>
        <w:ind w:left="360" w:right="2620"/>
        <w:spacing w:after="0" w:line="281" w:lineRule="auto"/>
        <w:rPr>
          <w:sz w:val="20"/>
          <w:szCs w:val="20"/>
          <w:color w:val="auto"/>
        </w:rPr>
      </w:pPr>
      <w:r>
        <w:rPr>
          <w:rFonts w:ascii="Arial" w:cs="Arial" w:eastAsia="Arial" w:hAnsi="Arial"/>
          <w:sz w:val="20"/>
          <w:szCs w:val="20"/>
          <w:color w:val="auto"/>
        </w:rPr>
        <w:t>GAAP EPS decreased 29% and adjusted EPS decreased 16%; Company affirms 2026 organic revenue growth outlook of 1% to 3% and adjusted EPS outlook of $8.00 to $8.30</w:t>
      </w:r>
    </w:p>
    <w:p>
      <w:pPr>
        <w:spacing w:after="0" w:line="185" w:lineRule="exact"/>
        <w:rPr>
          <w:sz w:val="20"/>
          <w:szCs w:val="20"/>
          <w:color w:val="auto"/>
        </w:rPr>
      </w:pPr>
    </w:p>
    <w:p>
      <w:pPr>
        <w:ind w:right="700"/>
        <w:spacing w:after="0" w:line="274" w:lineRule="auto"/>
        <w:rPr>
          <w:sz w:val="20"/>
          <w:szCs w:val="20"/>
          <w:color w:val="auto"/>
        </w:rPr>
      </w:pPr>
      <w:r>
        <w:rPr>
          <w:rFonts w:ascii="Arial" w:cs="Arial" w:eastAsia="Arial" w:hAnsi="Arial"/>
          <w:sz w:val="20"/>
          <w:szCs w:val="20"/>
          <w:b w:val="1"/>
          <w:bCs w:val="1"/>
          <w:color w:val="auto"/>
        </w:rPr>
        <w:t xml:space="preserve">MILWAUKEE, May 5, 2026 </w:t>
      </w:r>
      <w:r>
        <w:rPr>
          <w:rFonts w:ascii="Arial" w:cs="Arial" w:eastAsia="Arial" w:hAnsi="Arial"/>
          <w:sz w:val="20"/>
          <w:szCs w:val="20"/>
          <w:color w:val="auto"/>
        </w:rPr>
        <w:t>– Fiserv, Inc. (NASDAQ: FISV), a leading global provider of payments and financial services</w:t>
      </w:r>
      <w:r>
        <w:rPr>
          <w:rFonts w:ascii="Arial" w:cs="Arial" w:eastAsia="Arial" w:hAnsi="Arial"/>
          <w:sz w:val="20"/>
          <w:szCs w:val="20"/>
          <w:b w:val="1"/>
          <w:bCs w:val="1"/>
          <w:color w:val="auto"/>
        </w:rPr>
        <w:t xml:space="preserve"> </w:t>
      </w:r>
      <w:r>
        <w:rPr>
          <w:rFonts w:ascii="Arial" w:cs="Arial" w:eastAsia="Arial" w:hAnsi="Arial"/>
          <w:sz w:val="20"/>
          <w:szCs w:val="20"/>
          <w:color w:val="auto"/>
        </w:rPr>
        <w:t>technology solutions, today reported financial results for the first quarter of 2026.</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2026 GAAP Results</w:t>
      </w:r>
    </w:p>
    <w:p>
      <w:pPr>
        <w:spacing w:after="0" w:line="69" w:lineRule="exact"/>
        <w:rPr>
          <w:sz w:val="20"/>
          <w:szCs w:val="20"/>
          <w:color w:val="auto"/>
        </w:rPr>
      </w:pPr>
    </w:p>
    <w:p>
      <w:pPr>
        <w:ind w:right="160"/>
        <w:spacing w:after="0" w:line="255" w:lineRule="auto"/>
        <w:rPr>
          <w:sz w:val="20"/>
          <w:szCs w:val="20"/>
          <w:color w:val="auto"/>
        </w:rPr>
      </w:pPr>
      <w:r>
        <w:rPr>
          <w:rFonts w:ascii="Arial" w:cs="Arial" w:eastAsia="Arial" w:hAnsi="Arial"/>
          <w:sz w:val="20"/>
          <w:szCs w:val="20"/>
          <w:color w:val="auto"/>
        </w:rPr>
        <w:t>GAAP revenue for the company was $5.03 billion in the first quarter of 2026, a decrease of 2% compared to the first quarter of 2025. GAAP revenue was flat in the Merchant Solutions segment and decreased 5% in the Financial Solutions segment in the first quarter of 2026 compared to the prior year period. GAAP earnings per share was $1.07 in the first quarter of 2026, a decrease of 29% compared to the first quarter of 2025.</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GAAP operating margin was 18.3% in the first quarter of 2026 compared to 27.2% in the first quarter of 2025. GAAP operating margin in the Merchant Solutions segment was 26.4% in the first quarter of 2026 compared to 34.2% in the prior year period. GAAP operating margin in the Financial Solutions segment was 38.1% in the first quarter of 2026 compared to 47.5% in the prior year period. Net cash provided by operating activities was $599 million in the first quarter of 2026 compared to $648 million in the first quarter of 2025.</w:t>
      </w:r>
    </w:p>
    <w:p>
      <w:pPr>
        <w:spacing w:after="0" w:line="133"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color w:val="auto"/>
        </w:rPr>
        <w:t>“During the first quarter, we remained in execution mode, delivering results in line with the expectations we shared in February,” said Mike Lyons, Chief Executive Officer of Fiserv. “Our team is focused on advancing the One Fiserv Action Plan and while significant work remains, we are encouraged by our progress. We look forward to providing more details on our strategy and medium-term financial outlook at our May 14th Investor Day.”</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2026 Non-GAAP Results and Additional Information</w:t>
      </w:r>
    </w:p>
    <w:p>
      <w:pPr>
        <w:spacing w:after="0" w:line="177" w:lineRule="exact"/>
        <w:rPr>
          <w:sz w:val="20"/>
          <w:szCs w:val="20"/>
          <w:color w:val="auto"/>
        </w:rPr>
      </w:pPr>
    </w:p>
    <w:p>
      <w:pPr>
        <w:ind w:left="320" w:hanging="312"/>
        <w:spacing w:after="0"/>
        <w:tabs>
          <w:tab w:leader="none" w:pos="32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revenue was $4.68 billion in the first quarter of 2026, a decrease of 2% compared to the prior year period.</w:t>
      </w:r>
    </w:p>
    <w:p>
      <w:pPr>
        <w:sectPr>
          <w:pgSz w:w="11900" w:h="16838" w:orient="portrait"/>
          <w:cols w:equalWidth="0" w:num="1">
            <w:col w:w="11200"/>
          </w:cols>
          <w:pgMar w:left="320" w:top="15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00"/>
          </w:cols>
          <w:pgMar w:left="320" w:top="158" w:right="379"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0" w:right="160" w:hanging="332"/>
        <w:spacing w:after="0" w:line="274" w:lineRule="auto"/>
        <w:tabs>
          <w:tab w:leader="none" w:pos="328" w:val="left"/>
        </w:tabs>
        <w:numPr>
          <w:ilvl w:val="0"/>
          <w:numId w:val="3"/>
        </w:numPr>
        <w:rPr>
          <w:rFonts w:ascii="Arial" w:cs="Arial" w:eastAsia="Arial" w:hAnsi="Arial"/>
          <w:sz w:val="20"/>
          <w:szCs w:val="20"/>
          <w:color w:val="auto"/>
        </w:rPr>
      </w:pPr>
      <w:r>
        <w:rPr>
          <w:rFonts w:ascii="Arial" w:cs="Arial" w:eastAsia="Arial" w:hAnsi="Arial"/>
          <w:sz w:val="20"/>
          <w:szCs w:val="20"/>
          <w:color w:val="auto"/>
        </w:rPr>
        <w:t>Organic revenue decreased 4% in the first quarter of 2026, with a 1% decline in the Merchant Solutions segment and a 6% decline in the Financial Solutions segment.</w:t>
      </w:r>
    </w:p>
    <w:p>
      <w:pPr>
        <w:spacing w:after="0" w:line="1" w:lineRule="exact"/>
        <w:rPr>
          <w:rFonts w:ascii="Arial" w:cs="Arial" w:eastAsia="Arial" w:hAnsi="Arial"/>
          <w:sz w:val="20"/>
          <w:szCs w:val="20"/>
          <w:color w:val="auto"/>
        </w:rPr>
      </w:pPr>
    </w:p>
    <w:p>
      <w:pPr>
        <w:ind w:left="320" w:hanging="312"/>
        <w:spacing w:after="0"/>
        <w:tabs>
          <w:tab w:leader="none" w:pos="32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earnings per share was $1.79 in the first quarter of 2026, a decrease of 16% compared to the prior year period.</w:t>
      </w:r>
    </w:p>
    <w:p>
      <w:pPr>
        <w:spacing w:after="0" w:line="67" w:lineRule="exact"/>
        <w:rPr>
          <w:rFonts w:ascii="Arial" w:cs="Arial" w:eastAsia="Arial" w:hAnsi="Arial"/>
          <w:sz w:val="20"/>
          <w:szCs w:val="20"/>
          <w:color w:val="auto"/>
        </w:rPr>
      </w:pPr>
    </w:p>
    <w:p>
      <w:pPr>
        <w:ind w:left="320" w:hanging="312"/>
        <w:spacing w:after="0"/>
        <w:tabs>
          <w:tab w:leader="none" w:pos="32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operating margin was 29.7% in the first quarter of 2026 compared to 37.8% in the first quarter of 2025.</w:t>
      </w:r>
    </w:p>
    <w:p>
      <w:pPr>
        <w:spacing w:after="0" w:line="53" w:lineRule="exact"/>
        <w:rPr>
          <w:rFonts w:ascii="Arial" w:cs="Arial" w:eastAsia="Arial" w:hAnsi="Arial"/>
          <w:sz w:val="20"/>
          <w:szCs w:val="20"/>
          <w:color w:val="auto"/>
        </w:rPr>
      </w:pPr>
    </w:p>
    <w:p>
      <w:pPr>
        <w:ind w:left="340" w:right="80" w:hanging="332"/>
        <w:spacing w:after="0" w:line="281" w:lineRule="auto"/>
        <w:tabs>
          <w:tab w:leader="none" w:pos="328"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operating margin was 26.4% and 34.2% in the Merchant Solutions segment and 38.1% and 47.5% in the Financial Solutions segment in the first quarter of 2026 and 2025, respectively.</w:t>
      </w:r>
    </w:p>
    <w:p>
      <w:pPr>
        <w:spacing w:after="0" w:line="1" w:lineRule="exact"/>
        <w:rPr>
          <w:rFonts w:ascii="Arial" w:cs="Arial" w:eastAsia="Arial" w:hAnsi="Arial"/>
          <w:sz w:val="20"/>
          <w:szCs w:val="20"/>
          <w:color w:val="auto"/>
        </w:rPr>
      </w:pPr>
    </w:p>
    <w:p>
      <w:pPr>
        <w:ind w:left="320" w:hanging="312"/>
        <w:spacing w:after="0"/>
        <w:tabs>
          <w:tab w:leader="none" w:pos="320" w:val="left"/>
        </w:tabs>
        <w:numPr>
          <w:ilvl w:val="0"/>
          <w:numId w:val="3"/>
        </w:numPr>
        <w:rPr>
          <w:rFonts w:ascii="Arial" w:cs="Arial" w:eastAsia="Arial" w:hAnsi="Arial"/>
          <w:sz w:val="20"/>
          <w:szCs w:val="20"/>
          <w:color w:val="auto"/>
        </w:rPr>
      </w:pPr>
      <w:r>
        <w:rPr>
          <w:rFonts w:ascii="Arial" w:cs="Arial" w:eastAsia="Arial" w:hAnsi="Arial"/>
          <w:sz w:val="20"/>
          <w:szCs w:val="20"/>
          <w:color w:val="auto"/>
        </w:rPr>
        <w:t>Free cash flow was $259 million in the first quarter of 2026 compared to $371 million in the prior year period.</w:t>
      </w:r>
    </w:p>
    <w:p>
      <w:pPr>
        <w:spacing w:after="0" w:line="53" w:lineRule="exact"/>
        <w:rPr>
          <w:rFonts w:ascii="Arial" w:cs="Arial" w:eastAsia="Arial" w:hAnsi="Arial"/>
          <w:sz w:val="20"/>
          <w:szCs w:val="20"/>
          <w:color w:val="auto"/>
        </w:rPr>
      </w:pPr>
    </w:p>
    <w:p>
      <w:pPr>
        <w:ind w:left="320" w:hanging="312"/>
        <w:spacing w:after="0"/>
        <w:tabs>
          <w:tab w:leader="none" w:pos="3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company repurchased 3.3 million shares of common stock for $200 million in the first quarter of 2026.</w:t>
      </w:r>
    </w:p>
    <w:p>
      <w:pPr>
        <w:spacing w:after="0" w:line="67" w:lineRule="exact"/>
        <w:rPr>
          <w:rFonts w:ascii="Arial" w:cs="Arial" w:eastAsia="Arial" w:hAnsi="Arial"/>
          <w:sz w:val="20"/>
          <w:szCs w:val="20"/>
          <w:color w:val="auto"/>
        </w:rPr>
      </w:pPr>
    </w:p>
    <w:p>
      <w:pPr>
        <w:ind w:left="340" w:right="240" w:hanging="332"/>
        <w:spacing w:after="0" w:line="289" w:lineRule="auto"/>
        <w:tabs>
          <w:tab w:leader="none" w:pos="328"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first quarter of 2026 included a net $254 million income tax benefit related to the release of various foreign valuation allowances, partially offset by $74 million of other discrete tax items, resulting in an overall lower effective income tax rate.</w:t>
      </w:r>
    </w:p>
    <w:p>
      <w:pPr>
        <w:ind w:left="320" w:hanging="312"/>
        <w:spacing w:after="0"/>
        <w:tabs>
          <w:tab w:leader="none" w:pos="32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In March 2026, Fiserv was named one of America’s Most Innovative Companies by </w:t>
      </w:r>
      <w:r>
        <w:rPr>
          <w:rFonts w:ascii="Arial" w:cs="Arial" w:eastAsia="Arial" w:hAnsi="Arial"/>
          <w:sz w:val="20"/>
          <w:szCs w:val="20"/>
          <w:i w:val="1"/>
          <w:iCs w:val="1"/>
          <w:color w:val="auto"/>
        </w:rPr>
        <w:t>Fortune</w:t>
      </w:r>
      <w:r>
        <w:rPr>
          <w:rFonts w:ascii="Arial" w:cs="Arial" w:eastAsia="Arial" w:hAnsi="Arial"/>
          <w:sz w:val="20"/>
          <w:szCs w:val="20"/>
          <w:color w:val="auto"/>
        </w:rPr>
        <w:t xml:space="preserve"> for the fourth consecutive year.</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 for 2026</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Fiserv continues to expect organic revenue growth of 1% to 3% and adjusted earnings per share of $8.00 to $8.30 for 2026.</w:t>
      </w:r>
    </w:p>
    <w:p>
      <w:pPr>
        <w:spacing w:after="0" w:line="175"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color w:val="auto"/>
        </w:rPr>
        <w:t>“First quarter results were supported by stable underlying account and volume trends,” said Paul Todd, Chief Financial Officer of Fiserv. “We remain confident in our full-year guidance and are encouraged by the progress we are making with productivity initiatives, including Project Elevate.”</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Conference Call</w:t>
      </w:r>
    </w:p>
    <w:p>
      <w:pPr>
        <w:spacing w:after="0" w:line="164" w:lineRule="exact"/>
        <w:rPr>
          <w:sz w:val="20"/>
          <w:szCs w:val="20"/>
          <w:color w:val="auto"/>
        </w:rPr>
      </w:pPr>
    </w:p>
    <w:p>
      <w:pPr>
        <w:ind w:right="320"/>
        <w:spacing w:after="0" w:line="262" w:lineRule="auto"/>
        <w:rPr>
          <w:sz w:val="20"/>
          <w:szCs w:val="20"/>
          <w:color w:val="auto"/>
        </w:rPr>
      </w:pPr>
      <w:r>
        <w:rPr>
          <w:rFonts w:ascii="Arial" w:cs="Arial" w:eastAsia="Arial" w:hAnsi="Arial"/>
          <w:sz w:val="20"/>
          <w:szCs w:val="20"/>
          <w:color w:val="auto"/>
        </w:rPr>
        <w:t xml:space="preserve">The company will discuss its first quarter 2026 results in a live webcast at 7 a.m. CT on Tuesday, May 5, 2026. The webcast, along with supplemental financial information, can be accessed on the investor relations section of the Fiserv website at </w:t>
      </w:r>
      <w:r>
        <w:rPr>
          <w:rFonts w:ascii="Arial" w:cs="Arial" w:eastAsia="Arial" w:hAnsi="Arial"/>
          <w:sz w:val="20"/>
          <w:szCs w:val="20"/>
          <w:u w:val="single" w:color="auto"/>
          <w:color w:val="0000FF"/>
        </w:rPr>
        <w:t>investors.fiserv.com</w:t>
      </w:r>
      <w:r>
        <w:rPr>
          <w:rFonts w:ascii="Arial" w:cs="Arial" w:eastAsia="Arial" w:hAnsi="Arial"/>
          <w:sz w:val="20"/>
          <w:szCs w:val="20"/>
          <w:color w:val="000000"/>
        </w:rPr>
        <w:t>. A replay will be available approximately one hour after the conclusion of the live webcast.</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Fiserv</w:t>
      </w:r>
    </w:p>
    <w:p>
      <w:pPr>
        <w:spacing w:after="0" w:line="164"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Fiserv, Inc. (NASDAQ: FISV), a Fortune 500™ company, moves more than money. As a global leader in payments and financial technology, the company helps clients achieve best-in-class results through a commitment to innovation and excellence in areas including account processing and digital banking solutions; card issuer processing and network services; payments; e-commerce; merchant acquiring and processing; and Clover</w:t>
      </w:r>
      <w:r>
        <w:rPr>
          <w:rFonts w:ascii="Arial" w:cs="Arial" w:eastAsia="Arial" w:hAnsi="Arial"/>
          <w:sz w:val="25"/>
          <w:szCs w:val="25"/>
          <w:color w:val="auto"/>
          <w:vertAlign w:val="superscript"/>
        </w:rPr>
        <w:t>®</w:t>
      </w:r>
      <w:r>
        <w:rPr>
          <w:rFonts w:ascii="Arial" w:cs="Arial" w:eastAsia="Arial" w:hAnsi="Arial"/>
          <w:sz w:val="20"/>
          <w:szCs w:val="20"/>
          <w:color w:val="auto"/>
        </w:rPr>
        <w:t>, the world’s smartest point-of-sale system and business management platform. Fiserv is a member of the S&amp;P 500</w:t>
      </w:r>
      <w:r>
        <w:rPr>
          <w:rFonts w:ascii="Arial" w:cs="Arial" w:eastAsia="Arial" w:hAnsi="Arial"/>
          <w:sz w:val="25"/>
          <w:szCs w:val="25"/>
          <w:color w:val="auto"/>
          <w:vertAlign w:val="superscript"/>
        </w:rPr>
        <w:t>®</w:t>
      </w:r>
      <w:r>
        <w:rPr>
          <w:rFonts w:ascii="Arial" w:cs="Arial" w:eastAsia="Arial" w:hAnsi="Arial"/>
          <w:sz w:val="20"/>
          <w:szCs w:val="20"/>
          <w:color w:val="auto"/>
        </w:rPr>
        <w:t xml:space="preserve"> Index and one of TIME Magazine’s Most Influential Companies™. Visit </w:t>
      </w:r>
      <w:r>
        <w:rPr>
          <w:rFonts w:ascii="Arial" w:cs="Arial" w:eastAsia="Arial" w:hAnsi="Arial"/>
          <w:sz w:val="20"/>
          <w:szCs w:val="20"/>
          <w:u w:val="single" w:color="auto"/>
          <w:color w:val="0000FF"/>
        </w:rPr>
        <w:t>fiserv.com</w:t>
      </w:r>
      <w:r>
        <w:rPr>
          <w:rFonts w:ascii="Arial" w:cs="Arial" w:eastAsia="Arial" w:hAnsi="Arial"/>
          <w:sz w:val="20"/>
          <w:szCs w:val="20"/>
          <w:color w:val="auto"/>
        </w:rPr>
        <w:t xml:space="preserve"> and follow on social media for more information and the latest company news.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1231" w:right="359" w:bottom="1440" w:gutter="0" w:footer="0" w:header="0"/>
        </w:sectPr>
      </w:pPr>
    </w:p>
    <w:bookmarkStart w:id="6" w:name="page7"/>
    <w:bookmarkEnd w:id="6"/>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177"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In this news release, the company supplements its reporting of information determined in accordance with generally accepted accounting principles (“GAAP”), such as revenue, operating income, operating margin, net income attributable to Fiserv, diluted earnings per share and net cash provided by operating activities, with “adjusted revenue,” “change in adjusted revenue,” “organic revenue,” “change in organic revenue,” “organic revenue growth,” “adjusted operating income,” “adjusted operating margin,” “adjusted net income,” “adjusted earnings per share,” “change in adjusted earnings per share,” and “free cash flow.” Management believes that adjustments for certain non-cash or other items and the exclusion of certain pass-through revenue and expenses should enhance shareholders’ ability to evaluate the company’s performance, as such measures provide additional insights into the factors and trends affecting its business. Therefore, the company excludes these items from its GAAP financial measures to calculate these unaudited non-GAAP measures. The corresponding reconciliations of these unaudited non-GAAP financial measures to the most comparable GAAP measures are included in this news release, except for forward-looking measures where a reconciliation to the corresponding GAAP measures is not available due to the variability, complexity, and limited visibility of the non-cash and other items described below that are excluded from the non-GAAP outlook measures. See page 15 for additional information regarding the company’s forward-looking non-GAAP financial measures.</w:t>
      </w:r>
    </w:p>
    <w:p>
      <w:pPr>
        <w:spacing w:after="0" w:line="116" w:lineRule="exact"/>
        <w:rPr>
          <w:sz w:val="20"/>
          <w:szCs w:val="20"/>
          <w:color w:val="auto"/>
        </w:rPr>
      </w:pPr>
    </w:p>
    <w:p>
      <w:pPr>
        <w:ind w:right="160"/>
        <w:spacing w:after="0" w:line="254" w:lineRule="auto"/>
        <w:rPr>
          <w:sz w:val="20"/>
          <w:szCs w:val="20"/>
          <w:color w:val="auto"/>
        </w:rPr>
      </w:pPr>
      <w:r>
        <w:rPr>
          <w:rFonts w:ascii="Arial" w:cs="Arial" w:eastAsia="Arial" w:hAnsi="Arial"/>
          <w:sz w:val="20"/>
          <w:szCs w:val="20"/>
          <w:color w:val="auto"/>
        </w:rPr>
        <w:t>Examples of non-cash or other items may include, but are not limited to, non-cash intangible asset amortization expense associated with acquisitions; non-cash impairment charges; merger and integration costs; severance costs; certain transformation related expenses associated with the company’s One Fiserv action plan; gains or losses from the sale of businesses, certain assets or investments; and certain discrete tax benefits and expenses. The company excludes these items to more clearly focus on the factors management believes are pertinent to the company’s operations, and management uses this information to make operating decisions, including the allocation of resources to the company’s various businesses.</w:t>
      </w:r>
    </w:p>
    <w:p>
      <w:pPr>
        <w:spacing w:after="0" w:line="133"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The company adjusts its non-GAAP results to exclude amortization of acquisition-related intangible assets as such amounts are inconsistent in amount and frequency and are significantly impacted by the timing and/or size of acquisitions. Management believes that the adjustment of acquisition-related intangible asset amortization supplements GAAP information with a measure that can be used to assess the comparability of operating performance. Although the company excludes amortization from acquisition-related intangible assets from its non-GAAP expenses, management believes that it is important for investors to understand that such intangible assets were recorded as part of purchase accounting and contribute to revenue generation.</w:t>
      </w:r>
    </w:p>
    <w:p>
      <w:pPr>
        <w:spacing w:after="0" w:line="119" w:lineRule="exact"/>
        <w:rPr>
          <w:sz w:val="20"/>
          <w:szCs w:val="20"/>
          <w:color w:val="auto"/>
        </w:rPr>
      </w:pPr>
    </w:p>
    <w:p>
      <w:pPr>
        <w:ind w:right="180"/>
        <w:spacing w:after="0" w:line="258" w:lineRule="auto"/>
        <w:rPr>
          <w:sz w:val="20"/>
          <w:szCs w:val="20"/>
          <w:color w:val="auto"/>
        </w:rPr>
      </w:pPr>
      <w:r>
        <w:rPr>
          <w:rFonts w:ascii="Arial" w:cs="Arial" w:eastAsia="Arial" w:hAnsi="Arial"/>
          <w:sz w:val="20"/>
          <w:szCs w:val="20"/>
          <w:color w:val="auto"/>
        </w:rPr>
        <w:t>Management believes organic revenue is useful because it presents revenue excluding the impact of foreign currency fluctuations, acquisitions, dispositions and the impact of the company’s postage reimbursements. Management believes free cash flow is useful to measure the funds generated in a given period that are available for debt service requirements and strategic capital decisions. Management believes this supplemental information enhances shareholders’ ability to evaluate and understand the company’s core business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231" w:right="339" w:bottom="1440" w:gutter="0" w:footer="0" w:header="0"/>
        </w:sectPr>
      </w:pPr>
    </w:p>
    <w:bookmarkStart w:id="7" w:name="page8"/>
    <w:bookmarkEnd w:id="7"/>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20"/>
        <w:spacing w:after="0" w:line="259" w:lineRule="auto"/>
        <w:rPr>
          <w:sz w:val="20"/>
          <w:szCs w:val="20"/>
          <w:color w:val="auto"/>
        </w:rPr>
      </w:pPr>
      <w:r>
        <w:rPr>
          <w:rFonts w:ascii="Arial" w:cs="Arial" w:eastAsia="Arial" w:hAnsi="Arial"/>
          <w:sz w:val="20"/>
          <w:szCs w:val="20"/>
          <w:color w:val="auto"/>
        </w:rPr>
        <w:t>These unaudited non-GAAP financial measures may not be comparable to similarly titled measures reported by other companies and should be considered in addition to, and not as a substitute for, revenue, operating income, operating margin, net income attributable to Fiserv, diluted earnings per share and net cash provided by operating activities or any other amount determined in accordance with GAAP.</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9" w:lineRule="exact"/>
        <w:rPr>
          <w:sz w:val="20"/>
          <w:szCs w:val="20"/>
          <w:color w:val="auto"/>
        </w:rPr>
      </w:pPr>
    </w:p>
    <w:p>
      <w:pPr>
        <w:ind w:right="360"/>
        <w:spacing w:after="0" w:line="274" w:lineRule="auto"/>
        <w:rPr>
          <w:sz w:val="20"/>
          <w:szCs w:val="20"/>
          <w:color w:val="auto"/>
        </w:rPr>
      </w:pPr>
      <w:r>
        <w:rPr>
          <w:rFonts w:ascii="Arial" w:cs="Arial" w:eastAsia="Arial" w:hAnsi="Arial"/>
          <w:sz w:val="19"/>
          <w:szCs w:val="19"/>
          <w:i w:val="1"/>
          <w:iCs w:val="1"/>
          <w:color w:val="auto"/>
        </w:rPr>
        <w:t>This news release contains forward-looking statements within the meaning of the Private Securities Litigation Reform Act of 1995, including statements regarding anticipated organic revenue growth, adjusted earnings per share and other statements regarding our future financial performance. Statements can generally be identified as forward-looking because they include words such as “believes,” “anticipates,” “expects,” “could,” “should,” “confident,” “likely,” “plan,” or words of similar meaning. Statements that describe the company’s future plans, outlook, objectives or goals are also forward-looking statements.</w:t>
      </w:r>
    </w:p>
    <w:p>
      <w:pPr>
        <w:spacing w:after="0" w:line="103" w:lineRule="exact"/>
        <w:rPr>
          <w:sz w:val="20"/>
          <w:szCs w:val="20"/>
          <w:color w:val="auto"/>
        </w:rPr>
      </w:pPr>
    </w:p>
    <w:p>
      <w:pPr>
        <w:spacing w:after="0" w:line="249" w:lineRule="auto"/>
        <w:rPr>
          <w:sz w:val="20"/>
          <w:szCs w:val="20"/>
          <w:color w:val="auto"/>
        </w:rPr>
      </w:pPr>
      <w:r>
        <w:rPr>
          <w:rFonts w:ascii="Arial" w:cs="Arial" w:eastAsia="Arial" w:hAnsi="Arial"/>
          <w:sz w:val="20"/>
          <w:szCs w:val="20"/>
          <w:i w:val="1"/>
          <w:iCs w:val="1"/>
          <w:color w:val="auto"/>
        </w:rPr>
        <w:t>Forward-looking statements are subject to assumptions, risks and uncertainties that may cause actual results to differ materially from those contemplated by such forward-looking statements. The factors that could cause the company’s actual results to differ materially include, among others, the following: the company’s ability to compete effectively against new and existing competitors and to continue to introduce competitive new products and services on a timely, cost-effective basis; changes in customer demand for the company’s products and services; the ability of the company’s technology to keep pace with a rapidly evolving marketplace; the company’s ability to successfully implement and achieve the expected benefits associated with its One Fiserv action plan; the success of the company’s merchant alliances, some of which are not controlled by the company; the impact of a security breach or operational failure on the company’s business, including disruptions caused by other participants in the global financial system; losses due to chargebacks, refunds or returns as a result of fraud or the failure of the company’s vendors and merchants to satisfy their obligations; changes in local, regional, national and international economic or political conditions, including those resulting from heightened inflation, rising interest rates, taxes, trade policies and tariffs, a recession, bank failures, or international hostilities, and the impact they may have on the company and its employees, clients, vendors, supply chain, operations and sales; the company’s ability to use artificial intelligence to improve its products and services and enhance its operations; the effect of proposed and enacted legislative and regulatory actions affecting the company or the financial services industry as a whole; the company’s ability to comply with government regulations and applicable card association and network rules; the protection and validity of intellectual property rights; the outcome of pending and future litigation and governmental proceedings; the company’s ability to successfully identify, complete and integrate acquisitions, and to realize the anticipated benefits associated with the same; the impact of the company’s growth strategies; the company’s ability to attract and retain key personnel; adverse impacts from currency exchange rates or currency controls; changes in corporate tax and interest rates; and other factors included in “Risk Factors” in the company’s Annual Report on Form 10-K for the year ended December 31, 2025, and in other documents that the company files with the Securities and Exchange Commission, which are available at http://www.sec.gov. You should consider these factors carefully in evaluating forward-looking statements and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20"/>
          </w:cols>
          <w:pgMar w:left="320" w:top="1231" w:right="359" w:bottom="1440" w:gutter="0" w:footer="0" w:header="0"/>
        </w:sectPr>
      </w:pPr>
    </w:p>
    <w:bookmarkStart w:id="8" w:name="page9"/>
    <w:bookmarkEnd w:id="8"/>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86" w:lineRule="auto"/>
        <w:rPr>
          <w:sz w:val="20"/>
          <w:szCs w:val="20"/>
          <w:color w:val="auto"/>
        </w:rPr>
      </w:pPr>
      <w:r>
        <w:rPr>
          <w:rFonts w:ascii="Arial" w:cs="Arial" w:eastAsia="Arial" w:hAnsi="Arial"/>
          <w:sz w:val="20"/>
          <w:szCs w:val="20"/>
          <w:i w:val="1"/>
          <w:iCs w:val="1"/>
          <w:color w:val="auto"/>
        </w:rPr>
        <w:t>cautioned not to place undue reliance on such statements. The company assumes no obligation to update any forward-looking statements, which speak only as of the date of this news release.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060"/>
          </w:cols>
          <w:pgMar w:left="320" w:top="1231" w:right="519" w:bottom="1440" w:gutter="0" w:footer="0" w:header="0"/>
        </w:sectPr>
      </w:pPr>
    </w:p>
    <w:bookmarkStart w:id="9" w:name="page10"/>
    <w:bookmarkEnd w:id="9"/>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39"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32" w:lineRule="exact"/>
        <w:rPr>
          <w:sz w:val="20"/>
          <w:szCs w:val="20"/>
          <w:color w:val="auto"/>
        </w:rPr>
      </w:pPr>
    </w:p>
    <w:p>
      <w:pPr>
        <w:ind w:left="3820"/>
        <w:spacing w:after="0"/>
        <w:rPr>
          <w:sz w:val="20"/>
          <w:szCs w:val="20"/>
          <w:color w:val="auto"/>
        </w:rPr>
      </w:pPr>
      <w:r>
        <w:rPr>
          <w:rFonts w:ascii="Arial" w:cs="Arial" w:eastAsia="Arial" w:hAnsi="Arial"/>
          <w:sz w:val="16"/>
          <w:szCs w:val="16"/>
          <w:color w:val="auto"/>
        </w:rPr>
        <w:t>(In millions, except per share amounts, unaudited)</w:t>
      </w:r>
    </w:p>
    <w:p>
      <w:pPr>
        <w:spacing w:after="0" w:line="235" w:lineRule="exact"/>
        <w:rPr>
          <w:sz w:val="20"/>
          <w:szCs w:val="20"/>
          <w:color w:val="auto"/>
        </w:rPr>
      </w:pPr>
    </w:p>
    <w:p>
      <w:pPr>
        <w:jc w:val="center"/>
        <w:ind w:left="8200"/>
        <w:spacing w:after="0"/>
        <w:rPr>
          <w:sz w:val="20"/>
          <w:szCs w:val="20"/>
          <w:color w:val="auto"/>
        </w:rPr>
      </w:pPr>
      <w:r>
        <w:rPr>
          <w:rFonts w:ascii="Arial" w:cs="Arial" w:eastAsia="Arial" w:hAnsi="Arial"/>
          <w:sz w:val="16"/>
          <w:szCs w:val="16"/>
          <w:color w:val="auto"/>
        </w:rPr>
        <w:t>Three Months Ended</w:t>
      </w:r>
    </w:p>
    <w:p>
      <w:pPr>
        <w:jc w:val="center"/>
        <w:ind w:left="8200"/>
        <w:spacing w:after="0"/>
        <w:rPr>
          <w:sz w:val="20"/>
          <w:szCs w:val="20"/>
          <w:color w:val="auto"/>
        </w:rPr>
      </w:pPr>
      <w:r>
        <w:rPr>
          <w:rFonts w:ascii="Arial" w:cs="Arial" w:eastAsia="Arial" w:hAnsi="Arial"/>
          <w:sz w:val="16"/>
          <w:szCs w:val="16"/>
          <w:color w:val="auto"/>
        </w:rPr>
        <w:t>March 31,</w:t>
      </w: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8200" w:type="dxa"/>
            <w:vAlign w:val="bottom"/>
            <w:vMerge w:val="restart"/>
          </w:tcPr>
          <w:p>
            <w:pPr>
              <w:spacing w:after="0"/>
              <w:rPr>
                <w:sz w:val="20"/>
                <w:szCs w:val="20"/>
                <w:color w:val="auto"/>
              </w:rPr>
            </w:pPr>
            <w:r>
              <w:rPr>
                <w:rFonts w:ascii="Arial" w:cs="Arial" w:eastAsia="Arial" w:hAnsi="Arial"/>
                <w:sz w:val="16"/>
                <w:szCs w:val="16"/>
                <w:b w:val="1"/>
                <w:bCs w:val="1"/>
                <w:color w:val="auto"/>
              </w:rPr>
              <w:t>Revenue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195"/>
        </w:trPr>
        <w:tc>
          <w:tcPr>
            <w:tcW w:w="820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6"/>
                <w:szCs w:val="16"/>
                <w:color w:val="auto"/>
              </w:rPr>
              <w:t>Processing and services</w:t>
            </w:r>
          </w:p>
        </w:tc>
        <w:tc>
          <w:tcPr>
            <w:tcW w:w="96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4,070</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4,045</w:t>
            </w:r>
          </w:p>
        </w:tc>
        <w:tc>
          <w:tcPr>
            <w:tcW w:w="0" w:type="dxa"/>
            <w:vAlign w:val="bottom"/>
          </w:tcPr>
          <w:p>
            <w:pPr>
              <w:spacing w:after="0"/>
              <w:rPr>
                <w:sz w:val="1"/>
                <w:szCs w:val="1"/>
                <w:color w:val="auto"/>
              </w:rPr>
            </w:pPr>
          </w:p>
        </w:tc>
      </w:tr>
      <w:tr>
        <w:trPr>
          <w:trHeight w:val="217"/>
        </w:trPr>
        <w:tc>
          <w:tcPr>
            <w:tcW w:w="8200" w:type="dxa"/>
            <w:vAlign w:val="bottom"/>
          </w:tcPr>
          <w:p>
            <w:pPr>
              <w:spacing w:after="0"/>
              <w:rPr>
                <w:sz w:val="20"/>
                <w:szCs w:val="20"/>
                <w:color w:val="auto"/>
              </w:rPr>
            </w:pPr>
            <w:r>
              <w:rPr>
                <w:rFonts w:ascii="Arial" w:cs="Arial" w:eastAsia="Arial" w:hAnsi="Arial"/>
                <w:sz w:val="16"/>
                <w:szCs w:val="16"/>
                <w:color w:val="auto"/>
              </w:rPr>
              <w:t>Product</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957</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w:t>
            </w:r>
          </w:p>
        </w:tc>
        <w:tc>
          <w:tcPr>
            <w:tcW w:w="0" w:type="dxa"/>
            <w:vAlign w:val="bottom"/>
          </w:tcPr>
          <w:p>
            <w:pPr>
              <w:spacing w:after="0"/>
              <w:rPr>
                <w:sz w:val="1"/>
                <w:szCs w:val="1"/>
                <w:color w:val="auto"/>
              </w:rPr>
            </w:pPr>
          </w:p>
        </w:tc>
      </w:tr>
      <w:tr>
        <w:trPr>
          <w:trHeight w:val="210"/>
        </w:trPr>
        <w:tc>
          <w:tcPr>
            <w:tcW w:w="820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5,027</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5,130</w:t>
            </w:r>
          </w:p>
        </w:tc>
        <w:tc>
          <w:tcPr>
            <w:tcW w:w="0" w:type="dxa"/>
            <w:vAlign w:val="bottom"/>
          </w:tcPr>
          <w:p>
            <w:pPr>
              <w:spacing w:after="0"/>
              <w:rPr>
                <w:sz w:val="1"/>
                <w:szCs w:val="1"/>
                <w:color w:val="auto"/>
              </w:rPr>
            </w:pPr>
          </w:p>
        </w:tc>
      </w:tr>
      <w:tr>
        <w:trPr>
          <w:trHeight w:val="357"/>
        </w:trPr>
        <w:tc>
          <w:tcPr>
            <w:tcW w:w="820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6"/>
                <w:szCs w:val="16"/>
                <w:color w:val="auto"/>
              </w:rPr>
              <w:t>Cost of processing and services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1,610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1,389</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6"/>
                <w:szCs w:val="16"/>
                <w:color w:val="auto"/>
              </w:rPr>
              <w:t>Cost of product</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697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1,885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1,682</w:t>
            </w:r>
          </w:p>
        </w:tc>
        <w:tc>
          <w:tcPr>
            <w:tcW w:w="0" w:type="dxa"/>
            <w:vAlign w:val="bottom"/>
          </w:tcPr>
          <w:p>
            <w:pPr>
              <w:spacing w:after="0"/>
              <w:rPr>
                <w:sz w:val="1"/>
                <w:szCs w:val="1"/>
                <w:color w:val="auto"/>
              </w:rPr>
            </w:pPr>
          </w:p>
        </w:tc>
      </w:tr>
      <w:tr>
        <w:trPr>
          <w:trHeight w:val="217"/>
        </w:trPr>
        <w:tc>
          <w:tcPr>
            <w:tcW w:w="8200" w:type="dxa"/>
            <w:vAlign w:val="bottom"/>
          </w:tcPr>
          <w:p>
            <w:pPr>
              <w:spacing w:after="0"/>
              <w:rPr>
                <w:sz w:val="20"/>
                <w:szCs w:val="20"/>
                <w:color w:val="auto"/>
              </w:rPr>
            </w:pPr>
            <w:r>
              <w:rPr>
                <w:rFonts w:ascii="Arial" w:cs="Arial" w:eastAsia="Arial" w:hAnsi="Arial"/>
                <w:sz w:val="16"/>
                <w:szCs w:val="16"/>
                <w:color w:val="auto"/>
              </w:rPr>
              <w:t>Net gain on sale of assets</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8200" w:type="dxa"/>
            <w:vAlign w:val="bottom"/>
          </w:tcPr>
          <w:p>
            <w:pPr>
              <w:spacing w:after="0"/>
              <w:rPr>
                <w:sz w:val="20"/>
                <w:szCs w:val="20"/>
                <w:color w:val="auto"/>
              </w:rPr>
            </w:pPr>
            <w:r>
              <w:rPr>
                <w:rFonts w:ascii="Arial" w:cs="Arial" w:eastAsia="Arial" w:hAnsi="Arial"/>
                <w:sz w:val="16"/>
                <w:szCs w:val="16"/>
                <w:b w:val="1"/>
                <w:bCs w:val="1"/>
                <w:color w:val="auto"/>
              </w:rPr>
              <w:t>Total expenses</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4,109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3,735</w:t>
            </w:r>
          </w:p>
        </w:tc>
        <w:tc>
          <w:tcPr>
            <w:tcW w:w="0" w:type="dxa"/>
            <w:vAlign w:val="bottom"/>
          </w:tcPr>
          <w:p>
            <w:pPr>
              <w:spacing w:after="0"/>
              <w:rPr>
                <w:sz w:val="1"/>
                <w:szCs w:val="1"/>
                <w:color w:val="auto"/>
              </w:rPr>
            </w:pPr>
          </w:p>
        </w:tc>
      </w:tr>
      <w:tr>
        <w:trPr>
          <w:trHeight w:val="357"/>
        </w:trPr>
        <w:tc>
          <w:tcPr>
            <w:tcW w:w="820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9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918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1,395</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6"/>
                <w:szCs w:val="16"/>
                <w:color w:val="auto"/>
              </w:rPr>
              <w:t>Interest expense, net</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(347)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17"/>
        </w:trPr>
        <w:tc>
          <w:tcPr>
            <w:tcW w:w="820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57"/>
        </w:trPr>
        <w:tc>
          <w:tcPr>
            <w:tcW w:w="8200" w:type="dxa"/>
            <w:vAlign w:val="bottom"/>
          </w:tcPr>
          <w:p>
            <w:pPr>
              <w:spacing w:after="0"/>
              <w:rPr>
                <w:sz w:val="20"/>
                <w:szCs w:val="20"/>
                <w:color w:val="auto"/>
              </w:rPr>
            </w:pPr>
            <w:r>
              <w:rPr>
                <w:rFonts w:ascii="Arial" w:cs="Arial" w:eastAsia="Arial" w:hAnsi="Arial"/>
                <w:sz w:val="16"/>
                <w:szCs w:val="16"/>
                <w:b w:val="1"/>
                <w:bCs w:val="1"/>
                <w:color w:val="auto"/>
              </w:rPr>
              <w:t>Income before income taxes and income (loss) from investments in unconsolidated affiliates</w:t>
            </w:r>
          </w:p>
        </w:tc>
        <w:tc>
          <w:tcPr>
            <w:tcW w:w="9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593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6"/>
                <w:szCs w:val="16"/>
                <w:color w:val="auto"/>
              </w:rPr>
              <w:t>Income tax provision</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7"/>
        </w:trPr>
        <w:tc>
          <w:tcPr>
            <w:tcW w:w="8200" w:type="dxa"/>
            <w:vAlign w:val="bottom"/>
          </w:tcPr>
          <w:p>
            <w:pPr>
              <w:spacing w:after="0"/>
              <w:rPr>
                <w:sz w:val="20"/>
                <w:szCs w:val="20"/>
                <w:color w:val="auto"/>
              </w:rPr>
            </w:pPr>
            <w:r>
              <w:rPr>
                <w:rFonts w:ascii="Arial" w:cs="Arial" w:eastAsia="Arial" w:hAnsi="Arial"/>
                <w:sz w:val="16"/>
                <w:szCs w:val="16"/>
                <w:color w:val="auto"/>
              </w:rPr>
              <w:t>Income (loss) from investments in unconsolidated affiliates</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57"/>
        </w:trPr>
        <w:tc>
          <w:tcPr>
            <w:tcW w:w="8200" w:type="dxa"/>
            <w:vAlign w:val="bottom"/>
          </w:tcPr>
          <w:p>
            <w:pPr>
              <w:spacing w:after="0"/>
              <w:rPr>
                <w:sz w:val="20"/>
                <w:szCs w:val="20"/>
                <w:color w:val="auto"/>
              </w:rPr>
            </w:pPr>
            <w:r>
              <w:rPr>
                <w:rFonts w:ascii="Arial" w:cs="Arial" w:eastAsia="Arial" w:hAnsi="Arial"/>
                <w:sz w:val="16"/>
                <w:szCs w:val="16"/>
                <w:color w:val="auto"/>
              </w:rPr>
              <w:t>Net income</w:t>
            </w:r>
          </w:p>
        </w:tc>
        <w:tc>
          <w:tcPr>
            <w:tcW w:w="9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573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848</w:t>
            </w:r>
          </w:p>
        </w:tc>
        <w:tc>
          <w:tcPr>
            <w:tcW w:w="0" w:type="dxa"/>
            <w:vAlign w:val="bottom"/>
          </w:tcPr>
          <w:p>
            <w:pPr>
              <w:spacing w:after="0"/>
              <w:rPr>
                <w:sz w:val="1"/>
                <w:szCs w:val="1"/>
                <w:color w:val="auto"/>
              </w:rPr>
            </w:pPr>
          </w:p>
        </w:tc>
      </w:tr>
      <w:tr>
        <w:trPr>
          <w:trHeight w:val="217"/>
        </w:trPr>
        <w:tc>
          <w:tcPr>
            <w:tcW w:w="820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58"/>
        </w:trPr>
        <w:tc>
          <w:tcPr>
            <w:tcW w:w="8200" w:type="dxa"/>
            <w:vAlign w:val="bottom"/>
          </w:tcPr>
          <w:p>
            <w:pPr>
              <w:spacing w:after="0"/>
              <w:rPr>
                <w:sz w:val="20"/>
                <w:szCs w:val="20"/>
                <w:color w:val="auto"/>
              </w:rPr>
            </w:pPr>
            <w:r>
              <w:rPr>
                <w:rFonts w:ascii="Arial" w:cs="Arial" w:eastAsia="Arial" w:hAnsi="Arial"/>
                <w:sz w:val="16"/>
                <w:szCs w:val="16"/>
                <w:b w:val="1"/>
                <w:bCs w:val="1"/>
                <w:color w:val="auto"/>
              </w:rPr>
              <w:t>Net income attributable to Fiserv</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571</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1"/>
        </w:trPr>
        <w:tc>
          <w:tcPr>
            <w:tcW w:w="8200" w:type="dxa"/>
            <w:vAlign w:val="bottom"/>
          </w:tcPr>
          <w:p>
            <w:pPr>
              <w:spacing w:after="0"/>
              <w:rPr>
                <w:sz w:val="20"/>
                <w:szCs w:val="20"/>
                <w:color w:val="auto"/>
              </w:rPr>
            </w:pPr>
            <w:r>
              <w:rPr>
                <w:rFonts w:ascii="Arial" w:cs="Arial" w:eastAsia="Arial" w:hAnsi="Arial"/>
                <w:sz w:val="16"/>
                <w:szCs w:val="16"/>
                <w:b w:val="1"/>
                <w:bCs w:val="1"/>
                <w:color w:val="auto"/>
              </w:rPr>
              <w:t>GAAP earnings per share attributable to Fiserv — diluted</w:t>
            </w:r>
          </w:p>
        </w:tc>
        <w:tc>
          <w:tcPr>
            <w:tcW w:w="96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1.07</w:t>
            </w:r>
          </w:p>
        </w:tc>
        <w:tc>
          <w:tcPr>
            <w:tcW w:w="10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378"/>
        </w:trPr>
        <w:tc>
          <w:tcPr>
            <w:tcW w:w="8200" w:type="dxa"/>
            <w:vAlign w:val="bottom"/>
          </w:tcPr>
          <w:p>
            <w:pPr>
              <w:spacing w:after="0"/>
              <w:rPr>
                <w:sz w:val="20"/>
                <w:szCs w:val="20"/>
                <w:color w:val="auto"/>
              </w:rPr>
            </w:pPr>
            <w:r>
              <w:rPr>
                <w:rFonts w:ascii="Arial" w:cs="Arial" w:eastAsia="Arial" w:hAnsi="Arial"/>
                <w:sz w:val="16"/>
                <w:szCs w:val="16"/>
                <w:b w:val="1"/>
                <w:bCs w:val="1"/>
                <w:color w:val="auto"/>
              </w:rPr>
              <w:t>Diluted shares used in computing earnings per share attributable to Fiserv</w:t>
            </w:r>
          </w:p>
        </w:tc>
        <w:tc>
          <w:tcPr>
            <w:tcW w:w="9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535.4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is calculated using actual, unrounded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231" w:right="339" w:bottom="1440" w:gutter="0" w:footer="0" w:header="0"/>
        </w:sectPr>
      </w:pPr>
    </w:p>
    <w:bookmarkStart w:id="10" w:name="page11"/>
    <w:bookmarkEnd w:id="10"/>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Fiserv, Inc.</w:t>
      </w:r>
    </w:p>
    <w:p>
      <w:pPr>
        <w:spacing w:after="0" w:line="39"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Reconciliation of GAAP to</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Adjusted Net Income and Adjusted Earnings Per Share</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(In millions, except per share amounts, unaudited)</w:t>
      </w:r>
    </w:p>
    <w:p>
      <w:pPr>
        <w:spacing w:after="0" w:line="7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Three Months Ended</w:t>
      </w:r>
    </w:p>
    <w:tbl>
      <w:tblPr>
        <w:tblLayout w:type="fixed"/>
        <w:tblInd w:w="20" w:type="dxa"/>
        <w:tblCellMar>
          <w:top w:w="0" w:type="dxa"/>
          <w:left w:w="0" w:type="dxa"/>
          <w:bottom w:w="0" w:type="dxa"/>
          <w:right w:w="0" w:type="dxa"/>
        </w:tblCellMar>
      </w:tblPr>
      <w:tr>
        <w:trPr>
          <w:trHeight w:val="200"/>
        </w:trPr>
        <w:tc>
          <w:tcPr>
            <w:tcW w:w="7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gridSpan w:val="3"/>
          </w:tcPr>
          <w:p>
            <w:pPr>
              <w:jc w:val="right"/>
              <w:ind w:right="59"/>
              <w:spacing w:after="0"/>
              <w:rPr>
                <w:sz w:val="20"/>
                <w:szCs w:val="20"/>
                <w:color w:val="auto"/>
              </w:rPr>
            </w:pPr>
            <w:r>
              <w:rPr>
                <w:rFonts w:ascii="Arial" w:cs="Arial" w:eastAsia="Arial" w:hAnsi="Arial"/>
                <w:sz w:val="16"/>
                <w:szCs w:val="16"/>
                <w:color w:val="auto"/>
              </w:rPr>
              <w:t>March 31,</w:t>
            </w:r>
          </w:p>
        </w:tc>
        <w:tc>
          <w:tcPr>
            <w:tcW w:w="1020" w:type="dxa"/>
            <w:vAlign w:val="bottom"/>
          </w:tcPr>
          <w:p>
            <w:pPr>
              <w:spacing w:after="0"/>
              <w:rPr>
                <w:sz w:val="17"/>
                <w:szCs w:val="17"/>
                <w:color w:val="auto"/>
              </w:rPr>
            </w:pPr>
          </w:p>
        </w:tc>
      </w:tr>
      <w:tr>
        <w:trPr>
          <w:trHeight w:val="217"/>
        </w:trPr>
        <w:tc>
          <w:tcPr>
            <w:tcW w:w="78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2025</w:t>
            </w:r>
          </w:p>
        </w:tc>
      </w:tr>
      <w:tr>
        <w:trPr>
          <w:trHeight w:val="290"/>
        </w:trPr>
        <w:tc>
          <w:tcPr>
            <w:tcW w:w="7840" w:type="dxa"/>
            <w:vAlign w:val="bottom"/>
          </w:tcPr>
          <w:p>
            <w:pPr>
              <w:spacing w:after="0"/>
              <w:rPr>
                <w:sz w:val="20"/>
                <w:szCs w:val="20"/>
                <w:color w:val="auto"/>
              </w:rPr>
            </w:pPr>
            <w:r>
              <w:rPr>
                <w:rFonts w:ascii="Arial" w:cs="Arial" w:eastAsia="Arial" w:hAnsi="Arial"/>
                <w:sz w:val="16"/>
                <w:szCs w:val="16"/>
                <w:b w:val="1"/>
                <w:bCs w:val="1"/>
                <w:color w:val="auto"/>
              </w:rPr>
              <w:t>GAAP net income attributable to Fiserv</w:t>
            </w:r>
          </w:p>
        </w:tc>
        <w:tc>
          <w:tcPr>
            <w:tcW w:w="980" w:type="dxa"/>
            <w:vAlign w:val="bottom"/>
          </w:tcPr>
          <w:p>
            <w:pPr>
              <w:jc w:val="right"/>
              <w:ind w:right="779"/>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571</w:t>
            </w:r>
          </w:p>
        </w:tc>
        <w:tc>
          <w:tcPr>
            <w:tcW w:w="12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851</w:t>
            </w:r>
          </w:p>
        </w:tc>
      </w:tr>
      <w:tr>
        <w:trPr>
          <w:trHeight w:val="215"/>
        </w:trPr>
        <w:tc>
          <w:tcPr>
            <w:tcW w:w="7840" w:type="dxa"/>
            <w:vAlign w:val="bottom"/>
          </w:tcPr>
          <w:p>
            <w:pPr>
              <w:spacing w:after="0"/>
              <w:rPr>
                <w:sz w:val="20"/>
                <w:szCs w:val="20"/>
                <w:color w:val="auto"/>
              </w:rPr>
            </w:pPr>
            <w:r>
              <w:rPr>
                <w:rFonts w:ascii="Arial" w:cs="Arial" w:eastAsia="Arial" w:hAnsi="Arial"/>
                <w:sz w:val="16"/>
                <w:szCs w:val="16"/>
                <w:color w:val="auto"/>
              </w:rPr>
              <w:t>Adjustments:</w:t>
            </w: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7840" w:type="dxa"/>
            <w:vAlign w:val="bottom"/>
          </w:tcPr>
          <w:p>
            <w:pPr>
              <w:ind w:left="120"/>
              <w:spacing w:after="0" w:line="218" w:lineRule="exact"/>
              <w:rPr>
                <w:sz w:val="20"/>
                <w:szCs w:val="20"/>
                <w:color w:val="auto"/>
              </w:rPr>
            </w:pPr>
            <w:r>
              <w:rPr>
                <w:rFonts w:ascii="Arial" w:cs="Arial" w:eastAsia="Arial" w:hAnsi="Arial"/>
                <w:sz w:val="16"/>
                <w:szCs w:val="16"/>
                <w:color w:val="auto"/>
              </w:rPr>
              <w:t xml:space="preserve">Merger and integration costs </w:t>
            </w:r>
            <w:r>
              <w:rPr>
                <w:rFonts w:ascii="Arial" w:cs="Arial" w:eastAsia="Arial" w:hAnsi="Arial"/>
                <w:sz w:val="21"/>
                <w:szCs w:val="21"/>
                <w:color w:val="auto"/>
                <w:vertAlign w:val="superscript"/>
              </w:rPr>
              <w:t>1</w:t>
            </w:r>
          </w:p>
        </w:tc>
        <w:tc>
          <w:tcPr>
            <w:tcW w:w="98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29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6"/>
        </w:trPr>
        <w:tc>
          <w:tcPr>
            <w:tcW w:w="784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One Fiserv transformation program expenses </w:t>
            </w:r>
            <w:r>
              <w:rPr>
                <w:rFonts w:ascii="Arial" w:cs="Arial" w:eastAsia="Arial" w:hAnsi="Arial"/>
                <w:sz w:val="21"/>
                <w:szCs w:val="21"/>
                <w:color w:val="auto"/>
                <w:vertAlign w:val="superscript"/>
              </w:rPr>
              <w:t>2</w:t>
            </w:r>
          </w:p>
        </w:tc>
        <w:tc>
          <w:tcPr>
            <w:tcW w:w="98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142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840" w:type="dxa"/>
            <w:vAlign w:val="bottom"/>
          </w:tcPr>
          <w:p>
            <w:pPr>
              <w:ind w:left="120"/>
              <w:spacing w:after="0"/>
              <w:rPr>
                <w:sz w:val="20"/>
                <w:szCs w:val="20"/>
                <w:color w:val="auto"/>
              </w:rPr>
            </w:pPr>
            <w:r>
              <w:rPr>
                <w:rFonts w:ascii="Arial" w:cs="Arial" w:eastAsia="Arial" w:hAnsi="Arial"/>
                <w:sz w:val="16"/>
                <w:szCs w:val="16"/>
                <w:color w:val="auto"/>
              </w:rPr>
              <w:t>Severance costs</w:t>
            </w:r>
          </w:p>
        </w:tc>
        <w:tc>
          <w:tcPr>
            <w:tcW w:w="98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73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6"/>
        </w:trPr>
        <w:tc>
          <w:tcPr>
            <w:tcW w:w="784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Amortization of acquisition-related intangible assets </w:t>
            </w:r>
            <w:r>
              <w:rPr>
                <w:rFonts w:ascii="Arial" w:cs="Arial" w:eastAsia="Arial" w:hAnsi="Arial"/>
                <w:sz w:val="21"/>
                <w:szCs w:val="21"/>
                <w:color w:val="auto"/>
                <w:vertAlign w:val="superscript"/>
              </w:rPr>
              <w:t>3</w:t>
            </w:r>
          </w:p>
        </w:tc>
        <w:tc>
          <w:tcPr>
            <w:tcW w:w="98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311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16"/>
        </w:trPr>
        <w:tc>
          <w:tcPr>
            <w:tcW w:w="784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Net gain on sale of assets </w:t>
            </w:r>
            <w:r>
              <w:rPr>
                <w:rFonts w:ascii="Arial" w:cs="Arial" w:eastAsia="Arial" w:hAnsi="Arial"/>
                <w:sz w:val="21"/>
                <w:szCs w:val="21"/>
                <w:color w:val="auto"/>
                <w:vertAlign w:val="superscript"/>
              </w:rPr>
              <w:t>4</w:t>
            </w:r>
          </w:p>
        </w:tc>
        <w:tc>
          <w:tcPr>
            <w:tcW w:w="98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(83)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84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Non wholly-owned entity activities </w:t>
            </w:r>
            <w:r>
              <w:rPr>
                <w:rFonts w:ascii="Arial" w:cs="Arial" w:eastAsia="Arial" w:hAnsi="Arial"/>
                <w:sz w:val="21"/>
                <w:szCs w:val="21"/>
                <w:color w:val="auto"/>
                <w:vertAlign w:val="superscript"/>
              </w:rPr>
              <w:t>5</w:t>
            </w:r>
          </w:p>
        </w:tc>
        <w:tc>
          <w:tcPr>
            <w:tcW w:w="98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784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Tax impact of adjustments </w:t>
            </w:r>
            <w:r>
              <w:rPr>
                <w:rFonts w:ascii="Arial" w:cs="Arial" w:eastAsia="Arial" w:hAnsi="Arial"/>
                <w:sz w:val="21"/>
                <w:szCs w:val="21"/>
                <w:color w:val="auto"/>
                <w:vertAlign w:val="superscript"/>
              </w:rPr>
              <w:t>6</w:t>
            </w:r>
          </w:p>
        </w:tc>
        <w:tc>
          <w:tcPr>
            <w:tcW w:w="98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(94)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7"/>
        </w:trPr>
        <w:tc>
          <w:tcPr>
            <w:tcW w:w="7840" w:type="dxa"/>
            <w:vAlign w:val="bottom"/>
          </w:tcPr>
          <w:p>
            <w:pPr>
              <w:ind w:left="120"/>
              <w:spacing w:after="0" w:line="217" w:lineRule="exact"/>
              <w:rPr>
                <w:sz w:val="20"/>
                <w:szCs w:val="20"/>
                <w:color w:val="auto"/>
              </w:rPr>
            </w:pPr>
            <w:r>
              <w:rPr>
                <w:rFonts w:ascii="Arial" w:cs="Arial" w:eastAsia="Arial" w:hAnsi="Arial"/>
                <w:sz w:val="16"/>
                <w:szCs w:val="16"/>
                <w:color w:val="auto"/>
              </w:rPr>
              <w:t xml:space="preserve">Incremental executive compensation </w:t>
            </w:r>
            <w:r>
              <w:rPr>
                <w:rFonts w:ascii="Arial" w:cs="Arial" w:eastAsia="Arial" w:hAnsi="Arial"/>
                <w:sz w:val="21"/>
                <w:szCs w:val="21"/>
                <w:color w:val="auto"/>
                <w:vertAlign w:val="superscript"/>
              </w:rPr>
              <w:t>7</w:t>
            </w:r>
          </w:p>
        </w:tc>
        <w:tc>
          <w:tcPr>
            <w:tcW w:w="98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09"/>
        </w:trPr>
        <w:tc>
          <w:tcPr>
            <w:tcW w:w="7840" w:type="dxa"/>
            <w:vAlign w:val="bottom"/>
          </w:tcPr>
          <w:p>
            <w:pPr>
              <w:spacing w:after="0"/>
              <w:rPr>
                <w:sz w:val="20"/>
                <w:szCs w:val="20"/>
                <w:color w:val="auto"/>
              </w:rPr>
            </w:pPr>
            <w:r>
              <w:rPr>
                <w:rFonts w:ascii="Arial" w:cs="Arial" w:eastAsia="Arial" w:hAnsi="Arial"/>
                <w:sz w:val="16"/>
                <w:szCs w:val="16"/>
                <w:b w:val="1"/>
                <w:bCs w:val="1"/>
                <w:color w:val="auto"/>
              </w:rPr>
              <w:t>Adjusted net income</w:t>
            </w: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958</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1,210</w:t>
            </w:r>
          </w:p>
        </w:tc>
      </w:tr>
      <w:tr>
        <w:trPr>
          <w:trHeight w:val="21"/>
        </w:trPr>
        <w:tc>
          <w:tcPr>
            <w:tcW w:w="7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83"/>
        </w:trPr>
        <w:tc>
          <w:tcPr>
            <w:tcW w:w="7840" w:type="dxa"/>
            <w:vAlign w:val="bottom"/>
          </w:tcPr>
          <w:p>
            <w:pPr>
              <w:spacing w:after="0"/>
              <w:rPr>
                <w:sz w:val="20"/>
                <w:szCs w:val="20"/>
                <w:color w:val="auto"/>
              </w:rPr>
            </w:pPr>
            <w:r>
              <w:rPr>
                <w:rFonts w:ascii="Arial" w:cs="Arial" w:eastAsia="Arial" w:hAnsi="Arial"/>
                <w:sz w:val="16"/>
                <w:szCs w:val="16"/>
                <w:b w:val="1"/>
                <w:bCs w:val="1"/>
                <w:color w:val="auto"/>
              </w:rPr>
              <w:t>GAAP earnings per share attributable to Fiserv - diluted</w:t>
            </w:r>
          </w:p>
        </w:tc>
        <w:tc>
          <w:tcPr>
            <w:tcW w:w="980" w:type="dxa"/>
            <w:vAlign w:val="bottom"/>
          </w:tcPr>
          <w:p>
            <w:pPr>
              <w:jc w:val="right"/>
              <w:ind w:right="779"/>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1.07</w:t>
            </w:r>
          </w:p>
        </w:tc>
        <w:tc>
          <w:tcPr>
            <w:tcW w:w="12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316"/>
        </w:trPr>
        <w:tc>
          <w:tcPr>
            <w:tcW w:w="7840" w:type="dxa"/>
            <w:vAlign w:val="bottom"/>
          </w:tcPr>
          <w:p>
            <w:pPr>
              <w:spacing w:after="0"/>
              <w:rPr>
                <w:sz w:val="20"/>
                <w:szCs w:val="20"/>
                <w:color w:val="auto"/>
              </w:rPr>
            </w:pPr>
            <w:r>
              <w:rPr>
                <w:rFonts w:ascii="Arial" w:cs="Arial" w:eastAsia="Arial" w:hAnsi="Arial"/>
                <w:sz w:val="16"/>
                <w:szCs w:val="16"/>
                <w:color w:val="auto"/>
              </w:rPr>
              <w:t>Adjustments - net of income taxes:</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7"/>
        </w:trPr>
        <w:tc>
          <w:tcPr>
            <w:tcW w:w="7840" w:type="dxa"/>
            <w:vAlign w:val="bottom"/>
          </w:tcPr>
          <w:p>
            <w:pPr>
              <w:ind w:left="120"/>
              <w:spacing w:after="0" w:line="218" w:lineRule="exact"/>
              <w:rPr>
                <w:sz w:val="20"/>
                <w:szCs w:val="20"/>
                <w:color w:val="auto"/>
              </w:rPr>
            </w:pPr>
            <w:r>
              <w:rPr>
                <w:rFonts w:ascii="Arial" w:cs="Arial" w:eastAsia="Arial" w:hAnsi="Arial"/>
                <w:sz w:val="16"/>
                <w:szCs w:val="16"/>
                <w:color w:val="auto"/>
              </w:rPr>
              <w:t xml:space="preserve">Merger and integration costs </w:t>
            </w:r>
            <w:r>
              <w:rPr>
                <w:rFonts w:ascii="Arial" w:cs="Arial" w:eastAsia="Arial" w:hAnsi="Arial"/>
                <w:sz w:val="21"/>
                <w:szCs w:val="21"/>
                <w:color w:val="auto"/>
                <w:vertAlign w:val="superscript"/>
              </w:rPr>
              <w:t>1</w:t>
            </w:r>
          </w:p>
        </w:tc>
        <w:tc>
          <w:tcPr>
            <w:tcW w:w="98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0.04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16"/>
        </w:trPr>
        <w:tc>
          <w:tcPr>
            <w:tcW w:w="784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One Fiserv transformation program expenses </w:t>
            </w:r>
            <w:r>
              <w:rPr>
                <w:rFonts w:ascii="Arial" w:cs="Arial" w:eastAsia="Arial" w:hAnsi="Arial"/>
                <w:sz w:val="21"/>
                <w:szCs w:val="21"/>
                <w:color w:val="auto"/>
                <w:vertAlign w:val="superscript"/>
              </w:rPr>
              <w:t>2</w:t>
            </w:r>
          </w:p>
        </w:tc>
        <w:tc>
          <w:tcPr>
            <w:tcW w:w="98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0.21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840" w:type="dxa"/>
            <w:vAlign w:val="bottom"/>
          </w:tcPr>
          <w:p>
            <w:pPr>
              <w:ind w:left="120"/>
              <w:spacing w:after="0"/>
              <w:rPr>
                <w:sz w:val="20"/>
                <w:szCs w:val="20"/>
                <w:color w:val="auto"/>
              </w:rPr>
            </w:pPr>
            <w:r>
              <w:rPr>
                <w:rFonts w:ascii="Arial" w:cs="Arial" w:eastAsia="Arial" w:hAnsi="Arial"/>
                <w:sz w:val="16"/>
                <w:szCs w:val="16"/>
                <w:color w:val="auto"/>
              </w:rPr>
              <w:t>Severance costs</w:t>
            </w:r>
          </w:p>
        </w:tc>
        <w:tc>
          <w:tcPr>
            <w:tcW w:w="98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0.11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16"/>
        </w:trPr>
        <w:tc>
          <w:tcPr>
            <w:tcW w:w="784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Amortization of acquisition-related intangible assets </w:t>
            </w:r>
            <w:r>
              <w:rPr>
                <w:rFonts w:ascii="Arial" w:cs="Arial" w:eastAsia="Arial" w:hAnsi="Arial"/>
                <w:sz w:val="21"/>
                <w:szCs w:val="21"/>
                <w:color w:val="auto"/>
                <w:vertAlign w:val="superscript"/>
              </w:rPr>
              <w:t>3</w:t>
            </w:r>
          </w:p>
        </w:tc>
        <w:tc>
          <w:tcPr>
            <w:tcW w:w="98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0.47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0.47</w:t>
            </w:r>
          </w:p>
        </w:tc>
      </w:tr>
      <w:tr>
        <w:trPr>
          <w:trHeight w:val="216"/>
        </w:trPr>
        <w:tc>
          <w:tcPr>
            <w:tcW w:w="784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Net gain on sale of assets </w:t>
            </w:r>
            <w:r>
              <w:rPr>
                <w:rFonts w:ascii="Arial" w:cs="Arial" w:eastAsia="Arial" w:hAnsi="Arial"/>
                <w:sz w:val="21"/>
                <w:szCs w:val="21"/>
                <w:color w:val="auto"/>
                <w:vertAlign w:val="superscript"/>
              </w:rPr>
              <w:t>4</w:t>
            </w:r>
          </w:p>
        </w:tc>
        <w:tc>
          <w:tcPr>
            <w:tcW w:w="98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(0.13)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84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Non wholly-owned entity activities </w:t>
            </w:r>
            <w:r>
              <w:rPr>
                <w:rFonts w:ascii="Arial" w:cs="Arial" w:eastAsia="Arial" w:hAnsi="Arial"/>
                <w:sz w:val="21"/>
                <w:szCs w:val="21"/>
                <w:color w:val="auto"/>
                <w:vertAlign w:val="superscript"/>
              </w:rPr>
              <w:t>5</w:t>
            </w:r>
          </w:p>
        </w:tc>
        <w:tc>
          <w:tcPr>
            <w:tcW w:w="98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0.01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217"/>
        </w:trPr>
        <w:tc>
          <w:tcPr>
            <w:tcW w:w="7840" w:type="dxa"/>
            <w:vAlign w:val="bottom"/>
          </w:tcPr>
          <w:p>
            <w:pPr>
              <w:ind w:left="120"/>
              <w:spacing w:after="0" w:line="217" w:lineRule="exact"/>
              <w:rPr>
                <w:sz w:val="20"/>
                <w:szCs w:val="20"/>
                <w:color w:val="auto"/>
              </w:rPr>
            </w:pPr>
            <w:r>
              <w:rPr>
                <w:rFonts w:ascii="Arial" w:cs="Arial" w:eastAsia="Arial" w:hAnsi="Arial"/>
                <w:sz w:val="16"/>
                <w:szCs w:val="16"/>
                <w:color w:val="auto"/>
              </w:rPr>
              <w:t xml:space="preserve">Incremental executive compensation </w:t>
            </w:r>
            <w:r>
              <w:rPr>
                <w:rFonts w:ascii="Arial" w:cs="Arial" w:eastAsia="Arial" w:hAnsi="Arial"/>
                <w:sz w:val="21"/>
                <w:szCs w:val="21"/>
                <w:color w:val="auto"/>
                <w:vertAlign w:val="superscript"/>
              </w:rPr>
              <w:t>7</w:t>
            </w:r>
          </w:p>
        </w:tc>
        <w:tc>
          <w:tcPr>
            <w:tcW w:w="98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0.09</w:t>
            </w:r>
          </w:p>
        </w:tc>
      </w:tr>
      <w:tr>
        <w:trPr>
          <w:trHeight w:val="210"/>
        </w:trPr>
        <w:tc>
          <w:tcPr>
            <w:tcW w:w="7840" w:type="dxa"/>
            <w:vAlign w:val="bottom"/>
          </w:tcPr>
          <w:p>
            <w:pPr>
              <w:spacing w:after="0"/>
              <w:rPr>
                <w:sz w:val="20"/>
                <w:szCs w:val="20"/>
                <w:color w:val="auto"/>
              </w:rPr>
            </w:pPr>
            <w:r>
              <w:rPr>
                <w:rFonts w:ascii="Arial" w:cs="Arial" w:eastAsia="Arial" w:hAnsi="Arial"/>
                <w:sz w:val="16"/>
                <w:szCs w:val="16"/>
                <w:b w:val="1"/>
                <w:bCs w:val="1"/>
                <w:color w:val="auto"/>
              </w:rPr>
              <w:t>Adjusted earnings per share</w:t>
            </w: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1.79</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w:t>
            </w:r>
          </w:p>
        </w:tc>
      </w:tr>
      <w:tr>
        <w:trPr>
          <w:trHeight w:val="20"/>
        </w:trPr>
        <w:tc>
          <w:tcPr>
            <w:tcW w:w="7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76"/>
        </w:trPr>
        <w:tc>
          <w:tcPr>
            <w:tcW w:w="7840" w:type="dxa"/>
            <w:vAlign w:val="bottom"/>
          </w:tcPr>
          <w:p>
            <w:pPr>
              <w:spacing w:after="0"/>
              <w:rPr>
                <w:sz w:val="20"/>
                <w:szCs w:val="20"/>
                <w:color w:val="auto"/>
              </w:rPr>
            </w:pPr>
            <w:r>
              <w:rPr>
                <w:rFonts w:ascii="Arial" w:cs="Arial" w:eastAsia="Arial" w:hAnsi="Arial"/>
                <w:sz w:val="16"/>
                <w:szCs w:val="16"/>
                <w:color w:val="auto"/>
              </w:rPr>
              <w:t>Change in GAAP earnings per share attributable to Fiserv</w:t>
            </w:r>
          </w:p>
        </w:tc>
        <w:tc>
          <w:tcPr>
            <w:tcW w:w="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6"/>
                <w:szCs w:val="16"/>
                <w:color w:val="auto"/>
              </w:rPr>
              <w:t>Change in adjusted earnings per share</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See pages 3-4 for disclosures related to the use of non-GAAP financial measures.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is calculated using actual, unrounded amounts.</w:t>
      </w:r>
    </w:p>
    <w:p>
      <w:pPr>
        <w:spacing w:after="0" w:line="118" w:lineRule="exact"/>
        <w:rPr>
          <w:sz w:val="20"/>
          <w:szCs w:val="20"/>
          <w:color w:val="auto"/>
        </w:rPr>
      </w:pPr>
    </w:p>
    <w:p>
      <w:pPr>
        <w:ind w:left="180" w:right="40" w:hanging="172"/>
        <w:spacing w:after="0" w:line="283" w:lineRule="auto"/>
        <w:tabs>
          <w:tab w:leader="none" w:pos="178" w:val="left"/>
        </w:tabs>
        <w:numPr>
          <w:ilvl w:val="0"/>
          <w:numId w:val="4"/>
        </w:numPr>
        <w:rPr>
          <w:rFonts w:ascii="Arial" w:cs="Arial" w:eastAsia="Arial" w:hAnsi="Arial"/>
          <w:sz w:val="9"/>
          <w:szCs w:val="9"/>
          <w:color w:val="auto"/>
        </w:rPr>
      </w:pPr>
      <w:r>
        <w:rPr>
          <w:rFonts w:ascii="Arial" w:cs="Arial" w:eastAsia="Arial" w:hAnsi="Arial"/>
          <w:sz w:val="14"/>
          <w:szCs w:val="14"/>
          <w:color w:val="auto"/>
        </w:rPr>
        <w:t>Represents acquisition and related integration costs incurred in connection with acquisitions. Merger and integration costs associated with integration activities primarily include $14 million of retention cash awards and $12 million of third-party professional service fees in the first quarter of 2026, and $11 million related to a legal settlement in the first quarter of 2025.</w:t>
      </w:r>
    </w:p>
    <w:p>
      <w:pPr>
        <w:spacing w:after="0" w:line="65" w:lineRule="exact"/>
        <w:rPr>
          <w:sz w:val="20"/>
          <w:szCs w:val="20"/>
          <w:color w:val="auto"/>
        </w:rPr>
      </w:pPr>
    </w:p>
    <w:p>
      <w:pPr>
        <w:jc w:val="both"/>
        <w:ind w:left="180" w:hanging="172"/>
        <w:spacing w:after="0" w:line="234" w:lineRule="auto"/>
        <w:tabs>
          <w:tab w:leader="none" w:pos="178"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Represents costs associated with a multi-year transformation initiative focused on operational excellence enabled by artificial intelligence, including process reengineering and technology infrastructure modernization. This adjustment is primarily comprised of third-party fees and also includes $41 million of incremental compensation expense primarily associated with retention cash awards and restricted stock units granted to certain employees.</w:t>
      </w:r>
    </w:p>
    <w:p>
      <w:pPr>
        <w:spacing w:after="0" w:line="94" w:lineRule="exact"/>
        <w:rPr>
          <w:sz w:val="20"/>
          <w:szCs w:val="20"/>
          <w:color w:val="auto"/>
        </w:rPr>
      </w:pPr>
    </w:p>
    <w:p>
      <w:pPr>
        <w:ind w:left="180" w:right="100" w:hanging="172"/>
        <w:spacing w:after="0" w:line="283" w:lineRule="auto"/>
        <w:tabs>
          <w:tab w:leader="none" w:pos="178" w:val="left"/>
        </w:tabs>
        <w:numPr>
          <w:ilvl w:val="0"/>
          <w:numId w:val="6"/>
        </w:numPr>
        <w:rPr>
          <w:rFonts w:ascii="Arial" w:cs="Arial" w:eastAsia="Arial" w:hAnsi="Arial"/>
          <w:sz w:val="9"/>
          <w:szCs w:val="9"/>
          <w:color w:val="auto"/>
        </w:rPr>
      </w:pPr>
      <w:r>
        <w:rPr>
          <w:rFonts w:ascii="Arial" w:cs="Arial" w:eastAsia="Arial" w:hAnsi="Arial"/>
          <w:sz w:val="14"/>
          <w:szCs w:val="14"/>
          <w:color w:val="auto"/>
        </w:rPr>
        <w:t>Represents amortization of intangible assets acquired through acquisition, including customer relationships, software/technology and trade names. This adjustment does not exclude the amortization of other intangible assets such as contract costs (sales commissions and deferred conversion costs), capitalized and purchased software, financing costs and debt discounts. See additional information on page 14 for an analysis of the company’s amortization expense.</w:t>
      </w:r>
    </w:p>
    <w:p>
      <w:pPr>
        <w:spacing w:after="0" w:line="37"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Represents a net gain on the sale-leaseback of certain facilities in the first quarter of 2026.</w:t>
      </w:r>
    </w:p>
    <w:p>
      <w:pPr>
        <w:spacing w:after="0" w:line="200" w:lineRule="exact"/>
        <w:rPr>
          <w:rFonts w:ascii="Arial" w:cs="Arial" w:eastAsia="Arial" w:hAnsi="Arial"/>
          <w:sz w:val="19"/>
          <w:szCs w:val="19"/>
          <w:color w:val="auto"/>
          <w:vertAlign w:val="superscript"/>
        </w:rPr>
      </w:pPr>
    </w:p>
    <w:p>
      <w:pPr>
        <w:spacing w:after="0" w:line="200" w:lineRule="exact"/>
        <w:rPr>
          <w:rFonts w:ascii="Arial" w:cs="Arial" w:eastAsia="Arial" w:hAnsi="Arial"/>
          <w:sz w:val="19"/>
          <w:szCs w:val="19"/>
          <w:color w:val="auto"/>
          <w:vertAlign w:val="superscript"/>
        </w:rPr>
      </w:pPr>
    </w:p>
    <w:p>
      <w:pPr>
        <w:spacing w:after="0" w:line="309" w:lineRule="exact"/>
        <w:rPr>
          <w:rFonts w:ascii="Arial" w:cs="Arial" w:eastAsia="Arial" w:hAnsi="Arial"/>
          <w:sz w:val="19"/>
          <w:szCs w:val="19"/>
          <w:color w:val="auto"/>
          <w:vertAlign w:val="superscript"/>
        </w:rPr>
      </w:pPr>
    </w:p>
    <w:p>
      <w:pPr>
        <w:ind w:left="5580"/>
        <w:spacing w:after="0"/>
        <w:rPr>
          <w:rFonts w:ascii="Arial" w:cs="Arial" w:eastAsia="Arial" w:hAnsi="Arial"/>
          <w:sz w:val="19"/>
          <w:szCs w:val="19"/>
          <w:color w:val="auto"/>
          <w:vertAlign w:val="superscript"/>
        </w:rPr>
      </w:pPr>
      <w:r>
        <w:rPr>
          <w:rFonts w:ascii="Arial" w:cs="Arial" w:eastAsia="Arial" w:hAnsi="Arial"/>
          <w:sz w:val="16"/>
          <w:szCs w:val="16"/>
          <w:color w:val="auto"/>
        </w:rPr>
        <w:t>7</w:t>
      </w:r>
    </w:p>
    <w:p>
      <w:pPr>
        <w:sectPr>
          <w:pgSz w:w="11900" w:h="16838" w:orient="portrait"/>
          <w:cols w:equalWidth="0" w:num="1">
            <w:col w:w="11000"/>
          </w:cols>
          <w:pgMar w:left="320" w:top="1231" w:right="579" w:bottom="1440" w:gutter="0" w:footer="0" w:header="0"/>
        </w:sectPr>
      </w:pPr>
    </w:p>
    <w:bookmarkStart w:id="11" w:name="page12"/>
    <w:bookmarkEnd w:id="11"/>
    <w:p>
      <w:pPr>
        <w:ind w:left="52"/>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52" w:hanging="152"/>
        <w:spacing w:after="0"/>
        <w:tabs>
          <w:tab w:leader="none" w:pos="152"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Represents the company’s share of amortization of acquisition-related intangible assets at its unconsolidated affiliates.</w:t>
      </w:r>
    </w:p>
    <w:p>
      <w:pPr>
        <w:spacing w:after="0" w:line="93" w:lineRule="exact"/>
        <w:rPr>
          <w:sz w:val="20"/>
          <w:szCs w:val="20"/>
          <w:color w:val="auto"/>
        </w:rPr>
      </w:pPr>
    </w:p>
    <w:p>
      <w:pPr>
        <w:ind w:left="172" w:right="140" w:hanging="172"/>
        <w:spacing w:after="0" w:line="231" w:lineRule="auto"/>
        <w:tabs>
          <w:tab w:leader="none" w:pos="17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The tax impact of adjustments is calculated using a tax rate of 19.5% in both the first quarter of 2026 and 2025, which approximates the company’s anticipated annual effective tax rates.</w:t>
      </w:r>
    </w:p>
    <w:p>
      <w:pPr>
        <w:spacing w:after="0" w:line="80" w:lineRule="exact"/>
        <w:rPr>
          <w:sz w:val="20"/>
          <w:szCs w:val="20"/>
          <w:color w:val="auto"/>
        </w:rPr>
      </w:pPr>
    </w:p>
    <w:p>
      <w:pPr>
        <w:jc w:val="both"/>
        <w:ind w:left="172" w:hanging="172"/>
        <w:spacing w:after="0" w:line="305" w:lineRule="auto"/>
        <w:tabs>
          <w:tab w:leader="none" w:pos="170" w:val="left"/>
        </w:tabs>
        <w:numPr>
          <w:ilvl w:val="0"/>
          <w:numId w:val="10"/>
        </w:numPr>
        <w:rPr>
          <w:rFonts w:ascii="Arial" w:cs="Arial" w:eastAsia="Arial" w:hAnsi="Arial"/>
          <w:sz w:val="9"/>
          <w:szCs w:val="9"/>
          <w:color w:val="auto"/>
        </w:rPr>
      </w:pPr>
      <w:r>
        <w:rPr>
          <w:rFonts w:ascii="Arial" w:cs="Arial" w:eastAsia="Arial" w:hAnsi="Arial"/>
          <w:sz w:val="14"/>
          <w:szCs w:val="14"/>
          <w:color w:val="auto"/>
        </w:rPr>
        <w:t>Represents incremental compensation expense associated with the transition of the company’s Chief Executive Officer (“CEO”), comprised of $40 million of former CEO non-cash share-based compensation and related employer payroll taxes, and a $12 million cash replacement award paid to the company’s new CEO appointed in 2025.</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71"/>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852"/>
          </w:cols>
          <w:pgMar w:left="328" w:top="1231" w:right="719" w:bottom="1440" w:gutter="0" w:footer="0" w:header="0"/>
        </w:sectPr>
      </w:pPr>
    </w:p>
    <w:bookmarkStart w:id="12" w:name="page13"/>
    <w:bookmarkEnd w:id="12"/>
    <w:p>
      <w:pPr>
        <w:ind w:left="4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4180" w:type="dxa"/>
            <w:vAlign w:val="bottom"/>
            <w:gridSpan w:val="2"/>
          </w:tcPr>
          <w:p>
            <w:pPr>
              <w:jc w:val="center"/>
              <w:ind w:right="1179"/>
              <w:spacing w:after="0"/>
              <w:rPr>
                <w:sz w:val="20"/>
                <w:szCs w:val="20"/>
                <w:color w:val="auto"/>
              </w:rPr>
            </w:pPr>
            <w:r>
              <w:rPr>
                <w:rFonts w:ascii="Arial" w:cs="Arial" w:eastAsia="Arial" w:hAnsi="Arial"/>
                <w:sz w:val="16"/>
                <w:szCs w:val="16"/>
                <w:b w:val="1"/>
                <w:bCs w:val="1"/>
                <w:color w:val="auto"/>
              </w:rPr>
              <w:t>Fiserv, Inc.</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4180" w:type="dxa"/>
            <w:vAlign w:val="bottom"/>
            <w:gridSpan w:val="2"/>
          </w:tcPr>
          <w:p>
            <w:pPr>
              <w:jc w:val="center"/>
              <w:ind w:right="1159"/>
              <w:spacing w:after="0"/>
              <w:rPr>
                <w:sz w:val="20"/>
                <w:szCs w:val="20"/>
                <w:color w:val="auto"/>
              </w:rPr>
            </w:pPr>
            <w:r>
              <w:rPr>
                <w:rFonts w:ascii="Arial" w:cs="Arial" w:eastAsia="Arial" w:hAnsi="Arial"/>
                <w:sz w:val="16"/>
                <w:szCs w:val="16"/>
                <w:b w:val="1"/>
                <w:bCs w:val="1"/>
                <w:color w:val="auto"/>
              </w:rPr>
              <w:t>Financial Results by Segment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40" w:type="dxa"/>
            <w:vAlign w:val="bottom"/>
          </w:tcPr>
          <w:p>
            <w:pPr>
              <w:spacing w:after="0"/>
              <w:rPr>
                <w:sz w:val="18"/>
                <w:szCs w:val="18"/>
                <w:color w:val="auto"/>
              </w:rPr>
            </w:pPr>
          </w:p>
        </w:tc>
        <w:tc>
          <w:tcPr>
            <w:tcW w:w="4180" w:type="dxa"/>
            <w:vAlign w:val="bottom"/>
            <w:gridSpan w:val="2"/>
          </w:tcPr>
          <w:p>
            <w:pPr>
              <w:jc w:val="center"/>
              <w:ind w:right="1179"/>
              <w:spacing w:after="0"/>
              <w:rPr>
                <w:sz w:val="20"/>
                <w:szCs w:val="20"/>
                <w:color w:val="auto"/>
              </w:rPr>
            </w:pPr>
            <w:r>
              <w:rPr>
                <w:rFonts w:ascii="Arial" w:cs="Arial" w:eastAsia="Arial" w:hAnsi="Arial"/>
                <w:sz w:val="16"/>
                <w:szCs w:val="16"/>
                <w:color w:val="auto"/>
              </w:rPr>
              <w:t>(In millions, unaudited)</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1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00" w:type="dxa"/>
            <w:vAlign w:val="bottom"/>
            <w:gridSpan w:val="4"/>
          </w:tcPr>
          <w:p>
            <w:pPr>
              <w:jc w:val="right"/>
              <w:ind w:right="819"/>
              <w:spacing w:after="0" w:line="164" w:lineRule="exact"/>
              <w:rPr>
                <w:sz w:val="20"/>
                <w:szCs w:val="20"/>
                <w:color w:val="auto"/>
              </w:rPr>
            </w:pPr>
            <w:r>
              <w:rPr>
                <w:rFonts w:ascii="Arial" w:cs="Arial" w:eastAsia="Arial" w:hAnsi="Arial"/>
                <w:sz w:val="16"/>
                <w:szCs w:val="16"/>
                <w:color w:val="auto"/>
              </w:rPr>
              <w:t>Three Months Ended</w:t>
            </w:r>
          </w:p>
        </w:tc>
        <w:tc>
          <w:tcPr>
            <w:tcW w:w="0" w:type="dxa"/>
            <w:vAlign w:val="bottom"/>
          </w:tcPr>
          <w:p>
            <w:pPr>
              <w:spacing w:after="0"/>
              <w:rPr>
                <w:sz w:val="1"/>
                <w:szCs w:val="1"/>
                <w:color w:val="auto"/>
              </w:rPr>
            </w:pPr>
          </w:p>
        </w:tc>
      </w:tr>
      <w:tr>
        <w:trPr>
          <w:trHeight w:val="215"/>
        </w:trPr>
        <w:tc>
          <w:tcPr>
            <w:tcW w:w="41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3"/>
          </w:tcPr>
          <w:p>
            <w:pPr>
              <w:jc w:val="right"/>
              <w:ind w:right="59"/>
              <w:spacing w:after="0"/>
              <w:rPr>
                <w:sz w:val="20"/>
                <w:szCs w:val="20"/>
                <w:color w:val="auto"/>
              </w:rPr>
            </w:pPr>
            <w:r>
              <w:rPr>
                <w:rFonts w:ascii="Arial" w:cs="Arial" w:eastAsia="Arial" w:hAnsi="Arial"/>
                <w:sz w:val="16"/>
                <w:szCs w:val="16"/>
                <w:color w:val="auto"/>
              </w:rPr>
              <w:t>March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40" w:type="dxa"/>
            <w:vAlign w:val="bottom"/>
            <w:vMerge w:val="restart"/>
          </w:tcPr>
          <w:p>
            <w:pPr>
              <w:spacing w:after="0"/>
              <w:rPr>
                <w:sz w:val="20"/>
                <w:szCs w:val="20"/>
                <w:color w:val="auto"/>
              </w:rPr>
            </w:pPr>
            <w:r>
              <w:rPr>
                <w:rFonts w:ascii="Arial" w:cs="Arial" w:eastAsia="Arial" w:hAnsi="Arial"/>
                <w:sz w:val="16"/>
                <w:szCs w:val="16"/>
                <w:b w:val="1"/>
                <w:bCs w:val="1"/>
                <w:color w:val="auto"/>
              </w:rPr>
              <w:t>Total Company</w:t>
            </w:r>
          </w:p>
        </w:tc>
        <w:tc>
          <w:tcPr>
            <w:tcW w:w="38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195"/>
        </w:trPr>
        <w:tc>
          <w:tcPr>
            <w:tcW w:w="4140" w:type="dxa"/>
            <w:vAlign w:val="bottom"/>
            <w:vMerge w:val="continue"/>
          </w:tcPr>
          <w:p>
            <w:pPr>
              <w:spacing w:after="0"/>
              <w:rPr>
                <w:sz w:val="16"/>
                <w:szCs w:val="16"/>
                <w:color w:val="auto"/>
              </w:rPr>
            </w:pPr>
          </w:p>
        </w:tc>
        <w:tc>
          <w:tcPr>
            <w:tcW w:w="3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Revenue</w:t>
            </w:r>
          </w:p>
        </w:tc>
        <w:tc>
          <w:tcPr>
            <w:tcW w:w="418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139"/>
              <w:spacing w:after="0"/>
              <w:rPr>
                <w:sz w:val="20"/>
                <w:szCs w:val="20"/>
                <w:color w:val="auto"/>
              </w:rPr>
            </w:pPr>
            <w:r>
              <w:rPr>
                <w:rFonts w:ascii="Arial" w:cs="Arial" w:eastAsia="Arial" w:hAnsi="Arial"/>
                <w:sz w:val="16"/>
                <w:szCs w:val="16"/>
                <w:b w:val="1"/>
                <w:bCs w:val="1"/>
                <w:color w:val="auto"/>
              </w:rPr>
              <w:t>5,027</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5,130</w:t>
            </w:r>
          </w:p>
        </w:tc>
        <w:tc>
          <w:tcPr>
            <w:tcW w:w="0" w:type="dxa"/>
            <w:vAlign w:val="bottom"/>
          </w:tcPr>
          <w:p>
            <w:pPr>
              <w:spacing w:after="0"/>
              <w:rPr>
                <w:sz w:val="1"/>
                <w:szCs w:val="1"/>
                <w:color w:val="auto"/>
              </w:rPr>
            </w:pPr>
          </w:p>
        </w:tc>
      </w:tr>
      <w:tr>
        <w:trPr>
          <w:trHeight w:val="215"/>
        </w:trPr>
        <w:tc>
          <w:tcPr>
            <w:tcW w:w="4140" w:type="dxa"/>
            <w:vAlign w:val="bottom"/>
          </w:tcPr>
          <w:p>
            <w:pPr>
              <w:spacing w:after="0"/>
              <w:rPr>
                <w:sz w:val="20"/>
                <w:szCs w:val="20"/>
                <w:color w:val="auto"/>
              </w:rPr>
            </w:pPr>
            <w:r>
              <w:rPr>
                <w:rFonts w:ascii="Arial" w:cs="Arial" w:eastAsia="Arial" w:hAnsi="Arial"/>
                <w:sz w:val="16"/>
                <w:szCs w:val="16"/>
                <w:color w:val="auto"/>
              </w:rPr>
              <w:t>Adjustments:</w:t>
            </w:r>
          </w:p>
        </w:tc>
        <w:tc>
          <w:tcPr>
            <w:tcW w:w="3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40" w:type="dxa"/>
            <w:vAlign w:val="bottom"/>
          </w:tcPr>
          <w:p>
            <w:pPr>
              <w:ind w:left="120"/>
              <w:spacing w:after="0"/>
              <w:rPr>
                <w:sz w:val="20"/>
                <w:szCs w:val="20"/>
                <w:color w:val="auto"/>
              </w:rPr>
            </w:pPr>
            <w:r>
              <w:rPr>
                <w:rFonts w:ascii="Arial" w:cs="Arial" w:eastAsia="Arial" w:hAnsi="Arial"/>
                <w:sz w:val="16"/>
                <w:szCs w:val="16"/>
                <w:color w:val="auto"/>
              </w:rPr>
              <w:t>Postage reimbursements</w:t>
            </w:r>
          </w:p>
        </w:tc>
        <w:tc>
          <w:tcPr>
            <w:tcW w:w="38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(352)</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6"/>
                <w:szCs w:val="16"/>
                <w:color w:val="auto"/>
              </w:rPr>
              <w:t>Adjusted revenue</w:t>
            </w:r>
          </w:p>
        </w:tc>
        <w:tc>
          <w:tcPr>
            <w:tcW w:w="382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4,675</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4,789</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4140" w:type="dxa"/>
            <w:vAlign w:val="bottom"/>
          </w:tcPr>
          <w:p>
            <w:pPr>
              <w:spacing w:after="0"/>
              <w:rPr>
                <w:sz w:val="20"/>
                <w:szCs w:val="20"/>
                <w:color w:val="auto"/>
              </w:rPr>
            </w:pPr>
            <w:r>
              <w:rPr>
                <w:rFonts w:ascii="Arial" w:cs="Arial" w:eastAsia="Arial" w:hAnsi="Arial"/>
                <w:sz w:val="16"/>
                <w:szCs w:val="16"/>
                <w:color w:val="auto"/>
              </w:rPr>
              <w:t>Operating income</w:t>
            </w:r>
          </w:p>
        </w:tc>
        <w:tc>
          <w:tcPr>
            <w:tcW w:w="418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139"/>
              <w:spacing w:after="0"/>
              <w:rPr>
                <w:sz w:val="20"/>
                <w:szCs w:val="20"/>
                <w:color w:val="auto"/>
              </w:rPr>
            </w:pPr>
            <w:r>
              <w:rPr>
                <w:rFonts w:ascii="Arial" w:cs="Arial" w:eastAsia="Arial" w:hAnsi="Arial"/>
                <w:sz w:val="16"/>
                <w:szCs w:val="16"/>
                <w:b w:val="1"/>
                <w:bCs w:val="1"/>
                <w:color w:val="auto"/>
              </w:rPr>
              <w:t>918</w:t>
            </w:r>
          </w:p>
        </w:tc>
        <w:tc>
          <w:tcPr>
            <w:tcW w:w="120" w:type="dxa"/>
            <w:vAlign w:val="bottom"/>
          </w:tcPr>
          <w:p>
            <w:pPr>
              <w:spacing w:after="0"/>
              <w:rPr>
                <w:sz w:val="24"/>
                <w:szCs w:val="24"/>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1,395</w:t>
            </w:r>
          </w:p>
        </w:tc>
        <w:tc>
          <w:tcPr>
            <w:tcW w:w="0" w:type="dxa"/>
            <w:vAlign w:val="bottom"/>
          </w:tcPr>
          <w:p>
            <w:pPr>
              <w:spacing w:after="0"/>
              <w:rPr>
                <w:sz w:val="1"/>
                <w:szCs w:val="1"/>
                <w:color w:val="auto"/>
              </w:rPr>
            </w:pPr>
          </w:p>
        </w:tc>
      </w:tr>
      <w:tr>
        <w:trPr>
          <w:trHeight w:val="215"/>
        </w:trPr>
        <w:tc>
          <w:tcPr>
            <w:tcW w:w="4140" w:type="dxa"/>
            <w:vAlign w:val="bottom"/>
          </w:tcPr>
          <w:p>
            <w:pPr>
              <w:spacing w:after="0"/>
              <w:rPr>
                <w:sz w:val="20"/>
                <w:szCs w:val="20"/>
                <w:color w:val="auto"/>
              </w:rPr>
            </w:pPr>
            <w:r>
              <w:rPr>
                <w:rFonts w:ascii="Arial" w:cs="Arial" w:eastAsia="Arial" w:hAnsi="Arial"/>
                <w:sz w:val="16"/>
                <w:szCs w:val="16"/>
                <w:color w:val="auto"/>
              </w:rPr>
              <w:t>Adjustments:</w:t>
            </w:r>
          </w:p>
        </w:tc>
        <w:tc>
          <w:tcPr>
            <w:tcW w:w="3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40" w:type="dxa"/>
            <w:vAlign w:val="bottom"/>
          </w:tcPr>
          <w:p>
            <w:pPr>
              <w:ind w:left="120"/>
              <w:spacing w:after="0"/>
              <w:rPr>
                <w:sz w:val="20"/>
                <w:szCs w:val="20"/>
                <w:color w:val="auto"/>
              </w:rPr>
            </w:pPr>
            <w:r>
              <w:rPr>
                <w:rFonts w:ascii="Arial" w:cs="Arial" w:eastAsia="Arial" w:hAnsi="Arial"/>
                <w:sz w:val="16"/>
                <w:szCs w:val="16"/>
                <w:color w:val="auto"/>
              </w:rPr>
              <w:t>Merger and integration costs</w:t>
            </w:r>
          </w:p>
        </w:tc>
        <w:tc>
          <w:tcPr>
            <w:tcW w:w="3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b w:val="1"/>
                <w:bCs w:val="1"/>
                <w:color w:val="auto"/>
              </w:rPr>
              <w:t>29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4140" w:type="dxa"/>
            <w:vAlign w:val="bottom"/>
          </w:tcPr>
          <w:p>
            <w:pPr>
              <w:ind w:left="120"/>
              <w:spacing w:after="0"/>
              <w:rPr>
                <w:sz w:val="20"/>
                <w:szCs w:val="20"/>
                <w:color w:val="auto"/>
              </w:rPr>
            </w:pPr>
            <w:r>
              <w:rPr>
                <w:rFonts w:ascii="Arial" w:cs="Arial" w:eastAsia="Arial" w:hAnsi="Arial"/>
                <w:sz w:val="16"/>
                <w:szCs w:val="16"/>
                <w:color w:val="auto"/>
              </w:rPr>
              <w:t>One Fiserv transformation program expenses</w:t>
            </w:r>
          </w:p>
        </w:tc>
        <w:tc>
          <w:tcPr>
            <w:tcW w:w="3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b w:val="1"/>
                <w:bCs w:val="1"/>
                <w:color w:val="auto"/>
              </w:rPr>
              <w:t>142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140" w:type="dxa"/>
            <w:vAlign w:val="bottom"/>
          </w:tcPr>
          <w:p>
            <w:pPr>
              <w:ind w:left="120"/>
              <w:spacing w:after="0"/>
              <w:rPr>
                <w:sz w:val="20"/>
                <w:szCs w:val="20"/>
                <w:color w:val="auto"/>
              </w:rPr>
            </w:pPr>
            <w:r>
              <w:rPr>
                <w:rFonts w:ascii="Arial" w:cs="Arial" w:eastAsia="Arial" w:hAnsi="Arial"/>
                <w:sz w:val="16"/>
                <w:szCs w:val="16"/>
                <w:color w:val="auto"/>
              </w:rPr>
              <w:t>Severance costs</w:t>
            </w:r>
          </w:p>
        </w:tc>
        <w:tc>
          <w:tcPr>
            <w:tcW w:w="3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b w:val="1"/>
                <w:bCs w:val="1"/>
                <w:color w:val="auto"/>
              </w:rPr>
              <w:t>73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4140" w:type="dxa"/>
            <w:vAlign w:val="bottom"/>
          </w:tcPr>
          <w:p>
            <w:pPr>
              <w:ind w:left="120"/>
              <w:spacing w:after="0"/>
              <w:rPr>
                <w:sz w:val="20"/>
                <w:szCs w:val="20"/>
                <w:color w:val="auto"/>
              </w:rPr>
            </w:pPr>
            <w:r>
              <w:rPr>
                <w:rFonts w:ascii="Arial" w:cs="Arial" w:eastAsia="Arial" w:hAnsi="Arial"/>
                <w:sz w:val="16"/>
                <w:szCs w:val="16"/>
                <w:color w:val="auto"/>
              </w:rPr>
              <w:t>Amortization of acquisition-related intangible assets</w:t>
            </w:r>
          </w:p>
        </w:tc>
        <w:tc>
          <w:tcPr>
            <w:tcW w:w="3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b w:val="1"/>
                <w:bCs w:val="1"/>
                <w:color w:val="auto"/>
              </w:rPr>
              <w:t>311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16"/>
        </w:trPr>
        <w:tc>
          <w:tcPr>
            <w:tcW w:w="4140" w:type="dxa"/>
            <w:vAlign w:val="bottom"/>
          </w:tcPr>
          <w:p>
            <w:pPr>
              <w:ind w:left="120"/>
              <w:spacing w:after="0"/>
              <w:rPr>
                <w:sz w:val="20"/>
                <w:szCs w:val="20"/>
                <w:color w:val="auto"/>
              </w:rPr>
            </w:pPr>
            <w:r>
              <w:rPr>
                <w:rFonts w:ascii="Arial" w:cs="Arial" w:eastAsia="Arial" w:hAnsi="Arial"/>
                <w:sz w:val="16"/>
                <w:szCs w:val="16"/>
                <w:color w:val="auto"/>
              </w:rPr>
              <w:t>Net gain on sale of assets</w:t>
            </w:r>
          </w:p>
        </w:tc>
        <w:tc>
          <w:tcPr>
            <w:tcW w:w="3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(83)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40" w:type="dxa"/>
            <w:vAlign w:val="bottom"/>
          </w:tcPr>
          <w:p>
            <w:pPr>
              <w:ind w:left="120"/>
              <w:spacing w:after="0"/>
              <w:rPr>
                <w:sz w:val="20"/>
                <w:szCs w:val="20"/>
                <w:color w:val="auto"/>
              </w:rPr>
            </w:pPr>
            <w:r>
              <w:rPr>
                <w:rFonts w:ascii="Arial" w:cs="Arial" w:eastAsia="Arial" w:hAnsi="Arial"/>
                <w:sz w:val="16"/>
                <w:szCs w:val="16"/>
                <w:color w:val="auto"/>
              </w:rPr>
              <w:t>Incremental executive compensation</w:t>
            </w:r>
          </w:p>
        </w:tc>
        <w:tc>
          <w:tcPr>
            <w:tcW w:w="3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9"/>
        </w:trPr>
        <w:tc>
          <w:tcPr>
            <w:tcW w:w="4140" w:type="dxa"/>
            <w:vAlign w:val="bottom"/>
          </w:tcPr>
          <w:p>
            <w:pPr>
              <w:spacing w:after="0"/>
              <w:rPr>
                <w:sz w:val="20"/>
                <w:szCs w:val="20"/>
                <w:color w:val="auto"/>
              </w:rPr>
            </w:pPr>
            <w:r>
              <w:rPr>
                <w:rFonts w:ascii="Arial" w:cs="Arial" w:eastAsia="Arial" w:hAnsi="Arial"/>
                <w:sz w:val="16"/>
                <w:szCs w:val="16"/>
                <w:color w:val="auto"/>
              </w:rPr>
              <w:t>Adjusted operating income</w:t>
            </w:r>
          </w:p>
        </w:tc>
        <w:tc>
          <w:tcPr>
            <w:tcW w:w="38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1,390</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1,808</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4140" w:type="dxa"/>
            <w:vAlign w:val="bottom"/>
          </w:tcPr>
          <w:p>
            <w:pPr>
              <w:spacing w:after="0"/>
              <w:rPr>
                <w:sz w:val="20"/>
                <w:szCs w:val="20"/>
                <w:color w:val="auto"/>
              </w:rPr>
            </w:pPr>
            <w:r>
              <w:rPr>
                <w:rFonts w:ascii="Arial" w:cs="Arial" w:eastAsia="Arial" w:hAnsi="Arial"/>
                <w:sz w:val="16"/>
                <w:szCs w:val="16"/>
                <w:color w:val="auto"/>
              </w:rPr>
              <w:t>Operating margin</w:t>
            </w:r>
          </w:p>
        </w:tc>
        <w:tc>
          <w:tcPr>
            <w:tcW w:w="3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18.3 %</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27.2 %</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6"/>
                <w:szCs w:val="16"/>
                <w:color w:val="auto"/>
              </w:rPr>
              <w:t>Adjusted operating margin</w:t>
            </w:r>
          </w:p>
        </w:tc>
        <w:tc>
          <w:tcPr>
            <w:tcW w:w="3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29.7 %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37.8 %</w:t>
            </w:r>
          </w:p>
        </w:tc>
        <w:tc>
          <w:tcPr>
            <w:tcW w:w="0" w:type="dxa"/>
            <w:vAlign w:val="bottom"/>
          </w:tcPr>
          <w:p>
            <w:pPr>
              <w:spacing w:after="0"/>
              <w:rPr>
                <w:sz w:val="1"/>
                <w:szCs w:val="1"/>
                <w:color w:val="auto"/>
              </w:rPr>
            </w:pPr>
          </w:p>
        </w:tc>
      </w:tr>
      <w:tr>
        <w:trPr>
          <w:trHeight w:val="425"/>
        </w:trPr>
        <w:tc>
          <w:tcPr>
            <w:tcW w:w="4140" w:type="dxa"/>
            <w:vAlign w:val="bottom"/>
          </w:tcPr>
          <w:p>
            <w:pPr>
              <w:spacing w:after="0"/>
              <w:rPr>
                <w:sz w:val="20"/>
                <w:szCs w:val="20"/>
                <w:color w:val="auto"/>
              </w:rPr>
            </w:pPr>
            <w:r>
              <w:rPr>
                <w:rFonts w:ascii="Arial" w:cs="Arial" w:eastAsia="Arial" w:hAnsi="Arial"/>
                <w:sz w:val="16"/>
                <w:szCs w:val="16"/>
                <w:b w:val="1"/>
                <w:bCs w:val="1"/>
                <w:color w:val="auto"/>
              </w:rPr>
              <w:t xml:space="preserve">Merchant Solutions (“Merchant”) </w:t>
            </w:r>
            <w:r>
              <w:rPr>
                <w:rFonts w:ascii="Arial" w:cs="Arial" w:eastAsia="Arial" w:hAnsi="Arial"/>
                <w:sz w:val="21"/>
                <w:szCs w:val="21"/>
                <w:b w:val="1"/>
                <w:bCs w:val="1"/>
                <w:color w:val="auto"/>
                <w:vertAlign w:val="superscript"/>
              </w:rPr>
              <w:t>1</w:t>
            </w:r>
          </w:p>
        </w:tc>
        <w:tc>
          <w:tcPr>
            <w:tcW w:w="3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140" w:type="dxa"/>
            <w:vAlign w:val="bottom"/>
          </w:tcPr>
          <w:p>
            <w:pPr>
              <w:spacing w:after="0"/>
              <w:rPr>
                <w:sz w:val="20"/>
                <w:szCs w:val="20"/>
                <w:color w:val="auto"/>
              </w:rPr>
            </w:pPr>
            <w:r>
              <w:rPr>
                <w:rFonts w:ascii="Arial" w:cs="Arial" w:eastAsia="Arial" w:hAnsi="Arial"/>
                <w:sz w:val="16"/>
                <w:szCs w:val="16"/>
                <w:color w:val="auto"/>
              </w:rPr>
              <w:t>Revenue</w:t>
            </w:r>
          </w:p>
        </w:tc>
        <w:tc>
          <w:tcPr>
            <w:tcW w:w="3820" w:type="dxa"/>
            <w:vAlign w:val="bottom"/>
          </w:tcPr>
          <w:p>
            <w:pPr>
              <w:spacing w:after="0"/>
              <w:rPr>
                <w:sz w:val="16"/>
                <w:szCs w:val="16"/>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2,373</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2,372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140" w:type="dxa"/>
            <w:vAlign w:val="bottom"/>
          </w:tcPr>
          <w:p>
            <w:pPr>
              <w:spacing w:after="0"/>
              <w:rPr>
                <w:sz w:val="20"/>
                <w:szCs w:val="20"/>
                <w:color w:val="auto"/>
              </w:rPr>
            </w:pPr>
            <w:r>
              <w:rPr>
                <w:rFonts w:ascii="Arial" w:cs="Arial" w:eastAsia="Arial" w:hAnsi="Arial"/>
                <w:sz w:val="16"/>
                <w:szCs w:val="16"/>
                <w:color w:val="auto"/>
              </w:rPr>
              <w:t>Operating income</w:t>
            </w:r>
          </w:p>
        </w:tc>
        <w:tc>
          <w:tcPr>
            <w:tcW w:w="418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139"/>
              <w:spacing w:after="0"/>
              <w:rPr>
                <w:sz w:val="20"/>
                <w:szCs w:val="20"/>
                <w:color w:val="auto"/>
              </w:rPr>
            </w:pPr>
            <w:r>
              <w:rPr>
                <w:rFonts w:ascii="Arial" w:cs="Arial" w:eastAsia="Arial" w:hAnsi="Arial"/>
                <w:sz w:val="16"/>
                <w:szCs w:val="16"/>
                <w:b w:val="1"/>
                <w:bCs w:val="1"/>
                <w:color w:val="auto"/>
              </w:rPr>
              <w:t>626</w:t>
            </w:r>
          </w:p>
        </w:tc>
        <w:tc>
          <w:tcPr>
            <w:tcW w:w="120" w:type="dxa"/>
            <w:vAlign w:val="bottom"/>
          </w:tcPr>
          <w:p>
            <w:pPr>
              <w:spacing w:after="0"/>
              <w:rPr>
                <w:sz w:val="21"/>
                <w:szCs w:val="21"/>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3"/>
        </w:trPr>
        <w:tc>
          <w:tcPr>
            <w:tcW w:w="4140" w:type="dxa"/>
            <w:vAlign w:val="bottom"/>
          </w:tcPr>
          <w:p>
            <w:pPr>
              <w:spacing w:after="0"/>
              <w:rPr>
                <w:sz w:val="20"/>
                <w:szCs w:val="20"/>
                <w:color w:val="auto"/>
              </w:rPr>
            </w:pPr>
            <w:r>
              <w:rPr>
                <w:rFonts w:ascii="Arial" w:cs="Arial" w:eastAsia="Arial" w:hAnsi="Arial"/>
                <w:sz w:val="16"/>
                <w:szCs w:val="16"/>
                <w:color w:val="auto"/>
              </w:rPr>
              <w:t>Operating margin</w:t>
            </w:r>
          </w:p>
        </w:tc>
        <w:tc>
          <w:tcPr>
            <w:tcW w:w="3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26.4 %</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34.2 %</w:t>
            </w:r>
          </w:p>
        </w:tc>
        <w:tc>
          <w:tcPr>
            <w:tcW w:w="0" w:type="dxa"/>
            <w:vAlign w:val="bottom"/>
          </w:tcPr>
          <w:p>
            <w:pPr>
              <w:spacing w:after="0"/>
              <w:rPr>
                <w:sz w:val="1"/>
                <w:szCs w:val="1"/>
                <w:color w:val="auto"/>
              </w:rPr>
            </w:pPr>
          </w:p>
        </w:tc>
      </w:tr>
      <w:tr>
        <w:trPr>
          <w:trHeight w:val="425"/>
        </w:trPr>
        <w:tc>
          <w:tcPr>
            <w:tcW w:w="4140" w:type="dxa"/>
            <w:vAlign w:val="bottom"/>
          </w:tcPr>
          <w:p>
            <w:pPr>
              <w:spacing w:after="0"/>
              <w:rPr>
                <w:sz w:val="20"/>
                <w:szCs w:val="20"/>
                <w:color w:val="auto"/>
              </w:rPr>
            </w:pPr>
            <w:r>
              <w:rPr>
                <w:rFonts w:ascii="Arial" w:cs="Arial" w:eastAsia="Arial" w:hAnsi="Arial"/>
                <w:sz w:val="16"/>
                <w:szCs w:val="16"/>
                <w:b w:val="1"/>
                <w:bCs w:val="1"/>
                <w:color w:val="auto"/>
              </w:rPr>
              <w:t xml:space="preserve">Financial Solutions (“Financial”) </w:t>
            </w:r>
            <w:r>
              <w:rPr>
                <w:rFonts w:ascii="Arial" w:cs="Arial" w:eastAsia="Arial" w:hAnsi="Arial"/>
                <w:sz w:val="21"/>
                <w:szCs w:val="21"/>
                <w:b w:val="1"/>
                <w:bCs w:val="1"/>
                <w:color w:val="auto"/>
                <w:vertAlign w:val="superscript"/>
              </w:rPr>
              <w:t>1</w:t>
            </w:r>
          </w:p>
        </w:tc>
        <w:tc>
          <w:tcPr>
            <w:tcW w:w="3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140" w:type="dxa"/>
            <w:vAlign w:val="bottom"/>
          </w:tcPr>
          <w:p>
            <w:pPr>
              <w:spacing w:after="0"/>
              <w:rPr>
                <w:sz w:val="20"/>
                <w:szCs w:val="20"/>
                <w:color w:val="auto"/>
              </w:rPr>
            </w:pPr>
            <w:r>
              <w:rPr>
                <w:rFonts w:ascii="Arial" w:cs="Arial" w:eastAsia="Arial" w:hAnsi="Arial"/>
                <w:sz w:val="16"/>
                <w:szCs w:val="16"/>
                <w:color w:val="auto"/>
              </w:rPr>
              <w:t>Revenue</w:t>
            </w:r>
          </w:p>
        </w:tc>
        <w:tc>
          <w:tcPr>
            <w:tcW w:w="3820" w:type="dxa"/>
            <w:vAlign w:val="bottom"/>
          </w:tcPr>
          <w:p>
            <w:pPr>
              <w:spacing w:after="0"/>
              <w:rPr>
                <w:sz w:val="16"/>
                <w:szCs w:val="16"/>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2,302</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2,417</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140" w:type="dxa"/>
            <w:vAlign w:val="bottom"/>
          </w:tcPr>
          <w:p>
            <w:pPr>
              <w:spacing w:after="0"/>
              <w:rPr>
                <w:sz w:val="20"/>
                <w:szCs w:val="20"/>
                <w:color w:val="auto"/>
              </w:rPr>
            </w:pPr>
            <w:r>
              <w:rPr>
                <w:rFonts w:ascii="Arial" w:cs="Arial" w:eastAsia="Arial" w:hAnsi="Arial"/>
                <w:sz w:val="16"/>
                <w:szCs w:val="16"/>
                <w:color w:val="auto"/>
              </w:rPr>
              <w:t>Operating income</w:t>
            </w:r>
          </w:p>
        </w:tc>
        <w:tc>
          <w:tcPr>
            <w:tcW w:w="418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139"/>
              <w:spacing w:after="0"/>
              <w:rPr>
                <w:sz w:val="20"/>
                <w:szCs w:val="20"/>
                <w:color w:val="auto"/>
              </w:rPr>
            </w:pPr>
            <w:r>
              <w:rPr>
                <w:rFonts w:ascii="Arial" w:cs="Arial" w:eastAsia="Arial" w:hAnsi="Arial"/>
                <w:sz w:val="16"/>
                <w:szCs w:val="16"/>
                <w:b w:val="1"/>
                <w:bCs w:val="1"/>
                <w:color w:val="auto"/>
              </w:rPr>
              <w:t>877</w:t>
            </w:r>
          </w:p>
        </w:tc>
        <w:tc>
          <w:tcPr>
            <w:tcW w:w="120" w:type="dxa"/>
            <w:vAlign w:val="bottom"/>
          </w:tcPr>
          <w:p>
            <w:pPr>
              <w:spacing w:after="0"/>
              <w:rPr>
                <w:sz w:val="21"/>
                <w:szCs w:val="21"/>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3"/>
        </w:trPr>
        <w:tc>
          <w:tcPr>
            <w:tcW w:w="4140" w:type="dxa"/>
            <w:vAlign w:val="bottom"/>
          </w:tcPr>
          <w:p>
            <w:pPr>
              <w:spacing w:after="0"/>
              <w:rPr>
                <w:sz w:val="20"/>
                <w:szCs w:val="20"/>
                <w:color w:val="auto"/>
              </w:rPr>
            </w:pPr>
            <w:r>
              <w:rPr>
                <w:rFonts w:ascii="Arial" w:cs="Arial" w:eastAsia="Arial" w:hAnsi="Arial"/>
                <w:sz w:val="16"/>
                <w:szCs w:val="16"/>
                <w:color w:val="auto"/>
              </w:rPr>
              <w:t>Operating margin</w:t>
            </w:r>
          </w:p>
        </w:tc>
        <w:tc>
          <w:tcPr>
            <w:tcW w:w="3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38.1 %</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20"/>
          </w:cols>
          <w:pgMar w:left="340" w:top="1231" w:right="339" w:bottom="1440" w:gutter="0" w:footer="0" w:header="0"/>
        </w:sectPr>
      </w:pPr>
    </w:p>
    <w:bookmarkStart w:id="13" w:name="page14"/>
    <w:bookmarkEnd w:id="13"/>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5160" w:type="dxa"/>
            <w:vAlign w:val="bottom"/>
            <w:gridSpan w:val="2"/>
          </w:tcPr>
          <w:p>
            <w:pPr>
              <w:jc w:val="center"/>
              <w:ind w:right="1879"/>
              <w:spacing w:after="0"/>
              <w:rPr>
                <w:sz w:val="20"/>
                <w:szCs w:val="20"/>
                <w:color w:val="auto"/>
              </w:rPr>
            </w:pPr>
            <w:r>
              <w:rPr>
                <w:rFonts w:ascii="Arial" w:cs="Arial" w:eastAsia="Arial" w:hAnsi="Arial"/>
                <w:sz w:val="16"/>
                <w:szCs w:val="16"/>
                <w:b w:val="1"/>
                <w:bCs w:val="1"/>
                <w:color w:val="auto"/>
              </w:rPr>
              <w:t>Fiserv, Inc.</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5160" w:type="dxa"/>
            <w:vAlign w:val="bottom"/>
            <w:gridSpan w:val="2"/>
          </w:tcPr>
          <w:p>
            <w:pPr>
              <w:jc w:val="center"/>
              <w:ind w:right="1879"/>
              <w:spacing w:after="0"/>
              <w:rPr>
                <w:sz w:val="20"/>
                <w:szCs w:val="20"/>
                <w:color w:val="auto"/>
              </w:rPr>
            </w:pPr>
            <w:r>
              <w:rPr>
                <w:rFonts w:ascii="Arial" w:cs="Arial" w:eastAsia="Arial" w:hAnsi="Arial"/>
                <w:sz w:val="16"/>
                <w:szCs w:val="16"/>
                <w:b w:val="1"/>
                <w:bCs w:val="1"/>
                <w:color w:val="auto"/>
              </w:rPr>
              <w:t>Financial Results by Segment (cont.)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0" w:type="dxa"/>
            <w:vAlign w:val="bottom"/>
          </w:tcPr>
          <w:p>
            <w:pPr>
              <w:spacing w:after="0"/>
              <w:rPr>
                <w:sz w:val="18"/>
                <w:szCs w:val="18"/>
                <w:color w:val="auto"/>
              </w:rPr>
            </w:pPr>
          </w:p>
        </w:tc>
        <w:tc>
          <w:tcPr>
            <w:tcW w:w="5160" w:type="dxa"/>
            <w:vAlign w:val="bottom"/>
            <w:gridSpan w:val="2"/>
          </w:tcPr>
          <w:p>
            <w:pPr>
              <w:jc w:val="center"/>
              <w:ind w:right="1879"/>
              <w:spacing w:after="0"/>
              <w:rPr>
                <w:sz w:val="20"/>
                <w:szCs w:val="20"/>
                <w:color w:val="auto"/>
              </w:rPr>
            </w:pPr>
            <w:r>
              <w:rPr>
                <w:rFonts w:ascii="Arial" w:cs="Arial" w:eastAsia="Arial" w:hAnsi="Arial"/>
                <w:sz w:val="16"/>
                <w:szCs w:val="16"/>
                <w:color w:val="auto"/>
              </w:rPr>
              <w:t>(In millions, unaudited)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0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560" w:type="dxa"/>
            <w:vAlign w:val="bottom"/>
            <w:gridSpan w:val="4"/>
          </w:tcPr>
          <w:p>
            <w:pPr>
              <w:jc w:val="right"/>
              <w:ind w:right="219"/>
              <w:spacing w:after="0" w:line="164" w:lineRule="exact"/>
              <w:rPr>
                <w:sz w:val="20"/>
                <w:szCs w:val="20"/>
                <w:color w:val="auto"/>
              </w:rPr>
            </w:pPr>
            <w:r>
              <w:rPr>
                <w:rFonts w:ascii="Arial" w:cs="Arial" w:eastAsia="Arial" w:hAnsi="Arial"/>
                <w:sz w:val="16"/>
                <w:szCs w:val="16"/>
                <w:color w:val="auto"/>
              </w:rPr>
              <w:t>Three Months Ended</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0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80" w:type="dxa"/>
            <w:vAlign w:val="bottom"/>
            <w:gridSpan w:val="3"/>
          </w:tcPr>
          <w:p>
            <w:pPr>
              <w:jc w:val="right"/>
              <w:ind w:right="599"/>
              <w:spacing w:after="0"/>
              <w:rPr>
                <w:sz w:val="20"/>
                <w:szCs w:val="20"/>
                <w:color w:val="auto"/>
              </w:rPr>
            </w:pPr>
            <w:r>
              <w:rPr>
                <w:rFonts w:ascii="Arial" w:cs="Arial" w:eastAsia="Arial" w:hAnsi="Arial"/>
                <w:sz w:val="16"/>
                <w:szCs w:val="16"/>
                <w:color w:val="auto"/>
              </w:rPr>
              <w:t>March 31,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0" w:type="dxa"/>
            <w:vAlign w:val="bottom"/>
            <w:vMerge w:val="restart"/>
          </w:tcPr>
          <w:p>
            <w:pPr>
              <w:spacing w:after="0"/>
              <w:rPr>
                <w:sz w:val="20"/>
                <w:szCs w:val="20"/>
                <w:color w:val="auto"/>
              </w:rPr>
            </w:pPr>
            <w:r>
              <w:rPr>
                <w:rFonts w:ascii="Arial" w:cs="Arial" w:eastAsia="Arial" w:hAnsi="Arial"/>
                <w:sz w:val="16"/>
                <w:szCs w:val="16"/>
                <w:b w:val="1"/>
                <w:bCs w:val="1"/>
                <w:color w:val="auto"/>
              </w:rPr>
              <w:t>Corporate and Other</w:t>
            </w:r>
          </w:p>
        </w:tc>
        <w:tc>
          <w:tcPr>
            <w:tcW w:w="51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2025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00" w:type="dxa"/>
            <w:vAlign w:val="bottom"/>
            <w:vMerge w:val="continue"/>
          </w:tcPr>
          <w:p>
            <w:pPr>
              <w:spacing w:after="0"/>
              <w:rPr>
                <w:sz w:val="16"/>
                <w:szCs w:val="16"/>
                <w:color w:val="auto"/>
              </w:rPr>
            </w:pPr>
          </w:p>
        </w:tc>
        <w:tc>
          <w:tcPr>
            <w:tcW w:w="41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6"/>
                <w:szCs w:val="16"/>
                <w:color w:val="auto"/>
              </w:rPr>
              <w:t>Revenue</w:t>
            </w:r>
          </w:p>
        </w:tc>
        <w:tc>
          <w:tcPr>
            <w:tcW w:w="5160" w:type="dxa"/>
            <w:vAlign w:val="bottom"/>
            <w:gridSpan w:val="2"/>
          </w:tcPr>
          <w:p>
            <w:pPr>
              <w:jc w:val="right"/>
              <w:ind w:right="77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352</w:t>
            </w:r>
          </w:p>
        </w:tc>
        <w:tc>
          <w:tcPr>
            <w:tcW w:w="120" w:type="dxa"/>
            <w:vAlign w:val="bottom"/>
          </w:tcPr>
          <w:p>
            <w:pPr>
              <w:spacing w:after="0"/>
              <w:rPr>
                <w:sz w:val="18"/>
                <w:szCs w:val="18"/>
                <w:color w:val="auto"/>
              </w:rPr>
            </w:pP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15"/>
        </w:trPr>
        <w:tc>
          <w:tcPr>
            <w:tcW w:w="4000" w:type="dxa"/>
            <w:vAlign w:val="bottom"/>
          </w:tcPr>
          <w:p>
            <w:pPr>
              <w:spacing w:after="0"/>
              <w:rPr>
                <w:sz w:val="20"/>
                <w:szCs w:val="20"/>
                <w:color w:val="auto"/>
              </w:rPr>
            </w:pPr>
            <w:r>
              <w:rPr>
                <w:rFonts w:ascii="Arial" w:cs="Arial" w:eastAsia="Arial" w:hAnsi="Arial"/>
                <w:sz w:val="16"/>
                <w:szCs w:val="16"/>
                <w:color w:val="auto"/>
              </w:rPr>
              <w:t>Adjustments:</w:t>
            </w:r>
          </w:p>
        </w:tc>
        <w:tc>
          <w:tcPr>
            <w:tcW w:w="4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00" w:type="dxa"/>
            <w:vAlign w:val="bottom"/>
          </w:tcPr>
          <w:p>
            <w:pPr>
              <w:ind w:left="120"/>
              <w:spacing w:after="0"/>
              <w:rPr>
                <w:sz w:val="20"/>
                <w:szCs w:val="20"/>
                <w:color w:val="auto"/>
              </w:rPr>
            </w:pPr>
            <w:r>
              <w:rPr>
                <w:rFonts w:ascii="Arial" w:cs="Arial" w:eastAsia="Arial" w:hAnsi="Arial"/>
                <w:sz w:val="16"/>
                <w:szCs w:val="16"/>
                <w:color w:val="auto"/>
              </w:rPr>
              <w:t>Postage reimbursements</w:t>
            </w:r>
          </w:p>
        </w:tc>
        <w:tc>
          <w:tcPr>
            <w:tcW w:w="4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(352)</w:t>
            </w:r>
          </w:p>
        </w:tc>
        <w:tc>
          <w:tcPr>
            <w:tcW w:w="1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Arial" w:cs="Arial" w:eastAsia="Arial" w:hAnsi="Arial"/>
                <w:sz w:val="16"/>
                <w:szCs w:val="16"/>
                <w:color w:val="auto"/>
              </w:rPr>
              <w:t>Adjusted revenue</w:t>
            </w:r>
          </w:p>
        </w:tc>
        <w:tc>
          <w:tcPr>
            <w:tcW w:w="4180" w:type="dxa"/>
            <w:vAlign w:val="bottom"/>
          </w:tcPr>
          <w:p>
            <w:pPr>
              <w:spacing w:after="0"/>
              <w:rPr>
                <w:sz w:val="18"/>
                <w:szCs w:val="18"/>
                <w:color w:val="auto"/>
              </w:rPr>
            </w:pP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4000" w:type="dxa"/>
            <w:vAlign w:val="bottom"/>
          </w:tcPr>
          <w:p>
            <w:pPr>
              <w:spacing w:after="0"/>
              <w:rPr>
                <w:sz w:val="20"/>
                <w:szCs w:val="20"/>
                <w:color w:val="auto"/>
              </w:rPr>
            </w:pPr>
            <w:r>
              <w:rPr>
                <w:rFonts w:ascii="Arial" w:cs="Arial" w:eastAsia="Arial" w:hAnsi="Arial"/>
                <w:sz w:val="16"/>
                <w:szCs w:val="16"/>
                <w:color w:val="auto"/>
              </w:rPr>
              <w:t>Operating loss</w:t>
            </w:r>
          </w:p>
        </w:tc>
        <w:tc>
          <w:tcPr>
            <w:tcW w:w="5160" w:type="dxa"/>
            <w:vAlign w:val="bottom"/>
            <w:gridSpan w:val="2"/>
          </w:tcPr>
          <w:p>
            <w:pPr>
              <w:jc w:val="right"/>
              <w:ind w:right="77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(585)</w:t>
            </w:r>
          </w:p>
        </w:tc>
        <w:tc>
          <w:tcPr>
            <w:tcW w:w="120" w:type="dxa"/>
            <w:vAlign w:val="bottom"/>
          </w:tcPr>
          <w:p>
            <w:pPr>
              <w:spacing w:after="0"/>
              <w:rPr>
                <w:sz w:val="24"/>
                <w:szCs w:val="24"/>
                <w:color w:val="auto"/>
              </w:rPr>
            </w:pP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15"/>
        </w:trPr>
        <w:tc>
          <w:tcPr>
            <w:tcW w:w="4000" w:type="dxa"/>
            <w:vAlign w:val="bottom"/>
          </w:tcPr>
          <w:p>
            <w:pPr>
              <w:spacing w:after="0"/>
              <w:rPr>
                <w:sz w:val="20"/>
                <w:szCs w:val="20"/>
                <w:color w:val="auto"/>
              </w:rPr>
            </w:pPr>
            <w:r>
              <w:rPr>
                <w:rFonts w:ascii="Arial" w:cs="Arial" w:eastAsia="Arial" w:hAnsi="Arial"/>
                <w:sz w:val="16"/>
                <w:szCs w:val="16"/>
                <w:color w:val="auto"/>
              </w:rPr>
              <w:t>Adjustments:</w:t>
            </w:r>
          </w:p>
        </w:tc>
        <w:tc>
          <w:tcPr>
            <w:tcW w:w="4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0" w:type="dxa"/>
            <w:vAlign w:val="bottom"/>
          </w:tcPr>
          <w:p>
            <w:pPr>
              <w:ind w:left="120"/>
              <w:spacing w:after="0"/>
              <w:rPr>
                <w:sz w:val="20"/>
                <w:szCs w:val="20"/>
                <w:color w:val="auto"/>
              </w:rPr>
            </w:pPr>
            <w:r>
              <w:rPr>
                <w:rFonts w:ascii="Arial" w:cs="Arial" w:eastAsia="Arial" w:hAnsi="Arial"/>
                <w:sz w:val="16"/>
                <w:szCs w:val="16"/>
                <w:color w:val="auto"/>
              </w:rPr>
              <w:t>Merger and integration costs</w:t>
            </w:r>
          </w:p>
        </w:tc>
        <w:tc>
          <w:tcPr>
            <w:tcW w:w="4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6"/>
                <w:szCs w:val="16"/>
                <w:color w:val="auto"/>
              </w:rPr>
              <w:t>One Fiserv transformation program expenses</w:t>
            </w:r>
          </w:p>
        </w:tc>
        <w:tc>
          <w:tcPr>
            <w:tcW w:w="4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142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6"/>
                <w:szCs w:val="16"/>
                <w:color w:val="auto"/>
              </w:rPr>
              <w:t>Severance costs</w:t>
            </w:r>
          </w:p>
        </w:tc>
        <w:tc>
          <w:tcPr>
            <w:tcW w:w="4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73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6"/>
                <w:szCs w:val="16"/>
                <w:color w:val="auto"/>
              </w:rPr>
              <w:t>Amortization of acquisition-related intangible assets</w:t>
            </w:r>
          </w:p>
        </w:tc>
        <w:tc>
          <w:tcPr>
            <w:tcW w:w="4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311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6"/>
                <w:szCs w:val="16"/>
                <w:color w:val="auto"/>
              </w:rPr>
              <w:t>Net gain on sale of assets</w:t>
            </w:r>
          </w:p>
        </w:tc>
        <w:tc>
          <w:tcPr>
            <w:tcW w:w="4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(83)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000" w:type="dxa"/>
            <w:vAlign w:val="bottom"/>
          </w:tcPr>
          <w:p>
            <w:pPr>
              <w:ind w:left="120"/>
              <w:spacing w:after="0"/>
              <w:rPr>
                <w:sz w:val="20"/>
                <w:szCs w:val="20"/>
                <w:color w:val="auto"/>
              </w:rPr>
            </w:pPr>
            <w:r>
              <w:rPr>
                <w:rFonts w:ascii="Arial" w:cs="Arial" w:eastAsia="Arial" w:hAnsi="Arial"/>
                <w:sz w:val="16"/>
                <w:szCs w:val="16"/>
                <w:color w:val="auto"/>
              </w:rPr>
              <w:t>Incremental executive compensation</w:t>
            </w:r>
          </w:p>
        </w:tc>
        <w:tc>
          <w:tcPr>
            <w:tcW w:w="4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9"/>
        </w:trPr>
        <w:tc>
          <w:tcPr>
            <w:tcW w:w="4000" w:type="dxa"/>
            <w:vAlign w:val="bottom"/>
          </w:tcPr>
          <w:p>
            <w:pPr>
              <w:spacing w:after="0"/>
              <w:rPr>
                <w:sz w:val="20"/>
                <w:szCs w:val="20"/>
                <w:color w:val="auto"/>
              </w:rPr>
            </w:pPr>
            <w:r>
              <w:rPr>
                <w:rFonts w:ascii="Arial" w:cs="Arial" w:eastAsia="Arial" w:hAnsi="Arial"/>
                <w:sz w:val="16"/>
                <w:szCs w:val="16"/>
                <w:color w:val="auto"/>
              </w:rPr>
              <w:t>Adjusted operating loss</w:t>
            </w:r>
          </w:p>
        </w:tc>
        <w:tc>
          <w:tcPr>
            <w:tcW w:w="41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w:t>
            </w:r>
          </w:p>
        </w:tc>
        <w:tc>
          <w:tcPr>
            <w:tcW w:w="1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See pages 3-4 for disclosures related to the use of non-GAAP financial measures.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Operating margin percentages are calculated using actual, unrounded amounts.</w:t>
      </w:r>
    </w:p>
    <w:p>
      <w:pPr>
        <w:spacing w:after="0" w:line="118" w:lineRule="exact"/>
        <w:rPr>
          <w:sz w:val="20"/>
          <w:szCs w:val="20"/>
          <w:color w:val="auto"/>
        </w:rPr>
      </w:pPr>
    </w:p>
    <w:p>
      <w:pPr>
        <w:ind w:left="180" w:right="280" w:hanging="172"/>
        <w:spacing w:after="0" w:line="305" w:lineRule="auto"/>
        <w:tabs>
          <w:tab w:leader="none" w:pos="178" w:val="left"/>
        </w:tabs>
        <w:numPr>
          <w:ilvl w:val="0"/>
          <w:numId w:val="11"/>
        </w:numPr>
        <w:rPr>
          <w:rFonts w:ascii="Arial" w:cs="Arial" w:eastAsia="Arial" w:hAnsi="Arial"/>
          <w:sz w:val="9"/>
          <w:szCs w:val="9"/>
          <w:color w:val="auto"/>
        </w:rPr>
      </w:pPr>
      <w:r>
        <w:rPr>
          <w:rFonts w:ascii="Arial" w:cs="Arial" w:eastAsia="Arial" w:hAnsi="Arial"/>
          <w:sz w:val="14"/>
          <w:szCs w:val="14"/>
          <w:color w:val="auto"/>
        </w:rPr>
        <w:t>For all periods presented in the Merchant and Financial segments, there were no adjustments to GAAP measures presented and thus the adjusted measures are equal to the reportable segment GAAP measures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231" w:right="339" w:bottom="1440" w:gutter="0" w:footer="0" w:header="0"/>
        </w:sectPr>
      </w:pPr>
    </w:p>
    <w:bookmarkStart w:id="14" w:name="page15"/>
    <w:bookmarkEnd w:id="14"/>
    <w:p>
      <w:pPr>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ectPr>
          <w:pgSz w:w="11900" w:h="16838" w:orient="portrait"/>
          <w:cols w:equalWidth="0" w:num="1">
            <w:col w:w="10620"/>
          </w:cols>
          <w:pgMar w:left="380" w:top="1231"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Fiserv, Inc.</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(In millions, unaudited)</w:t>
      </w:r>
    </w:p>
    <w:p>
      <w:pPr>
        <w:spacing w:after="0" w:line="34" w:lineRule="exact"/>
        <w:rPr>
          <w:sz w:val="20"/>
          <w:szCs w:val="20"/>
          <w:color w:val="auto"/>
        </w:rPr>
      </w:pPr>
    </w:p>
    <w:p>
      <w:pPr>
        <w:jc w:val="center"/>
        <w:ind w:left="734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73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320" w:type="dxa"/>
        <w:tblCellMar>
          <w:top w:w="0" w:type="dxa"/>
          <w:left w:w="0" w:type="dxa"/>
          <w:bottom w:w="0" w:type="dxa"/>
          <w:right w:w="0" w:type="dxa"/>
        </w:tblCellMar>
      </w:tblPr>
      <w:tr>
        <w:trPr>
          <w:trHeight w:val="196"/>
        </w:trPr>
        <w:tc>
          <w:tcPr>
            <w:tcW w:w="754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2025</w:t>
            </w:r>
          </w:p>
        </w:tc>
      </w:tr>
      <w:tr>
        <w:trPr>
          <w:trHeight w:val="180"/>
        </w:trPr>
        <w:tc>
          <w:tcPr>
            <w:tcW w:w="754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Net income</w:t>
            </w:r>
          </w:p>
        </w:tc>
        <w:tc>
          <w:tcPr>
            <w:tcW w:w="860" w:type="dxa"/>
            <w:vAlign w:val="bottom"/>
          </w:tcPr>
          <w:p>
            <w:pPr>
              <w:jc w:val="right"/>
              <w:ind w:right="688"/>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auto"/>
              </w:rPr>
              <w:t>573</w:t>
            </w:r>
          </w:p>
        </w:tc>
        <w:tc>
          <w:tcPr>
            <w:tcW w:w="8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848</w:t>
            </w:r>
          </w:p>
        </w:tc>
      </w:tr>
      <w:tr>
        <w:trPr>
          <w:trHeight w:val="197"/>
        </w:trPr>
        <w:tc>
          <w:tcPr>
            <w:tcW w:w="7540" w:type="dxa"/>
            <w:vAlign w:val="bottom"/>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8"/>
        </w:trPr>
        <w:tc>
          <w:tcPr>
            <w:tcW w:w="7540" w:type="dxa"/>
            <w:vAlign w:val="bottom"/>
          </w:tcPr>
          <w:p>
            <w:pPr>
              <w:ind w:left="200"/>
              <w:spacing w:after="0"/>
              <w:rPr>
                <w:sz w:val="20"/>
                <w:szCs w:val="20"/>
                <w:color w:val="auto"/>
              </w:rPr>
            </w:pPr>
            <w:r>
              <w:rPr>
                <w:rFonts w:ascii="Arial" w:cs="Arial" w:eastAsia="Arial" w:hAnsi="Arial"/>
                <w:sz w:val="14"/>
                <w:szCs w:val="14"/>
                <w:color w:val="auto"/>
              </w:rPr>
              <w:t>Depreciation and other amortization</w:t>
            </w:r>
          </w:p>
        </w:tc>
        <w:tc>
          <w:tcPr>
            <w:tcW w:w="860" w:type="dxa"/>
            <w:vAlign w:val="bottom"/>
          </w:tcPr>
          <w:p>
            <w:pPr>
              <w:spacing w:after="0"/>
              <w:rPr>
                <w:sz w:val="18"/>
                <w:szCs w:val="18"/>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auto"/>
              </w:rPr>
              <w:t>508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437</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Amortization of acquisition-related intangible assets</w:t>
            </w:r>
          </w:p>
        </w:tc>
        <w:tc>
          <w:tcPr>
            <w:tcW w:w="86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auto"/>
              </w:rPr>
              <w:t>311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331</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Amortization of financing costs and debt discounts</w:t>
            </w:r>
          </w:p>
        </w:tc>
        <w:tc>
          <w:tcPr>
            <w:tcW w:w="86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Share-based compensation</w:t>
            </w:r>
          </w:p>
        </w:tc>
        <w:tc>
          <w:tcPr>
            <w:tcW w:w="86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auto"/>
              </w:rPr>
              <w:t>118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Deferred income taxes</w:t>
            </w: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(58)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Net gain on sale of assets</w:t>
            </w: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(83)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(Income) loss from investments in unconsolidated affiliates</w:t>
            </w: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Distributions from unconsolidated affiliates</w:t>
            </w:r>
          </w:p>
        </w:tc>
        <w:tc>
          <w:tcPr>
            <w:tcW w:w="86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Non-cash foreign currency exchange (gains) losses</w:t>
            </w: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Other operating activities</w:t>
            </w:r>
          </w:p>
        </w:tc>
        <w:tc>
          <w:tcPr>
            <w:tcW w:w="86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auto"/>
              </w:rPr>
              <w:t>15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97"/>
        </w:trPr>
        <w:tc>
          <w:tcPr>
            <w:tcW w:w="7540" w:type="dxa"/>
            <w:vAlign w:val="bottom"/>
          </w:tcPr>
          <w:p>
            <w:pPr>
              <w:ind w:left="20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9"/>
        </w:trPr>
        <w:tc>
          <w:tcPr>
            <w:tcW w:w="7540" w:type="dxa"/>
            <w:vAlign w:val="bottom"/>
          </w:tcPr>
          <w:p>
            <w:pPr>
              <w:ind w:left="440"/>
              <w:spacing w:after="0"/>
              <w:rPr>
                <w:sz w:val="20"/>
                <w:szCs w:val="20"/>
                <w:color w:val="auto"/>
              </w:rPr>
            </w:pPr>
            <w:r>
              <w:rPr>
                <w:rFonts w:ascii="Arial" w:cs="Arial" w:eastAsia="Arial" w:hAnsi="Arial"/>
                <w:sz w:val="14"/>
                <w:szCs w:val="14"/>
                <w:color w:val="auto"/>
              </w:rPr>
              <w:t>Trade accounts receivable</w:t>
            </w:r>
          </w:p>
        </w:tc>
        <w:tc>
          <w:tcPr>
            <w:tcW w:w="860" w:type="dxa"/>
            <w:vAlign w:val="bottom"/>
          </w:tcPr>
          <w:p>
            <w:pPr>
              <w:spacing w:after="0"/>
              <w:rPr>
                <w:sz w:val="18"/>
                <w:szCs w:val="18"/>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auto"/>
              </w:rPr>
              <w:t>108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(146)</w:t>
            </w:r>
          </w:p>
        </w:tc>
      </w:tr>
      <w:tr>
        <w:trPr>
          <w:trHeight w:val="203"/>
        </w:trPr>
        <w:tc>
          <w:tcPr>
            <w:tcW w:w="7540" w:type="dxa"/>
            <w:vAlign w:val="bottom"/>
          </w:tcPr>
          <w:p>
            <w:pPr>
              <w:ind w:left="440"/>
              <w:spacing w:after="0"/>
              <w:rPr>
                <w:sz w:val="20"/>
                <w:szCs w:val="20"/>
                <w:color w:val="auto"/>
              </w:rPr>
            </w:pPr>
            <w:r>
              <w:rPr>
                <w:rFonts w:ascii="Arial" w:cs="Arial" w:eastAsia="Arial" w:hAnsi="Arial"/>
                <w:sz w:val="14"/>
                <w:szCs w:val="14"/>
                <w:color w:val="auto"/>
              </w:rPr>
              <w:t>Prepaid expenses and other assets</w:t>
            </w: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(175)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(465)</w:t>
            </w:r>
          </w:p>
        </w:tc>
      </w:tr>
      <w:tr>
        <w:trPr>
          <w:trHeight w:val="203"/>
        </w:trPr>
        <w:tc>
          <w:tcPr>
            <w:tcW w:w="7540" w:type="dxa"/>
            <w:vAlign w:val="bottom"/>
          </w:tcPr>
          <w:p>
            <w:pPr>
              <w:ind w:left="440"/>
              <w:spacing w:after="0"/>
              <w:rPr>
                <w:sz w:val="20"/>
                <w:szCs w:val="20"/>
                <w:color w:val="auto"/>
              </w:rPr>
            </w:pPr>
            <w:r>
              <w:rPr>
                <w:rFonts w:ascii="Arial" w:cs="Arial" w:eastAsia="Arial" w:hAnsi="Arial"/>
                <w:sz w:val="14"/>
                <w:szCs w:val="14"/>
                <w:color w:val="auto"/>
              </w:rPr>
              <w:t>Contract costs</w:t>
            </w: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(74)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03"/>
        </w:trPr>
        <w:tc>
          <w:tcPr>
            <w:tcW w:w="7540" w:type="dxa"/>
            <w:vAlign w:val="bottom"/>
          </w:tcPr>
          <w:p>
            <w:pPr>
              <w:ind w:left="440"/>
              <w:spacing w:after="0"/>
              <w:rPr>
                <w:sz w:val="20"/>
                <w:szCs w:val="20"/>
                <w:color w:val="auto"/>
              </w:rPr>
            </w:pPr>
            <w:r>
              <w:rPr>
                <w:rFonts w:ascii="Arial" w:cs="Arial" w:eastAsia="Arial" w:hAnsi="Arial"/>
                <w:sz w:val="14"/>
                <w:szCs w:val="14"/>
                <w:color w:val="auto"/>
              </w:rPr>
              <w:t>Accounts payable and other liabilities</w:t>
            </w: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(606)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(445)</w:t>
            </w:r>
          </w:p>
        </w:tc>
      </w:tr>
      <w:tr>
        <w:trPr>
          <w:trHeight w:val="203"/>
        </w:trPr>
        <w:tc>
          <w:tcPr>
            <w:tcW w:w="7540" w:type="dxa"/>
            <w:vAlign w:val="bottom"/>
          </w:tcPr>
          <w:p>
            <w:pPr>
              <w:ind w:left="440"/>
              <w:spacing w:after="0"/>
              <w:rPr>
                <w:sz w:val="20"/>
                <w:szCs w:val="20"/>
                <w:color w:val="auto"/>
              </w:rPr>
            </w:pPr>
            <w:r>
              <w:rPr>
                <w:rFonts w:ascii="Arial" w:cs="Arial" w:eastAsia="Arial" w:hAnsi="Arial"/>
                <w:sz w:val="14"/>
                <w:szCs w:val="14"/>
                <w:color w:val="auto"/>
              </w:rPr>
              <w:t>Contract liabilities</w:t>
            </w: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196"/>
        </w:trPr>
        <w:tc>
          <w:tcPr>
            <w:tcW w:w="754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599</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648</w:t>
            </w:r>
          </w:p>
        </w:tc>
      </w:tr>
      <w:tr>
        <w:trPr>
          <w:trHeight w:val="237"/>
        </w:trPr>
        <w:tc>
          <w:tcPr>
            <w:tcW w:w="754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Capital expenditures, including capitalized software and other intangibles</w:t>
            </w: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(458)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(335)</w:t>
            </w:r>
          </w:p>
        </w:tc>
      </w:tr>
      <w:tr>
        <w:trPr>
          <w:trHeight w:val="202"/>
        </w:trPr>
        <w:tc>
          <w:tcPr>
            <w:tcW w:w="7540" w:type="dxa"/>
            <w:vAlign w:val="bottom"/>
          </w:tcPr>
          <w:p>
            <w:pPr>
              <w:spacing w:after="0"/>
              <w:rPr>
                <w:sz w:val="20"/>
                <w:szCs w:val="20"/>
                <w:color w:val="auto"/>
              </w:rPr>
            </w:pPr>
            <w:r>
              <w:rPr>
                <w:rFonts w:ascii="Arial" w:cs="Arial" w:eastAsia="Arial" w:hAnsi="Arial"/>
                <w:sz w:val="14"/>
                <w:szCs w:val="14"/>
                <w:color w:val="auto"/>
              </w:rPr>
              <w:t>Proceeds from sale of assets</w:t>
            </w:r>
          </w:p>
        </w:tc>
        <w:tc>
          <w:tcPr>
            <w:tcW w:w="86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auto"/>
              </w:rPr>
              <w:t>187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Merchant cash advances, net</w:t>
            </w:r>
          </w:p>
        </w:tc>
        <w:tc>
          <w:tcPr>
            <w:tcW w:w="86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auto"/>
              </w:rPr>
              <w:t>66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(243)</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Payments for acquisition of businesses, net of cash acquired</w:t>
            </w:r>
          </w:p>
        </w:tc>
        <w:tc>
          <w:tcPr>
            <w:tcW w:w="86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(316)</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Distributions from unconsolidated affiliates</w:t>
            </w:r>
          </w:p>
        </w:tc>
        <w:tc>
          <w:tcPr>
            <w:tcW w:w="86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Purchases of investments</w:t>
            </w: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Proceeds from sale of investments</w:t>
            </w:r>
          </w:p>
        </w:tc>
        <w:tc>
          <w:tcPr>
            <w:tcW w:w="86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Other investing activities</w:t>
            </w: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7540" w:type="dxa"/>
            <w:vAlign w:val="bottom"/>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w:t>
            </w:r>
          </w:p>
        </w:tc>
      </w:tr>
      <w:tr>
        <w:trPr>
          <w:trHeight w:val="236"/>
        </w:trPr>
        <w:tc>
          <w:tcPr>
            <w:tcW w:w="754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Debt proceeds</w:t>
            </w:r>
          </w:p>
        </w:tc>
        <w:tc>
          <w:tcPr>
            <w:tcW w:w="86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auto"/>
              </w:rPr>
              <w:t>409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776</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Debt repayments</w:t>
            </w: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(633)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(955)</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Net borrowings from commercial paper and short-term borrowings</w:t>
            </w:r>
          </w:p>
        </w:tc>
        <w:tc>
          <w:tcPr>
            <w:tcW w:w="86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auto"/>
              </w:rPr>
              <w:t>107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2,696</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Proceeds from issuance of treasury stock</w:t>
            </w:r>
          </w:p>
        </w:tc>
        <w:tc>
          <w:tcPr>
            <w:tcW w:w="86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Purchases of treasury stock, including employee shares withheld for tax obligations</w:t>
            </w: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(240)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(2,352)</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Settlement activity, net</w:t>
            </w: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(578)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434</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Other financing activities</w:t>
            </w:r>
          </w:p>
        </w:tc>
        <w:tc>
          <w:tcPr>
            <w:tcW w:w="86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96"/>
        </w:trPr>
        <w:tc>
          <w:tcPr>
            <w:tcW w:w="7540" w:type="dxa"/>
            <w:vAlign w:val="bottom"/>
          </w:tcPr>
          <w:p>
            <w:pPr>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86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(923)</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627</w:t>
            </w:r>
          </w:p>
        </w:tc>
      </w:tr>
      <w:tr>
        <w:trPr>
          <w:trHeight w:val="196"/>
        </w:trPr>
        <w:tc>
          <w:tcPr>
            <w:tcW w:w="754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r>
      <w:tr>
        <w:trPr>
          <w:trHeight w:val="196"/>
        </w:trPr>
        <w:tc>
          <w:tcPr>
            <w:tcW w:w="7540" w:type="dxa"/>
            <w:vAlign w:val="bottom"/>
          </w:tcPr>
          <w:p>
            <w:pPr>
              <w:spacing w:after="0"/>
              <w:rPr>
                <w:sz w:val="20"/>
                <w:szCs w:val="20"/>
                <w:color w:val="auto"/>
              </w:rPr>
            </w:pPr>
            <w:r>
              <w:rPr>
                <w:rFonts w:ascii="Arial" w:cs="Arial" w:eastAsia="Arial" w:hAnsi="Arial"/>
                <w:sz w:val="14"/>
                <w:szCs w:val="14"/>
                <w:color w:val="auto"/>
              </w:rPr>
              <w:t>Net change in cash and cash equivalents</w:t>
            </w: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(552)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376</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Cash and cash equivalents, beginning balance</w:t>
            </w: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2,802</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2,993</w:t>
            </w:r>
          </w:p>
        </w:tc>
      </w:tr>
      <w:tr>
        <w:trPr>
          <w:trHeight w:val="197"/>
        </w:trPr>
        <w:tc>
          <w:tcPr>
            <w:tcW w:w="7540" w:type="dxa"/>
            <w:vAlign w:val="bottom"/>
          </w:tcPr>
          <w:p>
            <w:pPr>
              <w:spacing w:after="0"/>
              <w:rPr>
                <w:sz w:val="20"/>
                <w:szCs w:val="20"/>
                <w:color w:val="auto"/>
              </w:rPr>
            </w:pPr>
            <w:r>
              <w:rPr>
                <w:rFonts w:ascii="Arial" w:cs="Arial" w:eastAsia="Arial" w:hAnsi="Arial"/>
                <w:sz w:val="14"/>
                <w:szCs w:val="14"/>
                <w:b w:val="1"/>
                <w:bCs w:val="1"/>
                <w:color w:val="auto"/>
              </w:rPr>
              <w:t>Cash and cash equivalents, ending balance</w:t>
            </w: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2,250</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3,369</w:t>
            </w:r>
          </w:p>
        </w:tc>
      </w:tr>
      <w:tr>
        <w:trPr>
          <w:trHeight w:val="21"/>
        </w:trPr>
        <w:tc>
          <w:tcPr>
            <w:tcW w:w="7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620"/>
          </w:cols>
          <w:pgMar w:left="380" w:top="1231"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0620"/>
          </w:cols>
          <w:pgMar w:left="380" w:top="1231" w:right="899" w:bottom="1440" w:gutter="0" w:footer="0" w:header="0"/>
          <w:type w:val="continuous"/>
        </w:sectPr>
      </w:pPr>
    </w:p>
    <w:bookmarkStart w:id="15" w:name="page16"/>
    <w:bookmarkEnd w:id="15"/>
    <w:p>
      <w:pPr>
        <w:ind w:left="2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Fiserv, Inc.</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 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8"/>
                <w:szCs w:val="18"/>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7"/>
        </w:trPr>
        <w:tc>
          <w:tcPr>
            <w:tcW w:w="778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195"/>
        </w:trPr>
        <w:tc>
          <w:tcPr>
            <w:tcW w:w="7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829</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Trade accounts receivable – net</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3,882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3,981</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3,411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3,396</w:t>
            </w:r>
          </w:p>
        </w:tc>
        <w:tc>
          <w:tcPr>
            <w:tcW w:w="0" w:type="dxa"/>
            <w:vAlign w:val="bottom"/>
          </w:tcPr>
          <w:p>
            <w:pPr>
              <w:spacing w:after="0"/>
              <w:rPr>
                <w:sz w:val="1"/>
                <w:szCs w:val="1"/>
                <w:color w:val="auto"/>
              </w:rPr>
            </w:pPr>
          </w:p>
        </w:tc>
      </w:tr>
      <w:tr>
        <w:trPr>
          <w:trHeight w:val="217"/>
        </w:trPr>
        <w:tc>
          <w:tcPr>
            <w:tcW w:w="7780" w:type="dxa"/>
            <w:vAlign w:val="bottom"/>
          </w:tcPr>
          <w:p>
            <w:pPr>
              <w:spacing w:after="0"/>
              <w:rPr>
                <w:sz w:val="20"/>
                <w:szCs w:val="20"/>
                <w:color w:val="auto"/>
              </w:rPr>
            </w:pPr>
            <w:r>
              <w:rPr>
                <w:rFonts w:ascii="Arial" w:cs="Arial" w:eastAsia="Arial" w:hAnsi="Arial"/>
                <w:sz w:val="16"/>
                <w:szCs w:val="16"/>
                <w:color w:val="auto"/>
              </w:rPr>
              <w:t>Settlement assets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16,660</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16,479</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b w:val="1"/>
                <w:bCs w:val="1"/>
                <w:color w:val="auto"/>
              </w:rPr>
              <w:t>Total current assets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24,782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24,654</w:t>
            </w:r>
          </w:p>
        </w:tc>
        <w:tc>
          <w:tcPr>
            <w:tcW w:w="0" w:type="dxa"/>
            <w:vAlign w:val="bottom"/>
          </w:tcPr>
          <w:p>
            <w:pPr>
              <w:spacing w:after="0"/>
              <w:rPr>
                <w:sz w:val="1"/>
                <w:szCs w:val="1"/>
                <w:color w:val="auto"/>
              </w:rPr>
            </w:pPr>
          </w:p>
        </w:tc>
      </w:tr>
      <w:tr>
        <w:trPr>
          <w:trHeight w:val="371"/>
        </w:trPr>
        <w:tc>
          <w:tcPr>
            <w:tcW w:w="7780" w:type="dxa"/>
            <w:vAlign w:val="bottom"/>
          </w:tcPr>
          <w:p>
            <w:pPr>
              <w:spacing w:after="0"/>
              <w:rPr>
                <w:sz w:val="20"/>
                <w:szCs w:val="20"/>
                <w:color w:val="auto"/>
              </w:rPr>
            </w:pPr>
            <w:r>
              <w:rPr>
                <w:rFonts w:ascii="Arial" w:cs="Arial" w:eastAsia="Arial" w:hAnsi="Arial"/>
                <w:sz w:val="16"/>
                <w:szCs w:val="16"/>
                <w:color w:val="auto"/>
              </w:rPr>
              <w:t>Property and equipment – net</w:t>
            </w:r>
          </w:p>
        </w:tc>
        <w:tc>
          <w:tcPr>
            <w:tcW w:w="2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3,225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3,084</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Customer relationships – net</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4,828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5,093</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Other intangible assets – net</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5,154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5,068</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37,602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37,703</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Contract costs – net</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1,056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1,039</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Investments in unconsolidated affiliates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1,028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17"/>
        </w:trPr>
        <w:tc>
          <w:tcPr>
            <w:tcW w:w="7780" w:type="dxa"/>
            <w:vAlign w:val="bottom"/>
          </w:tcPr>
          <w:p>
            <w:pPr>
              <w:spacing w:after="0"/>
              <w:rPr>
                <w:sz w:val="20"/>
                <w:szCs w:val="20"/>
                <w:color w:val="auto"/>
              </w:rPr>
            </w:pPr>
            <w:r>
              <w:rPr>
                <w:rFonts w:ascii="Arial" w:cs="Arial" w:eastAsia="Arial" w:hAnsi="Arial"/>
                <w:sz w:val="16"/>
                <w:szCs w:val="16"/>
                <w:color w:val="auto"/>
              </w:rPr>
              <w:t>Other long-term assets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2,873</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2,446</w:t>
            </w:r>
          </w:p>
        </w:tc>
        <w:tc>
          <w:tcPr>
            <w:tcW w:w="0" w:type="dxa"/>
            <w:vAlign w:val="bottom"/>
          </w:tcPr>
          <w:p>
            <w:pPr>
              <w:spacing w:after="0"/>
              <w:rPr>
                <w:sz w:val="1"/>
                <w:szCs w:val="1"/>
                <w:color w:val="auto"/>
              </w:rPr>
            </w:pPr>
          </w:p>
        </w:tc>
      </w:tr>
      <w:tr>
        <w:trPr>
          <w:trHeight w:val="209"/>
        </w:trPr>
        <w:tc>
          <w:tcPr>
            <w:tcW w:w="778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80,548</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80,133</w:t>
            </w:r>
          </w:p>
        </w:tc>
        <w:tc>
          <w:tcPr>
            <w:tcW w:w="0" w:type="dxa"/>
            <w:vAlign w:val="bottom"/>
          </w:tcPr>
          <w:p>
            <w:pPr>
              <w:spacing w:after="0"/>
              <w:rPr>
                <w:sz w:val="1"/>
                <w:szCs w:val="1"/>
                <w:color w:val="auto"/>
              </w:rPr>
            </w:pPr>
          </w:p>
        </w:tc>
      </w:tr>
      <w:tr>
        <w:trPr>
          <w:trHeight w:val="21"/>
        </w:trPr>
        <w:tc>
          <w:tcPr>
            <w:tcW w:w="778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7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Accounts payable and other current liabilities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4,591</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5,307</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Short-term and current maturities of long-term debt</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1,323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1,239</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Contract liabilities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844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217"/>
        </w:trPr>
        <w:tc>
          <w:tcPr>
            <w:tcW w:w="7780" w:type="dxa"/>
            <w:vAlign w:val="bottom"/>
          </w:tcPr>
          <w:p>
            <w:pPr>
              <w:spacing w:after="0"/>
              <w:rPr>
                <w:sz w:val="20"/>
                <w:szCs w:val="20"/>
                <w:color w:val="auto"/>
              </w:rPr>
            </w:pPr>
            <w:r>
              <w:rPr>
                <w:rFonts w:ascii="Arial" w:cs="Arial" w:eastAsia="Arial" w:hAnsi="Arial"/>
                <w:sz w:val="16"/>
                <w:szCs w:val="16"/>
                <w:color w:val="auto"/>
              </w:rPr>
              <w:t>Settlement obligations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16,660</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16,479</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b w:val="1"/>
                <w:bCs w:val="1"/>
                <w:color w:val="auto"/>
              </w:rPr>
              <w:t>Total current liabilities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23,418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23,890</w:t>
            </w:r>
          </w:p>
        </w:tc>
        <w:tc>
          <w:tcPr>
            <w:tcW w:w="0" w:type="dxa"/>
            <w:vAlign w:val="bottom"/>
          </w:tcPr>
          <w:p>
            <w:pPr>
              <w:spacing w:after="0"/>
              <w:rPr>
                <w:sz w:val="1"/>
                <w:szCs w:val="1"/>
                <w:color w:val="auto"/>
              </w:rPr>
            </w:pPr>
          </w:p>
        </w:tc>
      </w:tr>
      <w:tr>
        <w:trPr>
          <w:trHeight w:val="371"/>
        </w:trPr>
        <w:tc>
          <w:tcPr>
            <w:tcW w:w="7780" w:type="dxa"/>
            <w:vAlign w:val="bottom"/>
          </w:tcPr>
          <w:p>
            <w:pPr>
              <w:spacing w:after="0"/>
              <w:rPr>
                <w:sz w:val="20"/>
                <w:szCs w:val="20"/>
                <w:color w:val="auto"/>
              </w:rPr>
            </w:pPr>
            <w:r>
              <w:rPr>
                <w:rFonts w:ascii="Arial" w:cs="Arial" w:eastAsia="Arial" w:hAnsi="Arial"/>
                <w:sz w:val="16"/>
                <w:szCs w:val="16"/>
                <w:color w:val="auto"/>
              </w:rPr>
              <w:t>Long-term debt</w:t>
            </w:r>
          </w:p>
        </w:tc>
        <w:tc>
          <w:tcPr>
            <w:tcW w:w="2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27,859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27,758</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1,688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1,478</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Long-term contract liabilities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243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7"/>
        </w:trPr>
        <w:tc>
          <w:tcPr>
            <w:tcW w:w="778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1,119</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b w:val="1"/>
                <w:bCs w:val="1"/>
                <w:color w:val="auto"/>
              </w:rPr>
              <w:t>Total liabilities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54,327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54,324</w:t>
            </w:r>
          </w:p>
        </w:tc>
        <w:tc>
          <w:tcPr>
            <w:tcW w:w="0" w:type="dxa"/>
            <w:vAlign w:val="bottom"/>
          </w:tcPr>
          <w:p>
            <w:pPr>
              <w:spacing w:after="0"/>
              <w:rPr>
                <w:sz w:val="1"/>
                <w:szCs w:val="1"/>
                <w:color w:val="auto"/>
              </w:rPr>
            </w:pPr>
          </w:p>
        </w:tc>
      </w:tr>
      <w:tr>
        <w:trPr>
          <w:trHeight w:val="371"/>
        </w:trPr>
        <w:tc>
          <w:tcPr>
            <w:tcW w:w="7780" w:type="dxa"/>
            <w:vAlign w:val="bottom"/>
          </w:tcPr>
          <w:p>
            <w:pPr>
              <w:spacing w:after="0"/>
              <w:rPr>
                <w:sz w:val="20"/>
                <w:szCs w:val="20"/>
                <w:color w:val="auto"/>
              </w:rPr>
            </w:pPr>
            <w:r>
              <w:rPr>
                <w:rFonts w:ascii="Arial" w:cs="Arial" w:eastAsia="Arial" w:hAnsi="Arial"/>
                <w:sz w:val="16"/>
                <w:szCs w:val="16"/>
                <w:color w:val="auto"/>
              </w:rPr>
              <w:t>Fiserv shareholders’ equity</w:t>
            </w:r>
          </w:p>
        </w:tc>
        <w:tc>
          <w:tcPr>
            <w:tcW w:w="2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26,201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25,792</w:t>
            </w:r>
          </w:p>
        </w:tc>
        <w:tc>
          <w:tcPr>
            <w:tcW w:w="0" w:type="dxa"/>
            <w:vAlign w:val="bottom"/>
          </w:tcPr>
          <w:p>
            <w:pPr>
              <w:spacing w:after="0"/>
              <w:rPr>
                <w:sz w:val="1"/>
                <w:szCs w:val="1"/>
                <w:color w:val="auto"/>
              </w:rPr>
            </w:pPr>
          </w:p>
        </w:tc>
      </w:tr>
      <w:tr>
        <w:trPr>
          <w:trHeight w:val="217"/>
        </w:trPr>
        <w:tc>
          <w:tcPr>
            <w:tcW w:w="778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Arial" w:cs="Arial" w:eastAsia="Arial" w:hAnsi="Arial"/>
                <w:sz w:val="16"/>
                <w:szCs w:val="16"/>
                <w:b w:val="1"/>
                <w:bCs w:val="1"/>
                <w:color w:val="auto"/>
              </w:rPr>
              <w:t>Total equity</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26,221</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25,809</w:t>
            </w:r>
          </w:p>
        </w:tc>
        <w:tc>
          <w:tcPr>
            <w:tcW w:w="0" w:type="dxa"/>
            <w:vAlign w:val="bottom"/>
          </w:tcPr>
          <w:p>
            <w:pPr>
              <w:spacing w:after="0"/>
              <w:rPr>
                <w:sz w:val="1"/>
                <w:szCs w:val="1"/>
                <w:color w:val="auto"/>
              </w:rPr>
            </w:pPr>
          </w:p>
        </w:tc>
      </w:tr>
      <w:tr>
        <w:trPr>
          <w:trHeight w:val="209"/>
        </w:trPr>
        <w:tc>
          <w:tcPr>
            <w:tcW w:w="7780" w:type="dxa"/>
            <w:vAlign w:val="bottom"/>
          </w:tcPr>
          <w:p>
            <w:pPr>
              <w:spacing w:after="0"/>
              <w:rPr>
                <w:sz w:val="20"/>
                <w:szCs w:val="20"/>
                <w:color w:val="auto"/>
              </w:rPr>
            </w:pPr>
            <w:r>
              <w:rPr>
                <w:rFonts w:ascii="Arial" w:cs="Arial" w:eastAsia="Arial" w:hAnsi="Arial"/>
                <w:sz w:val="16"/>
                <w:szCs w:val="16"/>
                <w:b w:val="1"/>
                <w:bCs w:val="1"/>
                <w:color w:val="auto"/>
              </w:rPr>
              <w:t>Total liabilities and equity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80,548</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80,133</w:t>
            </w: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80"/>
          </w:cols>
          <w:pgMar w:left="360" w:top="1231" w:right="359" w:bottom="1440" w:gutter="0" w:footer="0" w:header="0"/>
        </w:sectPr>
      </w:pPr>
    </w:p>
    <w:bookmarkStart w:id="16" w:name="page17"/>
    <w:bookmarkEnd w:id="16"/>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Selected Non-GAAP Financial Measures and Additional Information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4"/>
          </w:tcPr>
          <w:p>
            <w:pPr>
              <w:ind w:left="60"/>
              <w:spacing w:after="0" w:line="175" w:lineRule="exact"/>
              <w:rPr>
                <w:sz w:val="20"/>
                <w:szCs w:val="20"/>
                <w:color w:val="auto"/>
              </w:rPr>
            </w:pPr>
            <w:r>
              <w:rPr>
                <w:rFonts w:ascii="Arial" w:cs="Arial" w:eastAsia="Arial" w:hAnsi="Arial"/>
                <w:sz w:val="16"/>
                <w:szCs w:val="16"/>
                <w:color w:val="auto"/>
              </w:rPr>
              <w:t>Three Months Ended</w:t>
            </w:r>
          </w:p>
        </w:tc>
        <w:tc>
          <w:tcPr>
            <w:tcW w:w="1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60"/>
              <w:spacing w:after="0" w:line="216" w:lineRule="exact"/>
              <w:rPr>
                <w:sz w:val="20"/>
                <w:szCs w:val="20"/>
                <w:color w:val="auto"/>
              </w:rPr>
            </w:pPr>
            <w:r>
              <w:rPr>
                <w:rFonts w:ascii="Arial" w:cs="Arial" w:eastAsia="Arial" w:hAnsi="Arial"/>
                <w:sz w:val="16"/>
                <w:szCs w:val="16"/>
                <w:b w:val="1"/>
                <w:bCs w:val="1"/>
                <w:color w:val="auto"/>
              </w:rPr>
              <w:t xml:space="preserve">Organic Revenue </w:t>
            </w:r>
            <w:r>
              <w:rPr>
                <w:rFonts w:ascii="Arial" w:cs="Arial" w:eastAsia="Arial" w:hAnsi="Arial"/>
                <w:sz w:val="21"/>
                <w:szCs w:val="21"/>
                <w:b w:val="1"/>
                <w:bCs w:val="1"/>
                <w:color w:val="auto"/>
                <w:vertAlign w:val="superscript"/>
              </w:rPr>
              <w:t>1</w:t>
            </w: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ind w:left="380"/>
              <w:spacing w:after="0"/>
              <w:rPr>
                <w:sz w:val="20"/>
                <w:szCs w:val="20"/>
                <w:color w:val="auto"/>
              </w:rPr>
            </w:pPr>
            <w:r>
              <w:rPr>
                <w:rFonts w:ascii="Arial" w:cs="Arial" w:eastAsia="Arial" w:hAnsi="Arial"/>
                <w:sz w:val="16"/>
                <w:szCs w:val="16"/>
                <w:color w:val="auto"/>
              </w:rPr>
              <w:t>March 31,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2025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Change</w:t>
            </w:r>
          </w:p>
        </w:tc>
        <w:tc>
          <w:tcPr>
            <w:tcW w:w="0" w:type="dxa"/>
            <w:vAlign w:val="bottom"/>
          </w:tcPr>
          <w:p>
            <w:pPr>
              <w:spacing w:after="0"/>
              <w:rPr>
                <w:sz w:val="1"/>
                <w:szCs w:val="1"/>
                <w:color w:val="auto"/>
              </w:rPr>
            </w:pPr>
          </w:p>
        </w:tc>
      </w:tr>
      <w:tr>
        <w:trPr>
          <w:trHeight w:val="249"/>
        </w:trPr>
        <w:tc>
          <w:tcPr>
            <w:tcW w:w="67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Company</w:t>
            </w:r>
          </w:p>
        </w:tc>
        <w:tc>
          <w:tcPr>
            <w:tcW w:w="9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Adjusted revenue</w:t>
            </w:r>
          </w:p>
        </w:tc>
        <w:tc>
          <w:tcPr>
            <w:tcW w:w="94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4,675</w:t>
            </w:r>
          </w:p>
        </w:tc>
        <w:tc>
          <w:tcPr>
            <w:tcW w:w="1040" w:type="dxa"/>
            <w:vAlign w:val="bottom"/>
            <w:gridSpan w:val="2"/>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4,789</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2</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220"/>
              <w:spacing w:after="0"/>
              <w:rPr>
                <w:sz w:val="20"/>
                <w:szCs w:val="20"/>
                <w:color w:val="auto"/>
              </w:rPr>
            </w:pPr>
            <w:r>
              <w:rPr>
                <w:rFonts w:ascii="Arial" w:cs="Arial" w:eastAsia="Arial" w:hAnsi="Arial"/>
                <w:sz w:val="16"/>
                <w:szCs w:val="16"/>
                <w:color w:val="auto"/>
              </w:rPr>
              <w:t>Acquisition adjustments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(64)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Pr>
          <w:p>
            <w:pPr>
              <w:ind w:left="220"/>
              <w:spacing w:after="0"/>
              <w:rPr>
                <w:sz w:val="20"/>
                <w:szCs w:val="20"/>
                <w:color w:val="auto"/>
              </w:rPr>
            </w:pPr>
            <w:r>
              <w:rPr>
                <w:rFonts w:ascii="Arial" w:cs="Arial" w:eastAsia="Arial" w:hAnsi="Arial"/>
                <w:sz w:val="16"/>
                <w:szCs w:val="16"/>
                <w:color w:val="auto"/>
              </w:rPr>
              <w:t>Organic revenue</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4,617</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4,789</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
        </w:trPr>
        <w:tc>
          <w:tcPr>
            <w:tcW w:w="6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Merchant</w:t>
            </w: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67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Adjusted revenue</w:t>
            </w:r>
          </w:p>
        </w:tc>
        <w:tc>
          <w:tcPr>
            <w:tcW w:w="94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2,373</w:t>
            </w:r>
          </w:p>
        </w:tc>
        <w:tc>
          <w:tcPr>
            <w:tcW w:w="1040" w:type="dxa"/>
            <w:vAlign w:val="bottom"/>
            <w:gridSpan w:val="2"/>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2,372</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2</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220"/>
              <w:spacing w:after="0"/>
              <w:rPr>
                <w:sz w:val="20"/>
                <w:szCs w:val="20"/>
                <w:color w:val="auto"/>
              </w:rPr>
            </w:pPr>
            <w:r>
              <w:rPr>
                <w:rFonts w:ascii="Arial" w:cs="Arial" w:eastAsia="Arial" w:hAnsi="Arial"/>
                <w:sz w:val="16"/>
                <w:szCs w:val="16"/>
                <w:color w:val="auto"/>
              </w:rPr>
              <w:t>Acquisition adjustments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Pr>
          <w:p>
            <w:pPr>
              <w:ind w:left="220"/>
              <w:spacing w:after="0"/>
              <w:rPr>
                <w:sz w:val="20"/>
                <w:szCs w:val="20"/>
                <w:color w:val="auto"/>
              </w:rPr>
            </w:pPr>
            <w:r>
              <w:rPr>
                <w:rFonts w:ascii="Arial" w:cs="Arial" w:eastAsia="Arial" w:hAnsi="Arial"/>
                <w:sz w:val="16"/>
                <w:szCs w:val="16"/>
                <w:color w:val="auto"/>
              </w:rPr>
              <w:t>Organic revenue</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2,338</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2,372</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
        </w:trPr>
        <w:tc>
          <w:tcPr>
            <w:tcW w:w="6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Financial</w:t>
            </w: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67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Adjusted revenue</w:t>
            </w:r>
          </w:p>
        </w:tc>
        <w:tc>
          <w:tcPr>
            <w:tcW w:w="94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2,302</w:t>
            </w:r>
          </w:p>
        </w:tc>
        <w:tc>
          <w:tcPr>
            <w:tcW w:w="1040" w:type="dxa"/>
            <w:vAlign w:val="bottom"/>
            <w:gridSpan w:val="2"/>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2,417</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2</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220"/>
              <w:spacing w:after="0"/>
              <w:rPr>
                <w:sz w:val="20"/>
                <w:szCs w:val="20"/>
                <w:color w:val="auto"/>
              </w:rPr>
            </w:pPr>
            <w:r>
              <w:rPr>
                <w:rFonts w:ascii="Arial" w:cs="Arial" w:eastAsia="Arial" w:hAnsi="Arial"/>
                <w:sz w:val="16"/>
                <w:szCs w:val="16"/>
                <w:color w:val="auto"/>
              </w:rPr>
              <w:t>Acquisition adjustments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Pr>
          <w:p>
            <w:pPr>
              <w:ind w:left="220"/>
              <w:spacing w:after="0"/>
              <w:rPr>
                <w:sz w:val="20"/>
                <w:szCs w:val="20"/>
                <w:color w:val="auto"/>
              </w:rPr>
            </w:pPr>
            <w:r>
              <w:rPr>
                <w:rFonts w:ascii="Arial" w:cs="Arial" w:eastAsia="Arial" w:hAnsi="Arial"/>
                <w:sz w:val="16"/>
                <w:szCs w:val="16"/>
                <w:color w:val="auto"/>
              </w:rPr>
              <w:t>Organic revenue</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2,279</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2,417</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See pages 3-4 for disclosures related to the use of non-GAAP financial measures.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change in organic revenue is calculated using actual, unrounded amounts.</w:t>
      </w:r>
    </w:p>
    <w:p>
      <w:pPr>
        <w:spacing w:after="0" w:line="131" w:lineRule="exact"/>
        <w:rPr>
          <w:sz w:val="20"/>
          <w:szCs w:val="20"/>
          <w:color w:val="auto"/>
        </w:rPr>
      </w:pPr>
    </w:p>
    <w:p>
      <w:pPr>
        <w:ind w:left="180" w:right="180" w:hanging="172"/>
        <w:spacing w:after="0" w:line="222" w:lineRule="auto"/>
        <w:tabs>
          <w:tab w:leader="none" w:pos="178"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The change in organic revenue is measured as the change in adjusted revenue (see pages 9-10) for the current period excluding the impact of foreign currency fluctuations and revenue attributable to acquisitions and any dispositions, divided by adjusted revenue from the prior period excluding revenue attributable to any dispositions.</w:t>
      </w:r>
    </w:p>
    <w:p>
      <w:pPr>
        <w:spacing w:after="0" w:line="94" w:lineRule="exact"/>
        <w:rPr>
          <w:sz w:val="20"/>
          <w:szCs w:val="20"/>
          <w:color w:val="auto"/>
        </w:rPr>
      </w:pPr>
    </w:p>
    <w:p>
      <w:pPr>
        <w:ind w:left="180" w:right="280" w:hanging="172"/>
        <w:spacing w:after="0" w:line="231" w:lineRule="auto"/>
        <w:tabs>
          <w:tab w:leader="none" w:pos="178"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Currency impact is measured as the increase or decrease in adjusted revenue for the current period by applying prior period foreign currency exchange rates to present a constant currency comparison to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231" w:right="339" w:bottom="1440" w:gutter="0" w:footer="0" w:header="0"/>
        </w:sectPr>
      </w:pPr>
    </w:p>
    <w:bookmarkStart w:id="17" w:name="page18"/>
    <w:bookmarkEnd w:id="17"/>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Selected Non-GAAP Financial Measures and Additional Information (cont.)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unaudited)</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8180" w:type="dxa"/>
            <w:vAlign w:val="bottom"/>
            <w:tcBorders>
              <w:top w:val="single" w:sz="8" w:color="auto"/>
            </w:tcBorders>
          </w:tcPr>
          <w:p>
            <w:pPr>
              <w:spacing w:after="0"/>
              <w:rPr>
                <w:sz w:val="15"/>
                <w:szCs w:val="15"/>
                <w:color w:val="auto"/>
              </w:rPr>
            </w:pPr>
          </w:p>
        </w:tc>
        <w:tc>
          <w:tcPr>
            <w:tcW w:w="2520" w:type="dxa"/>
            <w:vAlign w:val="bottom"/>
            <w:tcBorders>
              <w:top w:val="single" w:sz="8" w:color="auto"/>
            </w:tcBorders>
            <w:gridSpan w:val="4"/>
          </w:tcPr>
          <w:p>
            <w:pPr>
              <w:jc w:val="right"/>
              <w:ind w:right="179"/>
              <w:spacing w:after="0" w:line="175" w:lineRule="exact"/>
              <w:rPr>
                <w:sz w:val="20"/>
                <w:szCs w:val="20"/>
                <w:color w:val="auto"/>
              </w:rPr>
            </w:pPr>
            <w:r>
              <w:rPr>
                <w:rFonts w:ascii="Arial" w:cs="Arial" w:eastAsia="Arial" w:hAnsi="Arial"/>
                <w:sz w:val="16"/>
                <w:szCs w:val="16"/>
                <w:color w:val="auto"/>
              </w:rPr>
              <w:t>Three Months Ended</w:t>
            </w:r>
          </w:p>
        </w:tc>
        <w:tc>
          <w:tcPr>
            <w:tcW w:w="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180" w:type="dxa"/>
            <w:vAlign w:val="bottom"/>
          </w:tcPr>
          <w:p>
            <w:pPr>
              <w:spacing w:after="0"/>
              <w:rPr>
                <w:sz w:val="20"/>
                <w:szCs w:val="20"/>
                <w:color w:val="auto"/>
              </w:rPr>
            </w:pPr>
            <w:r>
              <w:rPr>
                <w:rFonts w:ascii="Arial" w:cs="Arial" w:eastAsia="Arial" w:hAnsi="Arial"/>
                <w:sz w:val="16"/>
                <w:szCs w:val="16"/>
                <w:b w:val="1"/>
                <w:bCs w:val="1"/>
                <w:color w:val="auto"/>
              </w:rPr>
              <w:t>Free Cash Flow</w:t>
            </w:r>
          </w:p>
        </w:tc>
        <w:tc>
          <w:tcPr>
            <w:tcW w:w="980" w:type="dxa"/>
            <w:vAlign w:val="bottom"/>
          </w:tcPr>
          <w:p>
            <w:pPr>
              <w:spacing w:after="0"/>
              <w:rPr>
                <w:sz w:val="18"/>
                <w:szCs w:val="18"/>
                <w:color w:val="auto"/>
              </w:rPr>
            </w:pPr>
          </w:p>
        </w:tc>
        <w:tc>
          <w:tcPr>
            <w:tcW w:w="1540" w:type="dxa"/>
            <w:vAlign w:val="bottom"/>
            <w:gridSpan w:val="3"/>
          </w:tcPr>
          <w:p>
            <w:pPr>
              <w:jc w:val="right"/>
              <w:ind w:right="579"/>
              <w:spacing w:after="0"/>
              <w:rPr>
                <w:sz w:val="20"/>
                <w:szCs w:val="20"/>
                <w:color w:val="auto"/>
              </w:rPr>
            </w:pPr>
            <w:r>
              <w:rPr>
                <w:rFonts w:ascii="Arial" w:cs="Arial" w:eastAsia="Arial" w:hAnsi="Arial"/>
                <w:sz w:val="16"/>
                <w:szCs w:val="16"/>
                <w:color w:val="auto"/>
              </w:rPr>
              <w:t>March 31,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2025</w:t>
            </w: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180" w:type="dxa"/>
            <w:vAlign w:val="bottom"/>
          </w:tcPr>
          <w:p>
            <w:pPr>
              <w:spacing w:after="0"/>
              <w:rPr>
                <w:sz w:val="20"/>
                <w:szCs w:val="20"/>
                <w:color w:val="auto"/>
              </w:rPr>
            </w:pPr>
            <w:r>
              <w:rPr>
                <w:rFonts w:ascii="Arial" w:cs="Arial" w:eastAsia="Arial" w:hAnsi="Arial"/>
                <w:sz w:val="16"/>
                <w:szCs w:val="16"/>
                <w:color w:val="auto"/>
              </w:rPr>
              <w:t>Net cash provided by operating activities</w:t>
            </w:r>
          </w:p>
        </w:tc>
        <w:tc>
          <w:tcPr>
            <w:tcW w:w="980" w:type="dxa"/>
            <w:vAlign w:val="bottom"/>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599</w:t>
            </w:r>
          </w:p>
        </w:tc>
        <w:tc>
          <w:tcPr>
            <w:tcW w:w="80" w:type="dxa"/>
            <w:vAlign w:val="bottom"/>
          </w:tcPr>
          <w:p>
            <w:pPr>
              <w:spacing w:after="0"/>
              <w:rPr>
                <w:sz w:val="22"/>
                <w:szCs w:val="22"/>
                <w:color w:val="auto"/>
              </w:rPr>
            </w:pP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42"/>
        </w:trPr>
        <w:tc>
          <w:tcPr>
            <w:tcW w:w="8180" w:type="dxa"/>
            <w:vAlign w:val="bottom"/>
          </w:tcPr>
          <w:p>
            <w:pPr>
              <w:spacing w:after="0"/>
              <w:rPr>
                <w:sz w:val="20"/>
                <w:szCs w:val="20"/>
                <w:color w:val="auto"/>
              </w:rPr>
            </w:pPr>
            <w:r>
              <w:rPr>
                <w:rFonts w:ascii="Arial" w:cs="Arial" w:eastAsia="Arial" w:hAnsi="Arial"/>
                <w:sz w:val="16"/>
                <w:szCs w:val="16"/>
                <w:color w:val="auto"/>
              </w:rPr>
              <w:t>Capital expenditures</w:t>
            </w: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(458)</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6"/>
                <w:szCs w:val="16"/>
                <w:color w:val="auto"/>
              </w:rPr>
              <w:t>Adjustments:</w:t>
            </w:r>
          </w:p>
        </w:tc>
        <w:tc>
          <w:tcPr>
            <w:tcW w:w="980" w:type="dxa"/>
            <w:vAlign w:val="bottom"/>
          </w:tcPr>
          <w:p>
            <w:pPr>
              <w:spacing w:after="0"/>
              <w:rPr>
                <w:sz w:val="19"/>
                <w:szCs w:val="19"/>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180" w:type="dxa"/>
            <w:vAlign w:val="bottom"/>
          </w:tcPr>
          <w:p>
            <w:pPr>
              <w:ind w:left="200"/>
              <w:spacing w:after="0"/>
              <w:rPr>
                <w:sz w:val="20"/>
                <w:szCs w:val="20"/>
                <w:color w:val="auto"/>
              </w:rPr>
            </w:pPr>
            <w:r>
              <w:rPr>
                <w:rFonts w:ascii="Arial" w:cs="Arial" w:eastAsia="Arial" w:hAnsi="Arial"/>
                <w:sz w:val="16"/>
                <w:szCs w:val="16"/>
                <w:color w:val="auto"/>
              </w:rPr>
              <w:t>Distributions from unconsolidated affiliates included in cash flows from investing activities</w:t>
            </w:r>
          </w:p>
        </w:tc>
        <w:tc>
          <w:tcPr>
            <w:tcW w:w="98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0"/>
              <w:spacing w:after="0"/>
              <w:rPr>
                <w:sz w:val="20"/>
                <w:szCs w:val="20"/>
                <w:color w:val="auto"/>
              </w:rPr>
            </w:pPr>
            <w:r>
              <w:rPr>
                <w:rFonts w:ascii="Arial" w:cs="Arial" w:eastAsia="Arial" w:hAnsi="Arial"/>
                <w:sz w:val="16"/>
                <w:szCs w:val="16"/>
                <w:color w:val="auto"/>
              </w:rPr>
              <w:t>Severance, merger and integration payments</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46</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6"/>
        </w:trPr>
        <w:tc>
          <w:tcPr>
            <w:tcW w:w="8180" w:type="dxa"/>
            <w:vAlign w:val="bottom"/>
          </w:tcPr>
          <w:p>
            <w:pPr>
              <w:ind w:left="200"/>
              <w:spacing w:after="0"/>
              <w:rPr>
                <w:sz w:val="20"/>
                <w:szCs w:val="20"/>
                <w:color w:val="auto"/>
              </w:rPr>
            </w:pPr>
            <w:r>
              <w:rPr>
                <w:rFonts w:ascii="Arial" w:cs="Arial" w:eastAsia="Arial" w:hAnsi="Arial"/>
                <w:sz w:val="16"/>
                <w:szCs w:val="16"/>
                <w:color w:val="auto"/>
              </w:rPr>
              <w:t>One Fiserv transformation program payments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95</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180" w:type="dxa"/>
            <w:vAlign w:val="bottom"/>
          </w:tcPr>
          <w:p>
            <w:pPr>
              <w:ind w:left="200"/>
              <w:spacing w:after="0"/>
              <w:rPr>
                <w:sz w:val="20"/>
                <w:szCs w:val="20"/>
                <w:color w:val="auto"/>
              </w:rPr>
            </w:pPr>
            <w:r>
              <w:rPr>
                <w:rFonts w:ascii="Arial" w:cs="Arial" w:eastAsia="Arial" w:hAnsi="Arial"/>
                <w:sz w:val="16"/>
                <w:szCs w:val="16"/>
                <w:color w:val="auto"/>
              </w:rPr>
              <w:t>Tax payments on adjustments</w:t>
            </w: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w:t>
            </w:r>
          </w:p>
        </w:tc>
        <w:tc>
          <w:tcPr>
            <w:tcW w:w="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9"/>
        </w:trPr>
        <w:tc>
          <w:tcPr>
            <w:tcW w:w="8180" w:type="dxa"/>
            <w:vAlign w:val="bottom"/>
          </w:tcPr>
          <w:p>
            <w:pPr>
              <w:ind w:left="460"/>
              <w:spacing w:after="0"/>
              <w:rPr>
                <w:sz w:val="20"/>
                <w:szCs w:val="20"/>
                <w:color w:val="auto"/>
              </w:rPr>
            </w:pPr>
            <w:r>
              <w:rPr>
                <w:rFonts w:ascii="Arial" w:cs="Arial" w:eastAsia="Arial" w:hAnsi="Arial"/>
                <w:sz w:val="16"/>
                <w:szCs w:val="16"/>
                <w:color w:val="auto"/>
              </w:rPr>
              <w:t>Free cash flow</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259</w:t>
            </w: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2580" w:type="dxa"/>
            <w:vAlign w:val="bottom"/>
            <w:gridSpan w:val="4"/>
          </w:tcPr>
          <w:p>
            <w:pPr>
              <w:jc w:val="right"/>
              <w:ind w:right="219"/>
              <w:spacing w:after="0"/>
              <w:rPr>
                <w:sz w:val="20"/>
                <w:szCs w:val="20"/>
                <w:color w:val="auto"/>
              </w:rPr>
            </w:pPr>
            <w:r>
              <w:rPr>
                <w:rFonts w:ascii="Arial" w:cs="Arial" w:eastAsia="Arial" w:hAnsi="Arial"/>
                <w:sz w:val="16"/>
                <w:szCs w:val="16"/>
                <w:color w:val="auto"/>
              </w:rPr>
              <w:t>Three Months Ended</w:t>
            </w:r>
          </w:p>
        </w:tc>
        <w:tc>
          <w:tcPr>
            <w:tcW w:w="440" w:type="dxa"/>
            <w:vAlign w:val="bottom"/>
          </w:tcPr>
          <w:p>
            <w:pPr>
              <w:spacing w:after="0"/>
              <w:rPr>
                <w:sz w:val="16"/>
                <w:szCs w:val="16"/>
                <w:color w:val="auto"/>
              </w:rPr>
            </w:pPr>
          </w:p>
        </w:tc>
      </w:tr>
      <w:tr>
        <w:trPr>
          <w:trHeight w:val="256"/>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 xml:space="preserve">Total Amortization </w:t>
            </w:r>
            <w:r>
              <w:rPr>
                <w:rFonts w:ascii="Arial" w:cs="Arial" w:eastAsia="Arial" w:hAnsi="Arial"/>
                <w:sz w:val="21"/>
                <w:szCs w:val="21"/>
                <w:b w:val="1"/>
                <w:bCs w:val="1"/>
                <w:color w:val="auto"/>
                <w:vertAlign w:val="superscript"/>
              </w:rPr>
              <w:t>1</w:t>
            </w:r>
          </w:p>
        </w:tc>
        <w:tc>
          <w:tcPr>
            <w:tcW w:w="1020" w:type="dxa"/>
            <w:vAlign w:val="bottom"/>
          </w:tcPr>
          <w:p>
            <w:pPr>
              <w:spacing w:after="0"/>
              <w:rPr>
                <w:sz w:val="22"/>
                <w:szCs w:val="22"/>
                <w:color w:val="auto"/>
              </w:rPr>
            </w:pPr>
          </w:p>
        </w:tc>
        <w:tc>
          <w:tcPr>
            <w:tcW w:w="1560" w:type="dxa"/>
            <w:vAlign w:val="bottom"/>
            <w:gridSpan w:val="3"/>
          </w:tcPr>
          <w:p>
            <w:pPr>
              <w:jc w:val="right"/>
              <w:ind w:right="619"/>
              <w:spacing w:after="0"/>
              <w:rPr>
                <w:sz w:val="20"/>
                <w:szCs w:val="20"/>
                <w:color w:val="auto"/>
              </w:rPr>
            </w:pPr>
            <w:r>
              <w:rPr>
                <w:rFonts w:ascii="Arial" w:cs="Arial" w:eastAsia="Arial" w:hAnsi="Arial"/>
                <w:sz w:val="16"/>
                <w:szCs w:val="16"/>
                <w:color w:val="auto"/>
              </w:rPr>
              <w:t>March 31,</w:t>
            </w:r>
          </w:p>
        </w:tc>
        <w:tc>
          <w:tcPr>
            <w:tcW w:w="440" w:type="dxa"/>
            <w:vAlign w:val="bottom"/>
          </w:tcPr>
          <w:p>
            <w:pPr>
              <w:spacing w:after="0"/>
              <w:rPr>
                <w:sz w:val="22"/>
                <w:szCs w:val="22"/>
                <w:color w:val="auto"/>
              </w:rPr>
            </w:pPr>
          </w:p>
        </w:tc>
      </w:tr>
      <w:tr>
        <w:trPr>
          <w:trHeight w:val="217"/>
        </w:trPr>
        <w:tc>
          <w:tcPr>
            <w:tcW w:w="8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2026</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2025</w:t>
            </w:r>
          </w:p>
        </w:tc>
        <w:tc>
          <w:tcPr>
            <w:tcW w:w="440" w:type="dxa"/>
            <w:vAlign w:val="bottom"/>
            <w:tcBorders>
              <w:bottom w:val="single" w:sz="8" w:color="auto"/>
            </w:tcBorders>
          </w:tcPr>
          <w:p>
            <w:pPr>
              <w:spacing w:after="0"/>
              <w:rPr>
                <w:sz w:val="18"/>
                <w:szCs w:val="18"/>
                <w:color w:val="auto"/>
              </w:rPr>
            </w:pPr>
          </w:p>
        </w:tc>
      </w:tr>
      <w:tr>
        <w:trPr>
          <w:trHeight w:val="249"/>
        </w:trPr>
        <w:tc>
          <w:tcPr>
            <w:tcW w:w="8220" w:type="dxa"/>
            <w:vAlign w:val="bottom"/>
          </w:tcPr>
          <w:p>
            <w:pPr>
              <w:ind w:left="20"/>
              <w:spacing w:after="0"/>
              <w:rPr>
                <w:sz w:val="20"/>
                <w:szCs w:val="20"/>
                <w:color w:val="auto"/>
              </w:rPr>
            </w:pPr>
            <w:r>
              <w:rPr>
                <w:rFonts w:ascii="Arial" w:cs="Arial" w:eastAsia="Arial" w:hAnsi="Arial"/>
                <w:sz w:val="16"/>
                <w:szCs w:val="16"/>
                <w:color w:val="auto"/>
              </w:rPr>
              <w:t>Acquisition-related intangible assets</w:t>
            </w:r>
          </w:p>
        </w:tc>
        <w:tc>
          <w:tcPr>
            <w:tcW w:w="1020" w:type="dxa"/>
            <w:vAlign w:val="bottom"/>
          </w:tcPr>
          <w:p>
            <w:pPr>
              <w:jc w:val="right"/>
              <w:ind w:right="819"/>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311</w:t>
            </w:r>
          </w:p>
        </w:tc>
        <w:tc>
          <w:tcPr>
            <w:tcW w:w="100" w:type="dxa"/>
            <w:vAlign w:val="bottom"/>
          </w:tcPr>
          <w:p>
            <w:pPr>
              <w:spacing w:after="0"/>
              <w:rPr>
                <w:sz w:val="21"/>
                <w:szCs w:val="21"/>
                <w:color w:val="auto"/>
              </w:rPr>
            </w:pP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16"/>
        </w:trPr>
        <w:tc>
          <w:tcPr>
            <w:tcW w:w="8220" w:type="dxa"/>
            <w:vAlign w:val="bottom"/>
          </w:tcPr>
          <w:p>
            <w:pPr>
              <w:ind w:left="20"/>
              <w:spacing w:after="0"/>
              <w:rPr>
                <w:sz w:val="20"/>
                <w:szCs w:val="20"/>
                <w:color w:val="auto"/>
              </w:rPr>
            </w:pPr>
            <w:r>
              <w:rPr>
                <w:rFonts w:ascii="Arial" w:cs="Arial" w:eastAsia="Arial" w:hAnsi="Arial"/>
                <w:sz w:val="16"/>
                <w:szCs w:val="16"/>
                <w:color w:val="auto"/>
              </w:rPr>
              <w:t>Capitalized software and other intangibles</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209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16"/>
        </w:trPr>
        <w:tc>
          <w:tcPr>
            <w:tcW w:w="8220" w:type="dxa"/>
            <w:vAlign w:val="bottom"/>
          </w:tcPr>
          <w:p>
            <w:pPr>
              <w:ind w:left="20"/>
              <w:spacing w:after="0"/>
              <w:rPr>
                <w:sz w:val="20"/>
                <w:szCs w:val="20"/>
                <w:color w:val="auto"/>
              </w:rPr>
            </w:pPr>
            <w:r>
              <w:rPr>
                <w:rFonts w:ascii="Arial" w:cs="Arial" w:eastAsia="Arial" w:hAnsi="Arial"/>
                <w:sz w:val="16"/>
                <w:szCs w:val="16"/>
                <w:color w:val="auto"/>
              </w:rPr>
              <w:t>Purchased software</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53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6"/>
        </w:trPr>
        <w:tc>
          <w:tcPr>
            <w:tcW w:w="8220" w:type="dxa"/>
            <w:vAlign w:val="bottom"/>
          </w:tcPr>
          <w:p>
            <w:pPr>
              <w:ind w:left="20"/>
              <w:spacing w:after="0"/>
              <w:rPr>
                <w:sz w:val="20"/>
                <w:szCs w:val="20"/>
                <w:color w:val="auto"/>
              </w:rPr>
            </w:pPr>
            <w:r>
              <w:rPr>
                <w:rFonts w:ascii="Arial" w:cs="Arial" w:eastAsia="Arial" w:hAnsi="Arial"/>
                <w:sz w:val="16"/>
                <w:szCs w:val="16"/>
                <w:color w:val="auto"/>
              </w:rPr>
              <w:t>Financing costs and debt discounts</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8220" w:type="dxa"/>
            <w:vAlign w:val="bottom"/>
          </w:tcPr>
          <w:p>
            <w:pPr>
              <w:ind w:left="20"/>
              <w:spacing w:after="0"/>
              <w:rPr>
                <w:sz w:val="20"/>
                <w:szCs w:val="20"/>
                <w:color w:val="auto"/>
              </w:rPr>
            </w:pPr>
            <w:r>
              <w:rPr>
                <w:rFonts w:ascii="Arial" w:cs="Arial" w:eastAsia="Arial" w:hAnsi="Arial"/>
                <w:sz w:val="16"/>
                <w:szCs w:val="16"/>
                <w:color w:val="auto"/>
              </w:rPr>
              <w:t>Sales commissions</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7"/>
        </w:trPr>
        <w:tc>
          <w:tcPr>
            <w:tcW w:w="8220" w:type="dxa"/>
            <w:vAlign w:val="bottom"/>
          </w:tcPr>
          <w:p>
            <w:pPr>
              <w:ind w:left="20"/>
              <w:spacing w:after="0"/>
              <w:rPr>
                <w:sz w:val="20"/>
                <w:szCs w:val="20"/>
                <w:color w:val="auto"/>
              </w:rPr>
            </w:pPr>
            <w:r>
              <w:rPr>
                <w:rFonts w:ascii="Arial" w:cs="Arial" w:eastAsia="Arial" w:hAnsi="Arial"/>
                <w:sz w:val="16"/>
                <w:szCs w:val="16"/>
                <w:color w:val="auto"/>
              </w:rPr>
              <w:t>Deferred conversion costs</w:t>
            </w: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c>
          <w:tcPr>
            <w:tcW w:w="1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10"/>
        </w:trPr>
        <w:tc>
          <w:tcPr>
            <w:tcW w:w="8220" w:type="dxa"/>
            <w:vAlign w:val="bottom"/>
          </w:tcPr>
          <w:p>
            <w:pPr>
              <w:ind w:left="140"/>
              <w:spacing w:after="0"/>
              <w:rPr>
                <w:sz w:val="20"/>
                <w:szCs w:val="20"/>
                <w:color w:val="auto"/>
              </w:rPr>
            </w:pPr>
            <w:r>
              <w:rPr>
                <w:rFonts w:ascii="Arial" w:cs="Arial" w:eastAsia="Arial" w:hAnsi="Arial"/>
                <w:sz w:val="16"/>
                <w:szCs w:val="16"/>
                <w:color w:val="auto"/>
              </w:rPr>
              <w:t>Total amortization</w:t>
            </w: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644</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w:t>
            </w:r>
          </w:p>
        </w:tc>
      </w:tr>
      <w:tr>
        <w:trPr>
          <w:trHeight w:val="20"/>
        </w:trPr>
        <w:tc>
          <w:tcPr>
            <w:tcW w:w="8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80"/>
        <w:spacing w:after="0"/>
        <w:rPr>
          <w:sz w:val="20"/>
          <w:szCs w:val="20"/>
          <w:color w:val="auto"/>
        </w:rPr>
      </w:pPr>
      <w:r>
        <w:rPr>
          <w:rFonts w:ascii="Arial" w:cs="Arial" w:eastAsia="Arial" w:hAnsi="Arial"/>
          <w:sz w:val="16"/>
          <w:szCs w:val="16"/>
          <w:color w:val="auto"/>
        </w:rPr>
        <w:t>See pages 3-4 for disclosures related to the use of non-GAAP financial measures.</w:t>
      </w:r>
    </w:p>
    <w:p>
      <w:pPr>
        <w:spacing w:after="0" w:line="239" w:lineRule="exact"/>
        <w:rPr>
          <w:sz w:val="20"/>
          <w:szCs w:val="20"/>
          <w:color w:val="auto"/>
        </w:rPr>
      </w:pPr>
    </w:p>
    <w:p>
      <w:pPr>
        <w:ind w:left="180" w:right="340" w:hanging="172"/>
        <w:spacing w:after="0" w:line="248" w:lineRule="auto"/>
        <w:tabs>
          <w:tab w:leader="none" w:pos="178"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The company adjusts its non-GAAP results to exclude amortization of acquisition-related intangible assets as such amounts are inconsistent in amount and frequency and are significantly impacted by the timing and/or size of acquisitions. Management believes that the adjustment of acquisition-related intangible asset amortization supplements the GAAP information with a measure that can be used to assess the comparability of operating performance. Although the company excludes amortization from acquisition-related intangible assets from its non-GAAP expenses, management believes that it is important for investors to understand that such intangible assets were recorded as part of purchase accounting and contribute to revenue generation. Amortization of intangible assets that relate to past acquisitions will recur in future periods until such intangible assets have been fully amortized. Any future acquisitions may result in the amortization of additional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231" w:right="339" w:bottom="1440" w:gutter="0" w:footer="0" w:header="0"/>
        </w:sectPr>
      </w:pPr>
    </w:p>
    <w:bookmarkStart w:id="18" w:name="page19"/>
    <w:bookmarkEnd w:id="18"/>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Full Year Forward-Looking Non-GAAP Financial Measures</w:t>
      </w:r>
    </w:p>
    <w:p>
      <w:pPr>
        <w:spacing w:after="0" w:line="2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Reconciliations of unaudited non-GAAP financial measures to the most comparable GAAP measures are included in this news release, except for forward-looking measures where a reconciliation to the corresponding GAAP measures is not available due to the variability, complexity and limited visibility of these items that are excluded from the non-GAAP outlook measures. The company’s forward-looking non-GAAP financial measures for 2026, including organic revenue growth and adjusted earnings per share, are designed to enhance shareholders’ ability to evaluate the company’s performance by excluding certain items to focus on factors and trends affecting its business.</w:t>
      </w:r>
    </w:p>
    <w:p>
      <w:pPr>
        <w:spacing w:after="0" w:line="125" w:lineRule="exact"/>
        <w:rPr>
          <w:sz w:val="20"/>
          <w:szCs w:val="20"/>
          <w:color w:val="auto"/>
        </w:rPr>
      </w:pPr>
    </w:p>
    <w:p>
      <w:pPr>
        <w:jc w:val="both"/>
        <w:ind w:right="320"/>
        <w:spacing w:after="0" w:line="262" w:lineRule="auto"/>
        <w:rPr>
          <w:sz w:val="20"/>
          <w:szCs w:val="20"/>
          <w:color w:val="auto"/>
        </w:rPr>
      </w:pPr>
      <w:r>
        <w:rPr>
          <w:rFonts w:ascii="Arial" w:cs="Arial" w:eastAsia="Arial" w:hAnsi="Arial"/>
          <w:sz w:val="18"/>
          <w:szCs w:val="18"/>
          <w:i w:val="1"/>
          <w:iCs w:val="1"/>
          <w:color w:val="auto"/>
        </w:rPr>
        <w:t xml:space="preserve">Organic Revenue Growth </w:t>
      </w:r>
      <w:r>
        <w:rPr>
          <w:rFonts w:ascii="Arial" w:cs="Arial" w:eastAsia="Arial" w:hAnsi="Arial"/>
          <w:sz w:val="18"/>
          <w:szCs w:val="18"/>
          <w:color w:val="auto"/>
        </w:rPr>
        <w:t>- The company’s organic revenue growth outlook for 2026 excludes the impact of foreign currency fluctuations,</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dispositions and the impact of the company’s postage reimbursements. The currency impact is measured as the increase or decrease in the expected adjusted revenue for the period by applying prior period foreign currency exchange rates to present a constant currency comparison to prior periods.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9040" w:type="dxa"/>
            <w:vAlign w:val="bottom"/>
            <w:vMerge w:val="restart"/>
          </w:tcPr>
          <w:p>
            <w:pPr>
              <w:spacing w:after="0"/>
              <w:rPr>
                <w:sz w:val="20"/>
                <w:szCs w:val="20"/>
                <w:color w:val="auto"/>
              </w:rPr>
            </w:pPr>
            <w:r>
              <w:rPr>
                <w:rFonts w:ascii="Arial" w:cs="Arial" w:eastAsia="Arial" w:hAnsi="Arial"/>
                <w:sz w:val="18"/>
                <w:szCs w:val="18"/>
                <w:color w:val="auto"/>
              </w:rPr>
              <w:t>2026 Revenue</w:t>
            </w:r>
          </w:p>
        </w:tc>
        <w:tc>
          <w:tcPr>
            <w:tcW w:w="204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Growth</w:t>
            </w:r>
          </w:p>
        </w:tc>
        <w:tc>
          <w:tcPr>
            <w:tcW w:w="0" w:type="dxa"/>
            <w:vAlign w:val="bottom"/>
          </w:tcPr>
          <w:p>
            <w:pPr>
              <w:spacing w:after="0"/>
              <w:rPr>
                <w:sz w:val="1"/>
                <w:szCs w:val="1"/>
                <w:color w:val="auto"/>
              </w:rPr>
            </w:pPr>
          </w:p>
        </w:tc>
      </w:tr>
      <w:tr>
        <w:trPr>
          <w:trHeight w:val="218"/>
        </w:trPr>
        <w:tc>
          <w:tcPr>
            <w:tcW w:w="9040" w:type="dxa"/>
            <w:vAlign w:val="bottom"/>
            <w:vMerge w:val="continue"/>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1% - 3%</w:t>
            </w:r>
          </w:p>
        </w:tc>
        <w:tc>
          <w:tcPr>
            <w:tcW w:w="0" w:type="dxa"/>
            <w:vAlign w:val="bottom"/>
          </w:tcPr>
          <w:p>
            <w:pPr>
              <w:spacing w:after="0"/>
              <w:rPr>
                <w:sz w:val="1"/>
                <w:szCs w:val="1"/>
                <w:color w:val="auto"/>
              </w:rPr>
            </w:pPr>
          </w:p>
        </w:tc>
      </w:tr>
      <w:tr>
        <w:trPr>
          <w:trHeight w:val="235"/>
        </w:trPr>
        <w:tc>
          <w:tcPr>
            <w:tcW w:w="9040" w:type="dxa"/>
            <w:vAlign w:val="bottom"/>
          </w:tcPr>
          <w:p>
            <w:pPr>
              <w:ind w:left="120"/>
              <w:spacing w:after="0"/>
              <w:rPr>
                <w:sz w:val="20"/>
                <w:szCs w:val="20"/>
                <w:color w:val="auto"/>
              </w:rPr>
            </w:pPr>
            <w:r>
              <w:rPr>
                <w:rFonts w:ascii="Arial" w:cs="Arial" w:eastAsia="Arial" w:hAnsi="Arial"/>
                <w:sz w:val="18"/>
                <w:szCs w:val="18"/>
                <w:color w:val="auto"/>
              </w:rPr>
              <w:t>Postage reimbursements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9040" w:type="dxa"/>
            <w:vAlign w:val="bottom"/>
          </w:tcPr>
          <w:p>
            <w:pPr>
              <w:spacing w:after="0"/>
              <w:rPr>
                <w:sz w:val="20"/>
                <w:szCs w:val="20"/>
                <w:color w:val="auto"/>
              </w:rPr>
            </w:pPr>
            <w:r>
              <w:rPr>
                <w:rFonts w:ascii="Arial" w:cs="Arial" w:eastAsia="Arial" w:hAnsi="Arial"/>
                <w:sz w:val="18"/>
                <w:szCs w:val="18"/>
                <w:color w:val="auto"/>
              </w:rPr>
              <w:t>2026 Adjusted revenue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 - 3%</w:t>
            </w:r>
          </w:p>
        </w:tc>
        <w:tc>
          <w:tcPr>
            <w:tcW w:w="0" w:type="dxa"/>
            <w:vAlign w:val="bottom"/>
          </w:tcPr>
          <w:p>
            <w:pPr>
              <w:spacing w:after="0"/>
              <w:rPr>
                <w:sz w:val="1"/>
                <w:szCs w:val="1"/>
                <w:color w:val="auto"/>
              </w:rPr>
            </w:pPr>
          </w:p>
        </w:tc>
      </w:tr>
      <w:tr>
        <w:trPr>
          <w:trHeight w:val="21"/>
        </w:trPr>
        <w:tc>
          <w:tcPr>
            <w:tcW w:w="90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9040" w:type="dxa"/>
            <w:vAlign w:val="bottom"/>
          </w:tcPr>
          <w:p>
            <w:pPr>
              <w:ind w:left="120"/>
              <w:spacing w:after="0"/>
              <w:rPr>
                <w:sz w:val="20"/>
                <w:szCs w:val="20"/>
                <w:color w:val="auto"/>
              </w:rPr>
            </w:pPr>
            <w:r>
              <w:rPr>
                <w:rFonts w:ascii="Arial" w:cs="Arial" w:eastAsia="Arial" w:hAnsi="Arial"/>
                <w:sz w:val="18"/>
                <w:szCs w:val="18"/>
                <w:color w:val="auto"/>
              </w:rPr>
              <w:t>Currency impact</w:t>
            </w:r>
          </w:p>
        </w:tc>
        <w:tc>
          <w:tcPr>
            <w:tcW w:w="2040" w:type="dxa"/>
            <w:vAlign w:val="bottom"/>
          </w:tcPr>
          <w:p>
            <w:pPr>
              <w:jc w:val="center"/>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9040" w:type="dxa"/>
            <w:vAlign w:val="bottom"/>
          </w:tcPr>
          <w:p>
            <w:pPr>
              <w:ind w:left="120"/>
              <w:spacing w:after="0"/>
              <w:rPr>
                <w:sz w:val="20"/>
                <w:szCs w:val="20"/>
                <w:color w:val="auto"/>
              </w:rPr>
            </w:pPr>
            <w:r>
              <w:rPr>
                <w:rFonts w:ascii="Arial" w:cs="Arial" w:eastAsia="Arial" w:hAnsi="Arial"/>
                <w:sz w:val="18"/>
                <w:szCs w:val="18"/>
                <w:color w:val="auto"/>
              </w:rPr>
              <w:t>Acquisition adjustments</w:t>
            </w:r>
          </w:p>
        </w:tc>
        <w:tc>
          <w:tcPr>
            <w:tcW w:w="2040" w:type="dxa"/>
            <w:vAlign w:val="bottom"/>
          </w:tcPr>
          <w:p>
            <w:pPr>
              <w:jc w:val="center"/>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5"/>
        </w:trPr>
        <w:tc>
          <w:tcPr>
            <w:tcW w:w="9040" w:type="dxa"/>
            <w:vAlign w:val="bottom"/>
          </w:tcPr>
          <w:p>
            <w:pPr>
              <w:ind w:left="120"/>
              <w:spacing w:after="0"/>
              <w:rPr>
                <w:sz w:val="20"/>
                <w:szCs w:val="20"/>
                <w:color w:val="auto"/>
              </w:rPr>
            </w:pPr>
            <w:r>
              <w:rPr>
                <w:rFonts w:ascii="Arial" w:cs="Arial" w:eastAsia="Arial" w:hAnsi="Arial"/>
                <w:sz w:val="18"/>
                <w:szCs w:val="18"/>
                <w:color w:val="auto"/>
              </w:rPr>
              <w:t>Divestiture adjustments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9040" w:type="dxa"/>
            <w:vAlign w:val="bottom"/>
          </w:tcPr>
          <w:p>
            <w:pPr>
              <w:spacing w:after="0"/>
              <w:rPr>
                <w:sz w:val="20"/>
                <w:szCs w:val="20"/>
                <w:color w:val="auto"/>
              </w:rPr>
            </w:pPr>
            <w:r>
              <w:rPr>
                <w:rFonts w:ascii="Arial" w:cs="Arial" w:eastAsia="Arial" w:hAnsi="Arial"/>
                <w:sz w:val="18"/>
                <w:szCs w:val="18"/>
                <w:color w:val="auto"/>
              </w:rPr>
              <w:t>2026 Organic revenue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 - 3%</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color w:val="auto"/>
        </w:rPr>
        <w:t xml:space="preserve">Adjusted Earnings Per Share </w:t>
      </w:r>
      <w:r>
        <w:rPr>
          <w:rFonts w:ascii="Arial" w:cs="Arial" w:eastAsia="Arial" w:hAnsi="Arial"/>
          <w:sz w:val="18"/>
          <w:szCs w:val="18"/>
          <w:color w:val="auto"/>
        </w:rPr>
        <w:t>- The company’s adjusted earnings per share outlook for 2026 excludes certain non-cash or other items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non-cash intangible asset amortization expense associated with acquisitions; non-cash impairment charges; merger and integration costs; severance costs; certain transformation related expenses associated with the company’s One Fiserv action plan; gains or losses from the sale of businesses, certain assets and investments; and certain discrete tax benefits and expenses.</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estimates that amortization expense in 2026 with respect to acquired intangible assets will be relatively consistent with the amount incurred in 2025. Other adjustments to the company’s financial measures that were incurred for the three months ended March 31, 2026 and 2025 are presented in this news release; however, they are not necessarily indicative of adjustments that may be incurred throughout the remainder of 2026 or beyond. Estimates of these impacts and adjustments on a forward-looking basis are not available due to the variability, complexity and limited visibility of these items.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sectPr>
      <w:pgSz w:w="11900" w:h="16838" w:orient="portrait"/>
      <w:cols w:equalWidth="0" w:num="1">
        <w:col w:w="11220"/>
      </w:cols>
      <w:pgMar w:left="320" w:top="12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bullet"/>
      <w:start w:val="1"/>
    </w:lvl>
  </w:abstractNum>
  <w:abstractNum w:abstractNumId="4">
    <w:nsid w:val="12200854"/>
    <w:multiLevelType w:val="hybridMultilevel"/>
    <w:lvl w:ilvl="0">
      <w:lvlJc w:val="left"/>
      <w:lvlText w:val="2"/>
      <w:numFmt w:val="bullet"/>
      <w:start w:val="1"/>
    </w:lvl>
  </w:abstractNum>
  <w:abstractNum w:abstractNumId="5">
    <w:nsid w:val="4DB127F8"/>
    <w:multiLevelType w:val="hybridMultilevel"/>
    <w:lvl w:ilvl="0">
      <w:lvlJc w:val="left"/>
      <w:lvlText w:val="3"/>
      <w:numFmt w:val="bullet"/>
      <w:start w:val="1"/>
    </w:lvl>
  </w:abstractNum>
  <w:abstractNum w:abstractNumId="6">
    <w:nsid w:val="216231B"/>
    <w:multiLevelType w:val="hybridMultilevel"/>
    <w:lvl w:ilvl="0">
      <w:lvlJc w:val="left"/>
      <w:lvlText w:val="4"/>
      <w:numFmt w:val="bullet"/>
      <w:start w:val="1"/>
    </w:lvl>
  </w:abstractNum>
  <w:abstractNum w:abstractNumId="7">
    <w:nsid w:val="1F16E9E8"/>
    <w:multiLevelType w:val="hybridMultilevel"/>
    <w:lvl w:ilvl="0">
      <w:lvlJc w:val="left"/>
      <w:lvlText w:val="5"/>
      <w:numFmt w:val="bullet"/>
      <w:start w:val="1"/>
    </w:lvl>
  </w:abstractNum>
  <w:abstractNum w:abstractNumId="8">
    <w:nsid w:val="1190CDE7"/>
    <w:multiLevelType w:val="hybridMultilevel"/>
    <w:lvl w:ilvl="0">
      <w:lvlJc w:val="left"/>
      <w:lvlText w:val="6"/>
      <w:numFmt w:val="bullet"/>
      <w:start w:val="1"/>
    </w:lvl>
  </w:abstractNum>
  <w:abstractNum w:abstractNumId="9">
    <w:nsid w:val="66EF438D"/>
    <w:multiLevelType w:val="hybridMultilevel"/>
    <w:lvl w:ilvl="0">
      <w:lvlJc w:val="left"/>
      <w:lvlText w:val="7"/>
      <w:numFmt w:val="bullet"/>
      <w:start w:val="1"/>
    </w:lvl>
  </w:abstractNum>
  <w:abstractNum w:abstractNumId="10">
    <w:nsid w:val="140E0F76"/>
    <w:multiLevelType w:val="hybridMultilevel"/>
    <w:lvl w:ilvl="0">
      <w:lvlJc w:val="left"/>
      <w:lvlText w:val="1"/>
      <w:numFmt w:val="bullet"/>
      <w:start w:val="1"/>
    </w:lvl>
  </w:abstractNum>
  <w:abstractNum w:abstractNumId="11">
    <w:nsid w:val="3352255A"/>
    <w:multiLevelType w:val="hybridMultilevel"/>
    <w:lvl w:ilvl="0">
      <w:lvlJc w:val="left"/>
      <w:lvlText w:val="1"/>
      <w:numFmt w:val="bullet"/>
      <w:start w:val="1"/>
    </w:lvl>
  </w:abstractNum>
  <w:abstractNum w:abstractNumId="12">
    <w:nsid w:val="109CF92E"/>
    <w:multiLevelType w:val="hybridMultilevel"/>
    <w:lvl w:ilvl="0">
      <w:lvlJc w:val="left"/>
      <w:lvlText w:val="2"/>
      <w:numFmt w:val="bullet"/>
      <w:start w:val="1"/>
    </w:lvl>
  </w:abstractNum>
  <w:abstractNum w:abstractNumId="13">
    <w:nsid w:val="DED7263"/>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2026-05-05T06:16:46Z</dcterms:created>
  <dcterms:modified xsi:type="dcterms:W3CDTF">2026-05-05T06:16:46Z</dcterms:modified>
</cp:coreProperties>
</file>