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715010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163195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113665</wp:posOffset>
            </wp:positionV>
            <wp:extent cx="2168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2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July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201930</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184785</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26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49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1-38962</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6"/>
        </w:trPr>
        <w:tc>
          <w:tcPr>
            <w:tcW w:w="2260" w:type="dxa"/>
            <w:vAlign w:val="bottom"/>
          </w:tcPr>
          <w:p>
            <w:pPr>
              <w:jc w:val="center"/>
              <w:ind w:right="4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6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2260" w:type="dxa"/>
            <w:vAlign w:val="bottom"/>
          </w:tcPr>
          <w:p>
            <w:pPr>
              <w:spacing w:after="0"/>
              <w:rPr>
                <w:sz w:val="24"/>
                <w:szCs w:val="24"/>
                <w:color w:val="auto"/>
              </w:rPr>
            </w:pPr>
          </w:p>
        </w:tc>
        <w:tc>
          <w:tcPr>
            <w:tcW w:w="498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255 Fiserv Drive, Brookfield, Wisconsin 53045</w:t>
            </w:r>
          </w:p>
        </w:tc>
        <w:tc>
          <w:tcPr>
            <w:tcW w:w="182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49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20" w:type="dxa"/>
            <w:vAlign w:val="bottom"/>
          </w:tcPr>
          <w:p>
            <w:pPr>
              <w:spacing w:after="0"/>
              <w:rPr>
                <w:sz w:val="16"/>
                <w:szCs w:val="16"/>
                <w:color w:val="auto"/>
              </w:rPr>
            </w:pPr>
          </w:p>
        </w:tc>
      </w:tr>
      <w:tr>
        <w:trPr>
          <w:trHeight w:val="417"/>
        </w:trPr>
        <w:tc>
          <w:tcPr>
            <w:tcW w:w="2260" w:type="dxa"/>
            <w:vAlign w:val="bottom"/>
          </w:tcPr>
          <w:p>
            <w:pPr>
              <w:spacing w:after="0"/>
              <w:rPr>
                <w:sz w:val="24"/>
                <w:szCs w:val="24"/>
                <w:color w:val="auto"/>
              </w:rPr>
            </w:pPr>
          </w:p>
        </w:tc>
        <w:tc>
          <w:tcPr>
            <w:tcW w:w="49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(262) 879-5000</w:t>
            </w:r>
          </w:p>
        </w:tc>
        <w:tc>
          <w:tcPr>
            <w:tcW w:w="182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49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177800</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9"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86"/>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0.375% Senior Notes due 2023</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40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9"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99695</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65405</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846" w:right="499" w:bottom="1440" w:gutter="0" w:footer="0" w:header="0"/>
        </w:sectPr>
      </w:pPr>
    </w:p>
    <w:bookmarkStart w:id="2" w:name="page3"/>
    <w:bookmarkEnd w:id="2"/>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July 26, 2022, Fiserv, Inc. issued a press release announcing its financial results for the quarter ended June 30, 2022. A copy of the press release is attached as Exhibit 99.1 to this Current Report on Form 8-K and is incorporated by reference herein.</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980" w:type="dxa"/>
            <w:vAlign w:val="bottom"/>
          </w:tcPr>
          <w:p>
            <w:pPr>
              <w:spacing w:after="0"/>
              <w:rPr>
                <w:sz w:val="10"/>
                <w:szCs w:val="10"/>
                <w:color w:val="auto"/>
              </w:rPr>
            </w:pPr>
          </w:p>
        </w:tc>
        <w:tc>
          <w:tcPr>
            <w:tcW w:w="9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Borders>
              <w:right w:val="single" w:sz="8" w:color="auto"/>
            </w:tcBorders>
            <w:gridSpan w:val="2"/>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60" w:type="dxa"/>
            <w:vAlign w:val="bottom"/>
          </w:tcPr>
          <w:p>
            <w:pPr>
              <w:spacing w:after="0"/>
              <w:rPr>
                <w:sz w:val="24"/>
                <w:szCs w:val="24"/>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tcPr>
          <w:p>
            <w:pPr>
              <w:spacing w:after="0"/>
              <w:rPr>
                <w:sz w:val="24"/>
                <w:szCs w:val="24"/>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Fiserv, Inc., dated July 26, 2022 (furnished pursuant to Item 2.02 of this Current Report on Form 8-K)</w:t>
            </w:r>
          </w:p>
        </w:tc>
        <w:tc>
          <w:tcPr>
            <w:tcW w:w="0" w:type="dxa"/>
            <w:vAlign w:val="bottom"/>
          </w:tcPr>
          <w:p>
            <w:pPr>
              <w:spacing w:after="0"/>
              <w:rPr>
                <w:sz w:val="1"/>
                <w:szCs w:val="1"/>
                <w:color w:val="auto"/>
              </w:rPr>
            </w:pPr>
          </w:p>
        </w:tc>
      </w:tr>
      <w:tr>
        <w:trPr>
          <w:trHeight w:val="250"/>
        </w:trPr>
        <w:tc>
          <w:tcPr>
            <w:tcW w:w="11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1"/>
                <w:szCs w:val="21"/>
                <w:color w:val="auto"/>
              </w:rPr>
            </w:pPr>
          </w:p>
        </w:tc>
        <w:tc>
          <w:tcPr>
            <w:tcW w:w="85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FISERV, INC.</w:t>
            </w: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26, 2022</w:t>
            </w:r>
          </w:p>
        </w:tc>
        <w:tc>
          <w:tcPr>
            <w:tcW w:w="27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5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8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19685</wp:posOffset>
            </wp:positionV>
            <wp:extent cx="1320165"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40" w:type="dxa"/>
        <w:tblCellMar>
          <w:top w:w="0" w:type="dxa"/>
          <w:left w:w="0" w:type="dxa"/>
          <w:bottom w:w="0" w:type="dxa"/>
          <w:right w:w="0" w:type="dxa"/>
        </w:tblCellMar>
      </w:tblPr>
      <w:tr>
        <w:trPr>
          <w:trHeight w:val="239"/>
        </w:trPr>
        <w:tc>
          <w:tcPr>
            <w:tcW w:w="392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2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3840" w:type="dxa"/>
            <w:vAlign w:val="bottom"/>
            <w:gridSpan w:val="2"/>
          </w:tcPr>
          <w:p>
            <w:pPr>
              <w:ind w:left="1560"/>
              <w:spacing w:after="0"/>
              <w:rPr>
                <w:sz w:val="20"/>
                <w:szCs w:val="20"/>
                <w:color w:val="auto"/>
              </w:rPr>
            </w:pPr>
            <w:r>
              <w:rPr>
                <w:rFonts w:ascii="Arial" w:cs="Arial" w:eastAsia="Arial" w:hAnsi="Arial"/>
                <w:sz w:val="18"/>
                <w:szCs w:val="18"/>
                <w:b w:val="1"/>
                <w:bCs w:val="1"/>
                <w:color w:val="auto"/>
              </w:rPr>
              <w:t>Investor Relations:</w:t>
            </w:r>
          </w:p>
        </w:tc>
      </w:tr>
      <w:tr>
        <w:trPr>
          <w:trHeight w:val="211"/>
        </w:trPr>
        <w:tc>
          <w:tcPr>
            <w:tcW w:w="3920" w:type="dxa"/>
            <w:vAlign w:val="bottom"/>
            <w:gridSpan w:val="2"/>
          </w:tcPr>
          <w:p>
            <w:pPr>
              <w:spacing w:after="0"/>
              <w:rPr>
                <w:sz w:val="20"/>
                <w:szCs w:val="20"/>
                <w:color w:val="auto"/>
              </w:rPr>
            </w:pPr>
            <w:r>
              <w:rPr>
                <w:rFonts w:ascii="Arial" w:cs="Arial" w:eastAsia="Arial" w:hAnsi="Arial"/>
                <w:sz w:val="18"/>
                <w:szCs w:val="18"/>
                <w:color w:val="auto"/>
              </w:rPr>
              <w:t>Britt Zarling</w:t>
            </w:r>
          </w:p>
        </w:tc>
        <w:tc>
          <w:tcPr>
            <w:tcW w:w="3840" w:type="dxa"/>
            <w:vAlign w:val="bottom"/>
            <w:gridSpan w:val="2"/>
          </w:tcPr>
          <w:p>
            <w:pPr>
              <w:ind w:left="1560"/>
              <w:spacing w:after="0"/>
              <w:rPr>
                <w:sz w:val="20"/>
                <w:szCs w:val="20"/>
                <w:color w:val="auto"/>
              </w:rPr>
            </w:pPr>
            <w:r>
              <w:rPr>
                <w:rFonts w:ascii="Arial" w:cs="Arial" w:eastAsia="Arial" w:hAnsi="Arial"/>
                <w:sz w:val="18"/>
                <w:szCs w:val="18"/>
                <w:color w:val="auto"/>
              </w:rPr>
              <w:t>Shub Mukherjee</w:t>
            </w:r>
          </w:p>
        </w:tc>
      </w:tr>
      <w:tr>
        <w:trPr>
          <w:trHeight w:val="208"/>
        </w:trPr>
        <w:tc>
          <w:tcPr>
            <w:tcW w:w="3920" w:type="dxa"/>
            <w:vAlign w:val="bottom"/>
            <w:gridSpan w:val="2"/>
          </w:tcPr>
          <w:p>
            <w:pPr>
              <w:spacing w:after="0"/>
              <w:rPr>
                <w:sz w:val="20"/>
                <w:szCs w:val="20"/>
                <w:color w:val="auto"/>
              </w:rPr>
            </w:pPr>
            <w:r>
              <w:rPr>
                <w:rFonts w:ascii="Arial" w:cs="Arial" w:eastAsia="Arial" w:hAnsi="Arial"/>
                <w:sz w:val="18"/>
                <w:szCs w:val="18"/>
                <w:color w:val="auto"/>
              </w:rPr>
              <w:t>Corporate Communications</w:t>
            </w:r>
          </w:p>
        </w:tc>
        <w:tc>
          <w:tcPr>
            <w:tcW w:w="3840" w:type="dxa"/>
            <w:vAlign w:val="bottom"/>
            <w:gridSpan w:val="2"/>
          </w:tcPr>
          <w:p>
            <w:pPr>
              <w:ind w:left="1560"/>
              <w:spacing w:after="0"/>
              <w:rPr>
                <w:sz w:val="20"/>
                <w:szCs w:val="20"/>
                <w:color w:val="auto"/>
              </w:rPr>
            </w:pPr>
            <w:r>
              <w:rPr>
                <w:rFonts w:ascii="Arial" w:cs="Arial" w:eastAsia="Arial" w:hAnsi="Arial"/>
                <w:sz w:val="18"/>
                <w:szCs w:val="18"/>
                <w:color w:val="auto"/>
              </w:rPr>
              <w:t>Investor Relations</w:t>
            </w: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3840" w:type="dxa"/>
            <w:vAlign w:val="bottom"/>
            <w:gridSpan w:val="2"/>
          </w:tcPr>
          <w:p>
            <w:pPr>
              <w:ind w:left="1560"/>
              <w:spacing w:after="0" w:line="202" w:lineRule="exact"/>
              <w:rPr>
                <w:sz w:val="20"/>
                <w:szCs w:val="20"/>
                <w:color w:val="auto"/>
              </w:rPr>
            </w:pPr>
            <w:r>
              <w:rPr>
                <w:rFonts w:ascii="Arial" w:cs="Arial" w:eastAsia="Arial" w:hAnsi="Arial"/>
                <w:sz w:val="18"/>
                <w:szCs w:val="18"/>
                <w:color w:val="auto"/>
              </w:rPr>
              <w:t>Fiserv, Inc.</w:t>
            </w:r>
          </w:p>
        </w:tc>
      </w:tr>
      <w:tr>
        <w:trPr>
          <w:trHeight w:val="211"/>
        </w:trPr>
        <w:tc>
          <w:tcPr>
            <w:tcW w:w="1860" w:type="dxa"/>
            <w:vAlign w:val="bottom"/>
          </w:tcPr>
          <w:p>
            <w:pPr>
              <w:spacing w:after="0"/>
              <w:rPr>
                <w:sz w:val="20"/>
                <w:szCs w:val="20"/>
                <w:color w:val="auto"/>
              </w:rPr>
            </w:pPr>
            <w:r>
              <w:rPr>
                <w:rFonts w:ascii="Arial" w:cs="Arial" w:eastAsia="Arial" w:hAnsi="Arial"/>
                <w:sz w:val="18"/>
                <w:szCs w:val="18"/>
                <w:color w:val="auto"/>
              </w:rPr>
              <w:t>414-526-3107</w:t>
            </w:r>
          </w:p>
        </w:tc>
        <w:tc>
          <w:tcPr>
            <w:tcW w:w="2060" w:type="dxa"/>
            <w:vAlign w:val="bottom"/>
          </w:tcPr>
          <w:p>
            <w:pPr>
              <w:spacing w:after="0"/>
              <w:rPr>
                <w:sz w:val="18"/>
                <w:szCs w:val="18"/>
                <w:color w:val="auto"/>
              </w:rPr>
            </w:pPr>
          </w:p>
        </w:tc>
        <w:tc>
          <w:tcPr>
            <w:tcW w:w="3840" w:type="dxa"/>
            <w:vAlign w:val="bottom"/>
            <w:gridSpan w:val="2"/>
          </w:tcPr>
          <w:p>
            <w:pPr>
              <w:ind w:left="1560"/>
              <w:spacing w:after="0"/>
              <w:rPr>
                <w:sz w:val="20"/>
                <w:szCs w:val="20"/>
                <w:color w:val="auto"/>
              </w:rPr>
            </w:pPr>
            <w:r>
              <w:rPr>
                <w:rFonts w:ascii="Arial" w:cs="Arial" w:eastAsia="Arial" w:hAnsi="Arial"/>
                <w:sz w:val="18"/>
                <w:szCs w:val="18"/>
                <w:color w:val="auto"/>
              </w:rPr>
              <w:t>212-266-3565</w:t>
            </w:r>
          </w:p>
        </w:tc>
      </w:tr>
      <w:tr>
        <w:trPr>
          <w:trHeight w:val="194"/>
        </w:trPr>
        <w:tc>
          <w:tcPr>
            <w:tcW w:w="3920" w:type="dxa"/>
            <w:vAlign w:val="bottom"/>
            <w:gridSpan w:val="2"/>
          </w:tcPr>
          <w:p>
            <w:pPr>
              <w:spacing w:after="0" w:line="175" w:lineRule="exact"/>
              <w:rPr>
                <w:sz w:val="20"/>
                <w:szCs w:val="20"/>
                <w:color w:val="auto"/>
              </w:rPr>
            </w:pPr>
            <w:r>
              <w:rPr>
                <w:rFonts w:ascii="Arial" w:cs="Arial" w:eastAsia="Arial" w:hAnsi="Arial"/>
                <w:sz w:val="18"/>
                <w:szCs w:val="18"/>
                <w:color w:val="0000FF"/>
              </w:rPr>
              <w:t>britt.zarling@fiserv.com</w:t>
            </w:r>
          </w:p>
        </w:tc>
        <w:tc>
          <w:tcPr>
            <w:tcW w:w="3840" w:type="dxa"/>
            <w:vAlign w:val="bottom"/>
            <w:gridSpan w:val="2"/>
          </w:tcPr>
          <w:p>
            <w:pPr>
              <w:ind w:left="1560"/>
              <w:spacing w:after="0" w:line="175" w:lineRule="exact"/>
              <w:rPr>
                <w:sz w:val="20"/>
                <w:szCs w:val="20"/>
                <w:color w:val="auto"/>
              </w:rPr>
            </w:pPr>
            <w:r>
              <w:rPr>
                <w:rFonts w:ascii="Arial" w:cs="Arial" w:eastAsia="Arial" w:hAnsi="Arial"/>
                <w:sz w:val="18"/>
                <w:szCs w:val="18"/>
                <w:color w:val="0000FF"/>
                <w:w w:val="98"/>
              </w:rPr>
              <w:t>shub.mukherjee@fiserv.com</w:t>
            </w:r>
          </w:p>
        </w:tc>
      </w:tr>
      <w:tr>
        <w:trPr>
          <w:trHeight w:val="27"/>
        </w:trPr>
        <w:tc>
          <w:tcPr>
            <w:tcW w:w="1860" w:type="dxa"/>
            <w:vAlign w:val="bottom"/>
            <w:shd w:val="clear" w:color="auto" w:fill="0000FF"/>
          </w:tcPr>
          <w:p>
            <w:pPr>
              <w:spacing w:after="0"/>
              <w:rPr>
                <w:sz w:val="2"/>
                <w:szCs w:val="2"/>
                <w:color w:val="auto"/>
              </w:rPr>
            </w:pPr>
          </w:p>
        </w:tc>
        <w:tc>
          <w:tcPr>
            <w:tcW w:w="2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shd w:val="clear" w:color="auto" w:fill="0000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Fiserv Reports Second Quarter 2022 Results</w:t>
      </w:r>
    </w:p>
    <w:p>
      <w:pPr>
        <w:spacing w:after="0" w:line="61" w:lineRule="exact"/>
        <w:rPr>
          <w:sz w:val="20"/>
          <w:szCs w:val="20"/>
          <w:color w:val="auto"/>
        </w:rPr>
      </w:pPr>
    </w:p>
    <w:p>
      <w:pPr>
        <w:jc w:val="center"/>
        <w:ind w:left="380" w:right="2520"/>
        <w:spacing w:after="0" w:line="289" w:lineRule="auto"/>
        <w:rPr>
          <w:sz w:val="20"/>
          <w:szCs w:val="20"/>
          <w:color w:val="auto"/>
        </w:rPr>
      </w:pPr>
      <w:r>
        <w:rPr>
          <w:rFonts w:ascii="Arial" w:cs="Arial" w:eastAsia="Arial" w:hAnsi="Arial"/>
          <w:sz w:val="19"/>
          <w:szCs w:val="19"/>
          <w:color w:val="auto"/>
        </w:rPr>
        <w:t>GAAP revenue growth of 10% both in the quarter and year to date; GAAP EPS increased 130% in the quarter and 128% year to date; Organic revenue growth of 12% in the quarter and 11% year to date; Adjusted EPS increased 14% in the quarter and 17% year to date; Company raises 2022 organic revenue growth outlook to 9% to 11% and adjusted EPS outlook to $6.45 to $6.55, or growth of 16% to 17%</w:t>
      </w:r>
    </w:p>
    <w:p>
      <w:pPr>
        <w:spacing w:after="0" w:line="180" w:lineRule="exact"/>
        <w:rPr>
          <w:sz w:val="20"/>
          <w:szCs w:val="20"/>
          <w:color w:val="auto"/>
        </w:rPr>
      </w:pPr>
    </w:p>
    <w:p>
      <w:pPr>
        <w:ind w:right="720"/>
        <w:spacing w:after="0" w:line="288" w:lineRule="auto"/>
        <w:rPr>
          <w:sz w:val="20"/>
          <w:szCs w:val="20"/>
          <w:color w:val="auto"/>
        </w:rPr>
      </w:pPr>
      <w:r>
        <w:rPr>
          <w:rFonts w:ascii="Arial" w:cs="Arial" w:eastAsia="Arial" w:hAnsi="Arial"/>
          <w:sz w:val="20"/>
          <w:szCs w:val="20"/>
          <w:b w:val="1"/>
          <w:bCs w:val="1"/>
          <w:color w:val="auto"/>
        </w:rPr>
        <w:t xml:space="preserve">BROOKFIELD, Wis., July 26, 2022 </w:t>
      </w:r>
      <w:r>
        <w:rPr>
          <w:rFonts w:ascii="Arial" w:cs="Arial" w:eastAsia="Arial" w:hAnsi="Arial"/>
          <w:sz w:val="20"/>
          <w:szCs w:val="20"/>
          <w:color w:val="auto"/>
        </w:rPr>
        <w:t>– Fiserv, Inc. (NASDAQ: FISV), a leading global provider of payments and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services technology solutions, today reported financial results for the second quarter of 2022.</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GAAP Results</w:t>
      </w:r>
    </w:p>
    <w:p>
      <w:pPr>
        <w:spacing w:after="0" w:line="33"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GAAP revenue for the company increased 10% to $4.45 billion in the second quarter of 2022 compared to the prior year period, with 14% growth in the Acceptance segment, 6% growth in the Fintech segment and 7% growth in the Payments segment. GAAP revenue for the company increased 10% to $8.59 billion in the first six months of 2022 compared to the prior year period, with 16% growth in the Acceptance segment, 6% growth in the Fintech segment and 5% growth in the Payments segment.</w:t>
      </w:r>
    </w:p>
    <w:p>
      <w:pPr>
        <w:spacing w:after="0" w:line="119"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GAAP earnings per share was $0.92 in the second quarter and $1.94 in the first six months of 2022, an increase of 130% and 128%, respectively, compared to the prior year periods. The second quarter and first six months of 2022 includes a $110 million pre-tax gain from the fair value remeasurement of an equity investment, whereas the second quarter and first six months of 2021 includes certain discrete tax expenses. GAAP operating margin was 19.3% and 19.9% in the second quarter and first six months of 2022, respectively, compared to 15.9% and 14.3% in the second quarter and first six months of 2021, respectively. Net cash provided by operating activities was $1.81 billion in the first six months of 2022 compared to $2.01 billion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00"/>
          </w:cols>
          <w:pgMar w:left="320" w:top="158" w:right="379" w:bottom="1440" w:gutter="0" w:footer="0" w:header="0"/>
        </w:sectPr>
      </w:pPr>
    </w:p>
    <w:bookmarkStart w:id="5" w:name="page6"/>
    <w:bookmarkEnd w:id="5"/>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"Our second quarter results were strong, with double digit organic revenue and adjusted earnings per share growth. These results put us above the high end of our full year guidance range for organic revenue growth and at the high end of our adjusted earnings per share range on a year to date basis," said Frank Bisignano, Chairman, President and Chief Executive Officer of Fiserv. "We achieved these results while continuing to invest for sustainable growth."</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Non-GAAP Results and Additional Information</w:t>
      </w:r>
    </w:p>
    <w:p>
      <w:pPr>
        <w:spacing w:after="0" w:line="69" w:lineRule="exact"/>
        <w:rPr>
          <w:sz w:val="20"/>
          <w:szCs w:val="20"/>
          <w:color w:val="auto"/>
        </w:rPr>
      </w:pPr>
    </w:p>
    <w:p>
      <w:pPr>
        <w:ind w:left="340" w:right="460" w:hanging="332"/>
        <w:spacing w:after="0" w:line="273"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revenue increased 10% to $4.23 billion in the second quarter and 10% to $8.14 billion in the first six months of 2022 compared to the prior year periods.</w:t>
      </w:r>
    </w:p>
    <w:p>
      <w:pPr>
        <w:spacing w:after="0" w:line="3" w:lineRule="exact"/>
        <w:rPr>
          <w:rFonts w:ascii="Arial" w:cs="Arial" w:eastAsia="Arial" w:hAnsi="Arial"/>
          <w:sz w:val="20"/>
          <w:szCs w:val="20"/>
          <w:b w:val="1"/>
          <w:bCs w:val="1"/>
          <w:color w:val="auto"/>
        </w:rPr>
      </w:pPr>
    </w:p>
    <w:p>
      <w:pPr>
        <w:ind w:left="340" w:right="80" w:hanging="332"/>
        <w:spacing w:after="0" w:line="273"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Organic revenue growth was 12% in the second quarter of 2022, led by 17% growth in the Acceptance segment, 7% growth in the Fintech segment and 8% growth in the Payments segment.</w:t>
      </w:r>
    </w:p>
    <w:p>
      <w:pPr>
        <w:spacing w:after="0" w:line="3" w:lineRule="exact"/>
        <w:rPr>
          <w:rFonts w:ascii="Arial" w:cs="Arial" w:eastAsia="Arial" w:hAnsi="Arial"/>
          <w:sz w:val="20"/>
          <w:szCs w:val="20"/>
          <w:b w:val="1"/>
          <w:bCs w:val="1"/>
          <w:color w:val="auto"/>
        </w:rPr>
      </w:pPr>
    </w:p>
    <w:p>
      <w:pPr>
        <w:ind w:left="340" w:right="420" w:hanging="332"/>
        <w:spacing w:after="0" w:line="280"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Organic revenue growth was 11% in the first six months of 2022, led by 18% growth in the Acceptance segment and 6% growth in both the Fintech and Payments segments.</w:t>
      </w:r>
    </w:p>
    <w:p>
      <w:pPr>
        <w:spacing w:after="0" w:line="3" w:lineRule="exact"/>
        <w:rPr>
          <w:rFonts w:ascii="Arial" w:cs="Arial" w:eastAsia="Arial" w:hAnsi="Arial"/>
          <w:sz w:val="20"/>
          <w:szCs w:val="20"/>
          <w:b w:val="1"/>
          <w:bCs w:val="1"/>
          <w:color w:val="auto"/>
        </w:rPr>
      </w:pPr>
    </w:p>
    <w:p>
      <w:pPr>
        <w:ind w:left="340" w:right="140" w:hanging="332"/>
        <w:spacing w:after="0" w:line="271"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earnings per share increased 14% to $1.56 in the second quarter and 17% to $2.96 in the first six months of 2022 compared to the prior year periods.</w:t>
      </w:r>
    </w:p>
    <w:p>
      <w:pPr>
        <w:spacing w:after="0" w:line="7" w:lineRule="exact"/>
        <w:rPr>
          <w:rFonts w:ascii="Arial" w:cs="Arial" w:eastAsia="Arial" w:hAnsi="Arial"/>
          <w:sz w:val="20"/>
          <w:szCs w:val="20"/>
          <w:b w:val="1"/>
          <w:bCs w:val="1"/>
          <w:color w:val="auto"/>
        </w:rPr>
      </w:pPr>
    </w:p>
    <w:p>
      <w:pPr>
        <w:ind w:left="340" w:right="320" w:hanging="332"/>
        <w:spacing w:after="0" w:line="271"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Adjusted operating margin decreased 40 basis points to 33.5% in the second quarter and was flat at 32.7% in the first six months of 2022 compared to the prior year periods.</w:t>
      </w:r>
    </w:p>
    <w:p>
      <w:pPr>
        <w:spacing w:after="0" w:line="7" w:lineRule="exact"/>
        <w:rPr>
          <w:rFonts w:ascii="Arial" w:cs="Arial" w:eastAsia="Arial" w:hAnsi="Arial"/>
          <w:sz w:val="20"/>
          <w:szCs w:val="20"/>
          <w:b w:val="1"/>
          <w:bCs w:val="1"/>
          <w:color w:val="auto"/>
        </w:rPr>
      </w:pPr>
    </w:p>
    <w:p>
      <w:pPr>
        <w:ind w:left="320" w:hanging="312"/>
        <w:spacing w:after="0"/>
        <w:tabs>
          <w:tab w:leader="none" w:pos="32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Free cash flow was $1.26 billion in the first six months of 2022 compared to $1.72 billion in the prior year period.</w:t>
      </w:r>
    </w:p>
    <w:p>
      <w:pPr>
        <w:spacing w:after="0" w:line="67" w:lineRule="exact"/>
        <w:rPr>
          <w:rFonts w:ascii="Arial" w:cs="Arial" w:eastAsia="Arial" w:hAnsi="Arial"/>
          <w:sz w:val="20"/>
          <w:szCs w:val="20"/>
          <w:b w:val="1"/>
          <w:bCs w:val="1"/>
          <w:color w:val="auto"/>
        </w:rPr>
      </w:pPr>
    </w:p>
    <w:p>
      <w:pPr>
        <w:ind w:left="340" w:hanging="332"/>
        <w:spacing w:after="0" w:line="271" w:lineRule="auto"/>
        <w:tabs>
          <w:tab w:leader="none" w:pos="32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The company repurchased 5.1 million shares of common stock for $500 million in the second quarter and 10.2 million shares of common stock for $1.0 billion in the first six months of 2022.</w:t>
      </w:r>
    </w:p>
    <w:p>
      <w:pPr>
        <w:spacing w:after="0" w:line="7" w:lineRule="exact"/>
        <w:rPr>
          <w:rFonts w:ascii="Arial" w:cs="Arial" w:eastAsia="Arial" w:hAnsi="Arial"/>
          <w:sz w:val="20"/>
          <w:szCs w:val="20"/>
          <w:b w:val="1"/>
          <w:bCs w:val="1"/>
          <w:color w:val="auto"/>
        </w:rPr>
      </w:pPr>
    </w:p>
    <w:p>
      <w:pPr>
        <w:ind w:left="340" w:right="80" w:hanging="332"/>
        <w:spacing w:after="0" w:line="27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June 2022, the company entered into a new revolving credit facility, increasing available borrowing capacity to $6.0 billion through June 2027.</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2022</w:t>
      </w:r>
    </w:p>
    <w:p>
      <w:pPr>
        <w:spacing w:after="0" w:line="33" w:lineRule="exact"/>
        <w:rPr>
          <w:sz w:val="20"/>
          <w:szCs w:val="20"/>
          <w:color w:val="auto"/>
        </w:rPr>
      </w:pPr>
    </w:p>
    <w:p>
      <w:pPr>
        <w:ind w:right="160"/>
        <w:spacing w:after="0" w:line="267" w:lineRule="auto"/>
        <w:rPr>
          <w:sz w:val="20"/>
          <w:szCs w:val="20"/>
          <w:color w:val="auto"/>
        </w:rPr>
      </w:pPr>
      <w:r>
        <w:rPr>
          <w:rFonts w:ascii="Arial" w:cs="Arial" w:eastAsia="Arial" w:hAnsi="Arial"/>
          <w:sz w:val="20"/>
          <w:szCs w:val="20"/>
          <w:color w:val="auto"/>
        </w:rPr>
        <w:t>Fiserv raises full year 2022 outlook and now expects organic revenue growth of 9% to 11% and adjusted earnings per share of $6.45 to $6.55, representing growth of 16% to 17%.</w:t>
      </w:r>
    </w:p>
    <w:p>
      <w:pPr>
        <w:spacing w:after="0" w:line="105"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auto"/>
        </w:rPr>
        <w:t>"An unprecedented confluence of macro factors is likely to impact the global economy," said Bisignano. "The demonstrated resilience of our business model, driven by the strength of our assets, balance sheet and pipeline of innovation, should position us well to withstand potential challenges and deliver value for our clients."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33"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 xml:space="preserve">The company will discuss its second quarter 2022 results in a live webcast at 7 a.m. CT on Tuesday, July 26, 2022. The webcast, along with supplemental financial information, can be accessed on the investor relations section of the Fiserv website at </w:t>
      </w:r>
      <w:r>
        <w:rPr>
          <w:rFonts w:ascii="Arial" w:cs="Arial" w:eastAsia="Arial" w:hAnsi="Arial"/>
          <w:sz w:val="20"/>
          <w:szCs w:val="20"/>
          <w:u w:val="single" w:color="auto"/>
          <w:color w:val="0000FF"/>
        </w:rPr>
        <w:t>investors.fiserv.com</w:t>
      </w:r>
      <w:r>
        <w:rPr>
          <w:rFonts w:ascii="Arial" w:cs="Arial" w:eastAsia="Arial" w:hAnsi="Arial"/>
          <w:sz w:val="20"/>
          <w:szCs w:val="20"/>
          <w:color w:val="auto"/>
        </w:rPr>
        <w:t>. A replay will be available approximately one hour after the conclusion of the live webcast.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33"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Fiserv, Inc. (NASDAQ: FISV) aspires to move money and information in a way that moves the world. As a global leader in payments and financial technology, the company helps clients achieve best-in-class results through a commitment to innovation and excellence in areas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231" w:right="359" w:bottom="1440" w:gutter="0" w:footer="0" w:header="0"/>
        </w:sectPr>
      </w:pPr>
    </w:p>
    <w:bookmarkStart w:id="6" w:name="page7"/>
    <w:bookmarkEnd w:id="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color w:val="auto"/>
        </w:rPr>
        <w:t>account processing and digital banking solutions; card issuer processing and network services; payments; e-commerce; merchant acquiring and processing; and the Clover</w:t>
      </w:r>
      <w:r>
        <w:rPr>
          <w:rFonts w:ascii="Arial" w:cs="Arial" w:eastAsia="Arial" w:hAnsi="Arial"/>
          <w:sz w:val="24"/>
          <w:szCs w:val="24"/>
          <w:color w:val="auto"/>
          <w:vertAlign w:val="superscript"/>
        </w:rPr>
        <w:t>®</w:t>
      </w:r>
      <w:r>
        <w:rPr>
          <w:rFonts w:ascii="Arial" w:cs="Arial" w:eastAsia="Arial" w:hAnsi="Arial"/>
          <w:sz w:val="19"/>
          <w:szCs w:val="19"/>
          <w:color w:val="auto"/>
        </w:rPr>
        <w:t xml:space="preserve"> cloud-based point-of-sale and business management platform. Fiserv is a member of the S&amp;P 500</w:t>
      </w:r>
      <w:r>
        <w:rPr>
          <w:rFonts w:ascii="Arial" w:cs="Arial" w:eastAsia="Arial" w:hAnsi="Arial"/>
          <w:sz w:val="24"/>
          <w:szCs w:val="24"/>
          <w:color w:val="auto"/>
          <w:vertAlign w:val="superscript"/>
        </w:rPr>
        <w:t>®</w:t>
      </w:r>
      <w:r>
        <w:rPr>
          <w:rFonts w:ascii="Arial" w:cs="Arial" w:eastAsia="Arial" w:hAnsi="Arial"/>
          <w:sz w:val="19"/>
          <w:szCs w:val="19"/>
          <w:color w:val="auto"/>
        </w:rPr>
        <w:t xml:space="preserve"> Index, the FORTUNE</w:t>
      </w:r>
      <w:r>
        <w:rPr>
          <w:rFonts w:ascii="Arial" w:cs="Arial" w:eastAsia="Arial" w:hAnsi="Arial"/>
          <w:sz w:val="24"/>
          <w:szCs w:val="24"/>
          <w:color w:val="auto"/>
          <w:vertAlign w:val="superscript"/>
        </w:rPr>
        <w:t>®</w:t>
      </w:r>
      <w:r>
        <w:rPr>
          <w:rFonts w:ascii="Arial" w:cs="Arial" w:eastAsia="Arial" w:hAnsi="Arial"/>
          <w:sz w:val="19"/>
          <w:szCs w:val="19"/>
          <w:color w:val="auto"/>
        </w:rPr>
        <w:t xml:space="preserve"> 500, and has been recognized as one of FORTUNE World's Most Admired Companies</w:t>
      </w:r>
      <w:r>
        <w:rPr>
          <w:rFonts w:ascii="Arial" w:cs="Arial" w:eastAsia="Arial" w:hAnsi="Arial"/>
          <w:sz w:val="24"/>
          <w:szCs w:val="24"/>
          <w:color w:val="auto"/>
          <w:vertAlign w:val="superscript"/>
        </w:rPr>
        <w:t>®</w:t>
      </w:r>
      <w:r>
        <w:rPr>
          <w:rFonts w:ascii="Arial" w:cs="Arial" w:eastAsia="Arial" w:hAnsi="Arial"/>
          <w:sz w:val="19"/>
          <w:szCs w:val="19"/>
          <w:color w:val="auto"/>
        </w:rPr>
        <w:t xml:space="preserve"> for 11 of the past 14 years and named among the World's Most Innovative Companies by Fast Company for two consecutive years. Visit </w:t>
      </w:r>
      <w:r>
        <w:rPr>
          <w:rFonts w:ascii="Arial" w:cs="Arial" w:eastAsia="Arial" w:hAnsi="Arial"/>
          <w:sz w:val="19"/>
          <w:szCs w:val="19"/>
          <w:u w:val="single" w:color="auto"/>
          <w:color w:val="0000FF"/>
        </w:rPr>
        <w:t>fiserv.com</w:t>
      </w:r>
      <w:r>
        <w:rPr>
          <w:rFonts w:ascii="Arial" w:cs="Arial" w:eastAsia="Arial" w:hAnsi="Arial"/>
          <w:sz w:val="19"/>
          <w:szCs w:val="19"/>
          <w:color w:val="auto"/>
        </w:rPr>
        <w:t xml:space="preserve"> and follow on social media for more information and the latest company news.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33"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In this news release, the company supplements its reporting of information determined in accordance with generally accepted accounting principles ("GAAP"), such as revenue, operating income, operating margin, net income attributable to Fiserv, earnings per share and net cash provided by operating activities, with "adjusted revenue," "adjusted revenue growth," "organic revenue," "organic revenue growth," "adjusted operating income," "adjusted operating margin," "adjusted net income," "adjusted earnings per share," "adjusted earnings per share growth," and "free cash flow." 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15 for additional information regarding the company's forward-looking non-GAAP financial measures.</w:t>
      </w:r>
    </w:p>
    <w:p>
      <w:pPr>
        <w:spacing w:after="0" w:line="133"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Examples of non-cash or other items may include, but are not limited to, non-cash intangible asset amortization expense associated with acquisitions; non-cash impairment charges; restructuring costs; severance costs; net charges associated with debt financing activities; merger and integration costs; gains or losses from the sale of businesses, certain assets or investments; certain discrete tax benefits and expenses; and non-cash deferred revenue adjustments arising from acquisitions.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119"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231" w:right="359" w:bottom="1440" w:gutter="0" w:footer="0" w:header="0"/>
        </w:sectPr>
      </w:pPr>
    </w:p>
    <w:bookmarkStart w:id="7" w:name="page8"/>
    <w:bookmarkEnd w:id="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54" w:lineRule="auto"/>
        <w:rPr>
          <w:sz w:val="20"/>
          <w:szCs w:val="20"/>
          <w:color w:val="auto"/>
        </w:rPr>
      </w:pPr>
      <w:r>
        <w:rPr>
          <w:rFonts w:ascii="Arial" w:cs="Arial" w:eastAsia="Arial" w:hAnsi="Arial"/>
          <w:sz w:val="20"/>
          <w:szCs w:val="20"/>
          <w:color w:val="auto"/>
        </w:rPr>
        <w:t>Management believes organic revenue growth is useful because it presents adjusted revenue growth excluding the impact of foreign currency fluctuations, acquisitions, dispositions and the company's Output Solutions postage reimbursements and including deferred revenue purchase accounting adjustments.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133" w:lineRule="exact"/>
        <w:rPr>
          <w:sz w:val="20"/>
          <w:szCs w:val="20"/>
          <w:color w:val="auto"/>
        </w:rPr>
      </w:pPr>
    </w:p>
    <w:p>
      <w:pPr>
        <w:ind w:right="360"/>
        <w:spacing w:after="0" w:line="255" w:lineRule="auto"/>
        <w:rPr>
          <w:sz w:val="20"/>
          <w:szCs w:val="20"/>
          <w:color w:val="auto"/>
        </w:rPr>
      </w:pPr>
      <w:r>
        <w:rPr>
          <w:rFonts w:ascii="Arial" w:cs="Arial" w:eastAsia="Arial" w:hAnsi="Arial"/>
          <w:sz w:val="20"/>
          <w:szCs w:val="20"/>
          <w:color w:val="auto"/>
        </w:rPr>
        <w:t>These unaudited non-GAAP measures may not be comparable to similarly titled measures reported by other companies and should be considered in addition to, and not as a substitute for, revenue, operating income, operating margin, net income attributable to Fiserv, earnings per share and net cash provided by operating activities or any other amount determined in accordance with GAAP.</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ind w:right="280"/>
        <w:spacing w:after="0" w:line="266" w:lineRule="auto"/>
        <w:rPr>
          <w:sz w:val="20"/>
          <w:szCs w:val="20"/>
          <w:color w:val="auto"/>
        </w:rPr>
      </w:pPr>
      <w:r>
        <w:rPr>
          <w:rFonts w:ascii="Arial" w:cs="Arial" w:eastAsia="Arial" w:hAnsi="Arial"/>
          <w:sz w:val="19"/>
          <w:szCs w:val="19"/>
          <w:i w:val="1"/>
          <w:iCs w:val="1"/>
          <w:color w:val="auto"/>
        </w:rPr>
        <w:t>This news release contains forward-looking statements within the meaning of the Private Securities Litigation Reform Act of 1995, including statements regarding anticipated organic revenue growth, adjusted earnings per share, adjusted earnings per share growth and other statements regarding our future financial performance. Statements can generally be identified as forward-looking because they include words such as “believes,” “anticipates,” “expects,” “could,” “should,” or words of similar meaning. Statements that describe the company's future plans, objectives or goals are also forward-looking statements.</w:t>
      </w:r>
    </w:p>
    <w:p>
      <w:pPr>
        <w:spacing w:after="0" w:line="121" w:lineRule="exact"/>
        <w:rPr>
          <w:sz w:val="20"/>
          <w:szCs w:val="20"/>
          <w:color w:val="auto"/>
        </w:rPr>
      </w:pPr>
    </w:p>
    <w:p>
      <w:pPr>
        <w:spacing w:after="0" w:line="249" w:lineRule="auto"/>
        <w:rPr>
          <w:sz w:val="20"/>
          <w:szCs w:val="20"/>
          <w:color w:val="auto"/>
        </w:rPr>
      </w:pPr>
      <w:r>
        <w:rPr>
          <w:rFonts w:ascii="Arial" w:cs="Arial" w:eastAsia="Arial" w:hAnsi="Arial"/>
          <w:sz w:val="20"/>
          <w:szCs w:val="20"/>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many of which may continue to be amplified by the COVID-19 pandemic: the duration and intensity of the COVID-19 pandemic, including how quickly the global economy recovers from the impact of the pandemic; governmental and private sector responses to the COVID-19 pandemic and the impact of such responses on the company; the impact of the COVID-19 pandemic on the company's employees, clients, vendors, supply chain, operations and sales;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success of the company's merchant alliances, some of which are not controlled by the company; the impact of a security breach or operational failure on the company's business including disruptions caused by other participants in the global financial system; the failure of the company's vendors and merchants to satisfy their obligations; the successful management of credit and fraud risks in the company's business and merchant alliances; changes in local, regional, national and international economic or political conditions, including those resulting from heightened inflation, a recession, or intensified international hostilities, and the impact they may have on the company and its customers; the effect of 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231" w:right="339" w:bottom="1440" w:gutter="0" w:footer="0" w:header="0"/>
        </w:sectPr>
      </w:pPr>
    </w:p>
    <w:bookmarkStart w:id="8" w:name="page9"/>
    <w:bookmarkEnd w:id="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0" w:lineRule="auto"/>
        <w:rPr>
          <w:sz w:val="20"/>
          <w:szCs w:val="20"/>
          <w:color w:val="auto"/>
        </w:rPr>
      </w:pPr>
      <w:r>
        <w:rPr>
          <w:rFonts w:ascii="Arial" w:cs="Arial" w:eastAsia="Arial" w:hAnsi="Arial"/>
          <w:sz w:val="20"/>
          <w:szCs w:val="20"/>
          <w:i w:val="1"/>
          <w:iCs w:val="1"/>
          <w:color w:val="auto"/>
        </w:rPr>
        <w:t>governmental proceedings; the company's ability to successfully identify, complete and integrate acquisitions, and to realize the anticipated benefits associated with the same; the impact of the company's strategic initiatives; the company's ability to attract and retain key personnel; volatility and disruptions in financial markets that may impact the company's ability to access preferred sources of financing and the terms on which the company is able to obtain financing or increase its costs of borrowing; adverse impacts from currency exchange rates or currency controls; changes in corporate tax and interest rates; and other factors included in “Risk Factors” in the company's Annual Report on Form 10-K for the year ended December 31, 2021, and in other documents that the company files with the Securities and Exchange Commission,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231"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2"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(In millions, except per share amounts, 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22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6"/>
                <w:szCs w:val="16"/>
                <w:color w:val="auto"/>
              </w:rPr>
            </w:pPr>
          </w:p>
        </w:tc>
        <w:tc>
          <w:tcPr>
            <w:tcW w:w="2180" w:type="dxa"/>
            <w:vAlign w:val="bottom"/>
            <w:gridSpan w:val="4"/>
          </w:tcPr>
          <w:p>
            <w:pPr>
              <w:jc w:val="right"/>
              <w:ind w:right="47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2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5"/>
        </w:trPr>
        <w:tc>
          <w:tcPr>
            <w:tcW w:w="6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3,696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3,361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7,060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6,415</w:t>
            </w:r>
          </w:p>
        </w:tc>
        <w:tc>
          <w:tcPr>
            <w:tcW w:w="0" w:type="dxa"/>
            <w:vAlign w:val="bottom"/>
          </w:tcPr>
          <w:p>
            <w:pPr>
              <w:spacing w:after="0"/>
              <w:rPr>
                <w:sz w:val="1"/>
                <w:szCs w:val="1"/>
                <w:color w:val="auto"/>
              </w:rPr>
            </w:pPr>
          </w:p>
        </w:tc>
      </w:tr>
      <w:tr>
        <w:trPr>
          <w:trHeight w:val="217"/>
        </w:trPr>
        <w:tc>
          <w:tcPr>
            <w:tcW w:w="6220" w:type="dxa"/>
            <w:vAlign w:val="bottom"/>
          </w:tcPr>
          <w:p>
            <w:pPr>
              <w:spacing w:after="0"/>
              <w:rPr>
                <w:sz w:val="20"/>
                <w:szCs w:val="20"/>
                <w:color w:val="auto"/>
              </w:rPr>
            </w:pPr>
            <w:r>
              <w:rPr>
                <w:rFonts w:ascii="Arial" w:cs="Arial" w:eastAsia="Arial" w:hAnsi="Arial"/>
                <w:sz w:val="16"/>
                <w:szCs w:val="16"/>
                <w:color w:val="auto"/>
              </w:rPr>
              <w:t>Product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4,450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8,588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7,806</w:t>
            </w:r>
          </w:p>
        </w:tc>
        <w:tc>
          <w:tcPr>
            <w:tcW w:w="0" w:type="dxa"/>
            <w:vAlign w:val="bottom"/>
          </w:tcPr>
          <w:p>
            <w:pPr>
              <w:spacing w:after="0"/>
              <w:rPr>
                <w:sz w:val="1"/>
                <w:szCs w:val="1"/>
                <w:color w:val="auto"/>
              </w:rPr>
            </w:pPr>
          </w:p>
        </w:tc>
      </w:tr>
      <w:tr>
        <w:trPr>
          <w:trHeight w:val="357"/>
        </w:trPr>
        <w:tc>
          <w:tcPr>
            <w:tcW w:w="62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2,938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2,895</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Cost of product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542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17"/>
        </w:trPr>
        <w:tc>
          <w:tcPr>
            <w:tcW w:w="6220" w:type="dxa"/>
            <w:vAlign w:val="bottom"/>
          </w:tcPr>
          <w:p>
            <w:pPr>
              <w:spacing w:after="0"/>
              <w:rPr>
                <w:sz w:val="20"/>
                <w:szCs w:val="20"/>
                <w:color w:val="auto"/>
              </w:rPr>
            </w:pPr>
            <w:r>
              <w:rPr>
                <w:rFonts w:ascii="Arial" w:cs="Arial" w:eastAsia="Arial" w:hAnsi="Arial"/>
                <w:sz w:val="16"/>
                <w:szCs w:val="16"/>
                <w:color w:val="auto"/>
              </w:rPr>
              <w:t>Gain on sale of assets</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6,882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6,687</w:t>
            </w:r>
          </w:p>
        </w:tc>
        <w:tc>
          <w:tcPr>
            <w:tcW w:w="0" w:type="dxa"/>
            <w:vAlign w:val="bottom"/>
          </w:tcPr>
          <w:p>
            <w:pPr>
              <w:spacing w:after="0"/>
              <w:rPr>
                <w:sz w:val="1"/>
                <w:szCs w:val="1"/>
                <w:color w:val="auto"/>
              </w:rPr>
            </w:pPr>
          </w:p>
        </w:tc>
      </w:tr>
      <w:tr>
        <w:trPr>
          <w:trHeight w:val="357"/>
        </w:trPr>
        <w:tc>
          <w:tcPr>
            <w:tcW w:w="62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860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1,706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7"/>
        </w:trPr>
        <w:tc>
          <w:tcPr>
            <w:tcW w:w="6220" w:type="dxa"/>
            <w:vAlign w:val="bottom"/>
          </w:tcPr>
          <w:p>
            <w:pPr>
              <w:spacing w:after="0"/>
              <w:rPr>
                <w:sz w:val="20"/>
                <w:szCs w:val="20"/>
                <w:color w:val="auto"/>
              </w:rPr>
            </w:pPr>
            <w:r>
              <w:rPr>
                <w:rFonts w:ascii="Arial" w:cs="Arial" w:eastAsia="Arial" w:hAnsi="Arial"/>
                <w:sz w:val="16"/>
                <w:szCs w:val="16"/>
                <w:color w:val="auto"/>
              </w:rPr>
              <w:t>Other (expense) income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04"/>
        </w:trPr>
        <w:tc>
          <w:tcPr>
            <w:tcW w:w="6220" w:type="dxa"/>
            <w:vAlign w:val="bottom"/>
          </w:tcPr>
          <w:p>
            <w:pPr>
              <w:spacing w:after="0"/>
              <w:rPr>
                <w:sz w:val="20"/>
                <w:szCs w:val="20"/>
                <w:color w:val="auto"/>
              </w:rPr>
            </w:pPr>
            <w:r>
              <w:rPr>
                <w:rFonts w:ascii="Arial" w:cs="Arial" w:eastAsia="Arial" w:hAnsi="Arial"/>
                <w:sz w:val="16"/>
                <w:szCs w:val="16"/>
                <w:b w:val="1"/>
                <w:bCs w:val="1"/>
                <w:color w:val="auto"/>
              </w:rPr>
              <w:t>Income before income taxes and income from investments in unconsolidated</w:t>
            </w:r>
          </w:p>
        </w:tc>
        <w:tc>
          <w:tcPr>
            <w:tcW w:w="24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618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1,292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15"/>
        </w:trPr>
        <w:tc>
          <w:tcPr>
            <w:tcW w:w="6220" w:type="dxa"/>
            <w:vAlign w:val="bottom"/>
          </w:tcPr>
          <w:p>
            <w:pPr>
              <w:spacing w:after="0"/>
              <w:rPr>
                <w:sz w:val="20"/>
                <w:szCs w:val="20"/>
                <w:color w:val="auto"/>
              </w:rPr>
            </w:pPr>
            <w:r>
              <w:rPr>
                <w:rFonts w:ascii="Arial" w:cs="Arial" w:eastAsia="Arial" w:hAnsi="Arial"/>
                <w:sz w:val="16"/>
                <w:szCs w:val="16"/>
                <w:b w:val="1"/>
                <w:bCs w:val="1"/>
                <w:color w:val="auto"/>
              </w:rPr>
              <w:t>affiliates</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6"/>
                <w:szCs w:val="16"/>
                <w:color w:val="auto"/>
              </w:rPr>
              <w:t>Income tax provision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7"/>
        </w:trPr>
        <w:tc>
          <w:tcPr>
            <w:tcW w:w="6220" w:type="dxa"/>
            <w:vAlign w:val="bottom"/>
          </w:tcPr>
          <w:p>
            <w:pPr>
              <w:spacing w:after="0"/>
              <w:rPr>
                <w:sz w:val="20"/>
                <w:szCs w:val="20"/>
                <w:color w:val="auto"/>
              </w:rPr>
            </w:pPr>
            <w:r>
              <w:rPr>
                <w:rFonts w:ascii="Arial" w:cs="Arial" w:eastAsia="Arial" w:hAnsi="Arial"/>
                <w:sz w:val="16"/>
                <w:szCs w:val="16"/>
                <w:color w:val="auto"/>
              </w:rPr>
              <w:t>Income from investments in unconsolidated affiliates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57"/>
        </w:trPr>
        <w:tc>
          <w:tcPr>
            <w:tcW w:w="622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609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1,291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7"/>
        </w:trPr>
        <w:tc>
          <w:tcPr>
            <w:tcW w:w="622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6220" w:type="dxa"/>
            <w:vAlign w:val="bottom"/>
          </w:tcPr>
          <w:p>
            <w:pPr>
              <w:spacing w:after="0"/>
              <w:rPr>
                <w:sz w:val="20"/>
                <w:szCs w:val="20"/>
                <w:color w:val="auto"/>
              </w:rPr>
            </w:pPr>
            <w:r>
              <w:rPr>
                <w:rFonts w:ascii="Arial" w:cs="Arial" w:eastAsia="Arial" w:hAnsi="Arial"/>
                <w:sz w:val="16"/>
                <w:szCs w:val="16"/>
                <w:b w:val="1"/>
                <w:bCs w:val="1"/>
                <w:color w:val="auto"/>
              </w:rPr>
              <w:t>Net income attributable to Fiserv</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1,267</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0"/>
        </w:trPr>
        <w:tc>
          <w:tcPr>
            <w:tcW w:w="622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 - diluted</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0.92</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378"/>
        </w:trPr>
        <w:tc>
          <w:tcPr>
            <w:tcW w:w="622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per share attributable to Fiserv</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650.8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654.0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31"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Reconciliation of GAAP to</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millions, except per share amounts, 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20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6"/>
                <w:szCs w:val="16"/>
                <w:color w:val="auto"/>
              </w:rPr>
            </w:pPr>
          </w:p>
        </w:tc>
        <w:tc>
          <w:tcPr>
            <w:tcW w:w="2200" w:type="dxa"/>
            <w:vAlign w:val="bottom"/>
            <w:gridSpan w:val="4"/>
          </w:tcPr>
          <w:p>
            <w:pPr>
              <w:jc w:val="right"/>
              <w:ind w:right="499"/>
              <w:spacing w:after="0"/>
              <w:rPr>
                <w:sz w:val="20"/>
                <w:szCs w:val="20"/>
                <w:color w:val="auto"/>
              </w:rPr>
            </w:pPr>
            <w:r>
              <w:rPr>
                <w:rFonts w:ascii="Arial" w:cs="Arial" w:eastAsia="Arial" w:hAnsi="Arial"/>
                <w:sz w:val="16"/>
                <w:szCs w:val="16"/>
                <w:color w:val="auto"/>
              </w:rPr>
              <w:t>Six Months Ended</w:t>
            </w:r>
          </w:p>
        </w:tc>
      </w:tr>
      <w:tr>
        <w:trPr>
          <w:trHeight w:val="215"/>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8"/>
                <w:szCs w:val="18"/>
                <w:color w:val="auto"/>
              </w:rPr>
            </w:pPr>
          </w:p>
        </w:tc>
      </w:tr>
      <w:tr>
        <w:trPr>
          <w:trHeight w:val="217"/>
        </w:trPr>
        <w:tc>
          <w:tcPr>
            <w:tcW w:w="5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r>
      <w:tr>
        <w:trPr>
          <w:trHeight w:val="411"/>
        </w:trPr>
        <w:tc>
          <w:tcPr>
            <w:tcW w:w="5860" w:type="dxa"/>
            <w:vAlign w:val="bottom"/>
          </w:tcPr>
          <w:p>
            <w:pPr>
              <w:spacing w:after="0"/>
              <w:rPr>
                <w:sz w:val="20"/>
                <w:szCs w:val="20"/>
                <w:color w:val="auto"/>
              </w:rPr>
            </w:pPr>
            <w:r>
              <w:rPr>
                <w:rFonts w:ascii="Arial" w:cs="Arial" w:eastAsia="Arial" w:hAnsi="Arial"/>
                <w:sz w:val="16"/>
                <w:szCs w:val="16"/>
                <w:b w:val="1"/>
                <w:bCs w:val="1"/>
                <w:color w:val="auto"/>
              </w:rPr>
              <w:t>GAAP net income attributable to Fiserv</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598</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1,267</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58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Severance costs </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471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946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1,019</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Gain on sale of assets </w:t>
            </w:r>
            <w:r>
              <w:rPr>
                <w:rFonts w:ascii="Arial" w:cs="Arial" w:eastAsia="Arial" w:hAnsi="Arial"/>
                <w:sz w:val="21"/>
                <w:szCs w:val="21"/>
                <w:color w:val="auto"/>
                <w:vertAlign w:val="superscript"/>
              </w:rPr>
              <w:t>5</w:t>
            </w: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6</w:t>
            </w: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7"/>
        </w:trPr>
        <w:tc>
          <w:tcPr>
            <w:tcW w:w="586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7</w:t>
            </w: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09"/>
        </w:trPr>
        <w:tc>
          <w:tcPr>
            <w:tcW w:w="5860" w:type="dxa"/>
            <w:vAlign w:val="bottom"/>
          </w:tcPr>
          <w:p>
            <w:pPr>
              <w:spacing w:after="0"/>
              <w:rPr>
                <w:sz w:val="20"/>
                <w:szCs w:val="20"/>
                <w:color w:val="auto"/>
              </w:rPr>
            </w:pPr>
            <w:r>
              <w:rPr>
                <w:rFonts w:ascii="Arial" w:cs="Arial" w:eastAsia="Arial" w:hAnsi="Arial"/>
                <w:sz w:val="16"/>
                <w:szCs w:val="16"/>
                <w:b w:val="1"/>
                <w:bCs w:val="1"/>
                <w:color w:val="auto"/>
              </w:rPr>
              <w:t>Adjusted net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1,013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1,934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1,718</w:t>
            </w:r>
          </w:p>
        </w:tc>
      </w:tr>
      <w:tr>
        <w:trPr>
          <w:trHeight w:val="21"/>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0"/>
        </w:trPr>
        <w:tc>
          <w:tcPr>
            <w:tcW w:w="5860" w:type="dxa"/>
            <w:vAlign w:val="bottom"/>
          </w:tcPr>
          <w:p>
            <w:pPr>
              <w:spacing w:after="0"/>
              <w:rPr>
                <w:sz w:val="20"/>
                <w:szCs w:val="20"/>
                <w:color w:val="auto"/>
              </w:rPr>
            </w:pPr>
            <w:r>
              <w:rPr>
                <w:rFonts w:ascii="Arial" w:cs="Arial" w:eastAsia="Arial" w:hAnsi="Arial"/>
                <w:sz w:val="16"/>
                <w:szCs w:val="16"/>
                <w:b w:val="1"/>
                <w:bCs w:val="1"/>
                <w:color w:val="auto"/>
              </w:rPr>
              <w:t>GAAP earnings per share attributable to Fiserv</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0.92</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1.94</w:t>
            </w:r>
          </w:p>
        </w:tc>
        <w:tc>
          <w:tcPr>
            <w:tcW w:w="12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0.85</w:t>
            </w:r>
          </w:p>
        </w:tc>
      </w:t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Adjustments - net of income taxes: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7"/>
        </w:trPr>
        <w:tc>
          <w:tcPr>
            <w:tcW w:w="58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0.05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0.07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Severance costs </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0.06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0.57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(0.04)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(0.11)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Gain on sale of assets </w:t>
            </w:r>
            <w:r>
              <w:rPr>
                <w:rFonts w:ascii="Arial" w:cs="Arial" w:eastAsia="Arial" w:hAnsi="Arial"/>
                <w:sz w:val="21"/>
                <w:szCs w:val="21"/>
                <w:color w:val="auto"/>
                <w:vertAlign w:val="superscript"/>
              </w:rPr>
              <w:t>5</w:t>
            </w: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(0.21)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86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Discrete tax items </w:t>
            </w:r>
            <w:r>
              <w:rPr>
                <w:rFonts w:ascii="Arial" w:cs="Arial" w:eastAsia="Arial" w:hAnsi="Arial"/>
                <w:sz w:val="21"/>
                <w:szCs w:val="21"/>
                <w:color w:val="auto"/>
                <w:vertAlign w:val="superscript"/>
              </w:rPr>
              <w:t>7</w:t>
            </w: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0.20</w:t>
            </w:r>
          </w:p>
        </w:tc>
      </w:tr>
      <w:tr>
        <w:trPr>
          <w:trHeight w:val="210"/>
        </w:trPr>
        <w:tc>
          <w:tcPr>
            <w:tcW w:w="5860" w:type="dxa"/>
            <w:vAlign w:val="bottom"/>
          </w:tcPr>
          <w:p>
            <w:pPr>
              <w:spacing w:after="0"/>
              <w:rPr>
                <w:sz w:val="20"/>
                <w:szCs w:val="20"/>
                <w:color w:val="auto"/>
              </w:rPr>
            </w:pPr>
            <w:r>
              <w:rPr>
                <w:rFonts w:ascii="Arial" w:cs="Arial" w:eastAsia="Arial" w:hAnsi="Arial"/>
                <w:sz w:val="16"/>
                <w:szCs w:val="16"/>
                <w:b w:val="1"/>
                <w:bCs w:val="1"/>
                <w:color w:val="auto"/>
              </w:rPr>
              <w:t>Adjusted earnings per share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2.96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30"/>
        </w:trPr>
        <w:tc>
          <w:tcPr>
            <w:tcW w:w="5860" w:type="dxa"/>
            <w:vAlign w:val="bottom"/>
          </w:tcPr>
          <w:p>
            <w:pPr>
              <w:spacing w:after="0"/>
              <w:rPr>
                <w:sz w:val="20"/>
                <w:szCs w:val="20"/>
                <w:color w:val="auto"/>
              </w:rPr>
            </w:pPr>
            <w:r>
              <w:rPr>
                <w:rFonts w:ascii="Arial" w:cs="Arial" w:eastAsia="Arial" w:hAnsi="Arial"/>
                <w:sz w:val="16"/>
                <w:szCs w:val="16"/>
                <w:color w:val="auto"/>
              </w:rPr>
              <w:t>GAAP earnings per share attributable to Fiserv growth</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130 %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128 %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6"/>
                <w:szCs w:val="16"/>
                <w:color w:val="auto"/>
              </w:rPr>
              <w:t>Adjusted earnings per share growth</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is calculated using actual, unrounded amounts.</w:t>
      </w:r>
    </w:p>
    <w:p>
      <w:pPr>
        <w:spacing w:after="0" w:line="91" w:lineRule="exact"/>
        <w:rPr>
          <w:sz w:val="20"/>
          <w:szCs w:val="20"/>
          <w:color w:val="auto"/>
        </w:rPr>
      </w:pPr>
    </w:p>
    <w:p>
      <w:pPr>
        <w:ind w:left="340" w:right="140" w:hanging="332"/>
        <w:spacing w:after="0" w:line="245" w:lineRule="auto"/>
        <w:tabs>
          <w:tab w:leader="none" w:pos="338"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Represents acquisition and related integration costs incurred in connection with various acquisitions, including those in 2021 related to the First Data acquisition. Merger and integration costs in the second quarter and first six months of 2022 primarily include share-based compensation attributable to various acquisitions. First Data integration costs in the second quarter and first six months of 2021 primarily include $63 million and $115 million, respectively, of third-party professional service fees associated with integration activities; $10 million and $28 million, respectively, of incremental share-based compensation, including the fair value of stock awards assumed by Fiserv; and $48 million and $93 million, respectively, of other integration-related compensation costs.</w:t>
      </w:r>
    </w:p>
    <w:p>
      <w:pPr>
        <w:spacing w:after="0" w:line="6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severance costs associated with the achievement of expense management initiatives.</w:t>
      </w:r>
    </w:p>
    <w:p>
      <w:pPr>
        <w:spacing w:after="0" w:line="93" w:lineRule="exact"/>
        <w:rPr>
          <w:sz w:val="20"/>
          <w:szCs w:val="20"/>
          <w:color w:val="auto"/>
        </w:rPr>
      </w:pPr>
    </w:p>
    <w:p>
      <w:pPr>
        <w:ind w:left="340" w:right="300" w:hanging="332"/>
        <w:spacing w:after="0" w:line="234" w:lineRule="auto"/>
        <w:tabs>
          <w:tab w:leader="none" w:pos="338"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amortization of intangible assets acquired through various acquisitions, including customer relationships, software/technology and trade names. This adjustment does not exclude the amortization of other intangible assets such as contract costs (sales commissions and deferred conversion costs), capitalized and purchased software, and financing costs and debt discounts. See additional information on page 14 for an analysis of the company's amortization expense.</w:t>
      </w:r>
    </w:p>
    <w:p>
      <w:pPr>
        <w:spacing w:after="0" w:line="94" w:lineRule="exact"/>
        <w:rPr>
          <w:sz w:val="20"/>
          <w:szCs w:val="20"/>
          <w:color w:val="auto"/>
        </w:rPr>
      </w:pPr>
    </w:p>
    <w:p>
      <w:pPr>
        <w:ind w:left="340" w:hanging="332"/>
        <w:spacing w:after="0"/>
        <w:tabs>
          <w:tab w:leader="none" w:pos="338"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share of amortization of acquisition-related intangible assets at its unconsolidated affiliates, as well as the minority interest share of amortization of acquisition-related intangible assets at its subsidiaries in which the company holds a controlling financial interest. This adjustment during the second quarter and first six months of 2022 also includes gains totaling $110 million and $201 million, respectively, related to certain equity investment transactions. In addition, the second quarter and first six months of 2022 includes other expense of $59 million associated with joint venture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80"/>
          </w:cols>
          <w:pgMar w:left="320" w:top="1231" w:right="599" w:bottom="1440" w:gutter="0" w:footer="0" w:header="0"/>
        </w:sectPr>
      </w:pPr>
    </w:p>
    <w:bookmarkStart w:id="11" w:name="page12"/>
    <w:bookmarkEnd w:id="11"/>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32"/>
        <w:spacing w:after="0" w:line="305" w:lineRule="auto"/>
        <w:rPr>
          <w:sz w:val="20"/>
          <w:szCs w:val="20"/>
          <w:color w:val="auto"/>
        </w:rPr>
      </w:pPr>
      <w:r>
        <w:rPr>
          <w:rFonts w:ascii="Arial" w:cs="Arial" w:eastAsia="Arial" w:hAnsi="Arial"/>
          <w:sz w:val="14"/>
          <w:szCs w:val="14"/>
          <w:color w:val="auto"/>
        </w:rPr>
        <w:t>debt guarantees. This adjustment during the second quarter and first six months of 2021 also includes gains totaling $33 million and $73 million, respectively, related to the fair value remeasurement and sale of certain equity investments.</w:t>
      </w:r>
    </w:p>
    <w:p>
      <w:pPr>
        <w:spacing w:after="0" w:line="50" w:lineRule="exact"/>
        <w:rPr>
          <w:sz w:val="20"/>
          <w:szCs w:val="20"/>
          <w:color w:val="auto"/>
        </w:rPr>
      </w:pPr>
    </w:p>
    <w:p>
      <w:pPr>
        <w:ind w:left="332" w:right="260" w:hanging="332"/>
        <w:spacing w:after="0" w:line="222" w:lineRule="auto"/>
        <w:tabs>
          <w:tab w:leader="none" w:pos="33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Represents a gain associated with the sale of certain merchant contracts in conjunction with the mutual termination of one of the company's merchant alliance joint ventures.</w:t>
      </w:r>
    </w:p>
    <w:p>
      <w:pPr>
        <w:spacing w:after="0" w:line="94" w:lineRule="exact"/>
        <w:rPr>
          <w:sz w:val="20"/>
          <w:szCs w:val="20"/>
          <w:color w:val="auto"/>
        </w:rPr>
      </w:pPr>
    </w:p>
    <w:p>
      <w:pPr>
        <w:ind w:left="332" w:right="40" w:hanging="332"/>
        <w:spacing w:after="0"/>
        <w:tabs>
          <w:tab w:leader="none" w:pos="33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 tax impact of adjustments is calculated using a tax rate of 21% and 23% in the first six months of 2022 and 2021, respectively, which approximates the company's anticipated annual effective tax rates, exclusive of the $16 million actual tax impacts associated with the gain on sale of assets and certain equity investment transactions in the first six months of 2022.</w:t>
      </w:r>
    </w:p>
    <w:p>
      <w:pPr>
        <w:spacing w:after="0" w:line="66" w:lineRule="exact"/>
        <w:rPr>
          <w:sz w:val="20"/>
          <w:szCs w:val="20"/>
          <w:color w:val="auto"/>
        </w:rPr>
      </w:pPr>
    </w:p>
    <w:p>
      <w:pPr>
        <w:ind w:left="312" w:hanging="312"/>
        <w:spacing w:after="0"/>
        <w:tabs>
          <w:tab w:leader="none" w:pos="31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discrete tax items related to the revaluation of deferred taxes due to a change in the respective statutory tax rates in the United Kingdom and Argentina.</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309" w:lineRule="exact"/>
        <w:rPr>
          <w:rFonts w:ascii="Arial" w:cs="Arial" w:eastAsia="Arial" w:hAnsi="Arial"/>
          <w:sz w:val="19"/>
          <w:szCs w:val="19"/>
          <w:color w:val="auto"/>
          <w:vertAlign w:val="superscript"/>
        </w:rPr>
      </w:pPr>
    </w:p>
    <w:p>
      <w:pPr>
        <w:ind w:left="5572"/>
        <w:spacing w:after="0"/>
        <w:rPr>
          <w:rFonts w:ascii="Arial" w:cs="Arial" w:eastAsia="Arial" w:hAnsi="Arial"/>
          <w:sz w:val="19"/>
          <w:szCs w:val="19"/>
          <w:color w:val="auto"/>
          <w:vertAlign w:val="superscript"/>
        </w:rPr>
      </w:pPr>
      <w:r>
        <w:rPr>
          <w:rFonts w:ascii="Arial" w:cs="Arial" w:eastAsia="Arial" w:hAnsi="Arial"/>
          <w:sz w:val="16"/>
          <w:szCs w:val="16"/>
          <w:color w:val="auto"/>
        </w:rPr>
        <w:t>8</w:t>
      </w:r>
    </w:p>
    <w:p>
      <w:pPr>
        <w:sectPr>
          <w:pgSz w:w="11900" w:h="16838" w:orient="portrait"/>
          <w:cols w:equalWidth="0" w:num="1">
            <w:col w:w="10932"/>
          </w:cols>
          <w:pgMar w:left="328" w:top="1231" w:right="639" w:bottom="1440" w:gutter="0" w:footer="0" w:header="0"/>
        </w:sectPr>
      </w:pPr>
    </w:p>
    <w:bookmarkStart w:id="12" w:name="page13"/>
    <w:bookmarkEnd w:id="12"/>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Results by Segment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280"/>
              <w:spacing w:after="0"/>
              <w:rPr>
                <w:sz w:val="20"/>
                <w:szCs w:val="20"/>
                <w:color w:val="auto"/>
              </w:rPr>
            </w:pPr>
            <w:r>
              <w:rPr>
                <w:rFonts w:ascii="Arial" w:cs="Arial" w:eastAsia="Arial" w:hAnsi="Arial"/>
                <w:sz w:val="16"/>
                <w:szCs w:val="16"/>
                <w:color w:val="auto"/>
              </w:rPr>
              <w:t>Three Months Ended</w:t>
            </w:r>
          </w:p>
        </w:tc>
        <w:tc>
          <w:tcPr>
            <w:tcW w:w="280" w:type="dxa"/>
            <w:vAlign w:val="bottom"/>
          </w:tcPr>
          <w:p>
            <w:pPr>
              <w:spacing w:after="0"/>
              <w:rPr>
                <w:sz w:val="16"/>
                <w:szCs w:val="16"/>
                <w:color w:val="auto"/>
              </w:rPr>
            </w:pPr>
          </w:p>
        </w:tc>
        <w:tc>
          <w:tcPr>
            <w:tcW w:w="2360" w:type="dxa"/>
            <w:vAlign w:val="bottom"/>
            <w:gridSpan w:val="4"/>
          </w:tcPr>
          <w:p>
            <w:pPr>
              <w:jc w:val="right"/>
              <w:ind w:right="57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19"/>
              <w:spacing w:after="0"/>
              <w:rPr>
                <w:sz w:val="20"/>
                <w:szCs w:val="20"/>
                <w:color w:val="auto"/>
              </w:rPr>
            </w:pPr>
            <w:r>
              <w:rPr>
                <w:rFonts w:ascii="Arial" w:cs="Arial" w:eastAsia="Arial" w:hAnsi="Arial"/>
                <w:sz w:val="16"/>
                <w:szCs w:val="16"/>
                <w:color w:val="auto"/>
              </w:rPr>
              <w:t>June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ind w:right="19"/>
              <w:spacing w:after="0"/>
              <w:rPr>
                <w:sz w:val="20"/>
                <w:szCs w:val="20"/>
                <w:color w:val="auto"/>
              </w:rPr>
            </w:pPr>
            <w:r>
              <w:rPr>
                <w:rFonts w:ascii="Arial" w:cs="Arial" w:eastAsia="Arial" w:hAnsi="Arial"/>
                <w:sz w:val="16"/>
                <w:szCs w:val="16"/>
                <w:color w:val="auto"/>
              </w:rPr>
              <w:t>June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40" w:type="dxa"/>
            <w:vAlign w:val="bottom"/>
            <w:vMerge w:val="restart"/>
          </w:tcPr>
          <w:p>
            <w:pPr>
              <w:spacing w:after="0"/>
              <w:rPr>
                <w:sz w:val="20"/>
                <w:szCs w:val="20"/>
                <w:color w:val="auto"/>
              </w:rPr>
            </w:pPr>
            <w:r>
              <w:rPr>
                <w:rFonts w:ascii="Arial" w:cs="Arial" w:eastAsia="Arial" w:hAnsi="Arial"/>
                <w:sz w:val="16"/>
                <w:szCs w:val="16"/>
                <w:b w:val="1"/>
                <w:bCs w:val="1"/>
                <w:color w:val="auto"/>
              </w:rPr>
              <w:t>Total Company</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5"/>
        </w:trPr>
        <w:tc>
          <w:tcPr>
            <w:tcW w:w="5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4,450</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4,051</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8,588</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7,806</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4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28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(222)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7"/>
        </w:trPr>
        <w:tc>
          <w:tcPr>
            <w:tcW w:w="584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Adjusted 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4,234</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3,855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8,140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7,412</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84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860</w:t>
            </w:r>
          </w:p>
        </w:tc>
        <w:tc>
          <w:tcPr>
            <w:tcW w:w="14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1,706</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4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39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47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28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471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946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17"/>
        </w:trPr>
        <w:tc>
          <w:tcPr>
            <w:tcW w:w="5840" w:type="dxa"/>
            <w:vAlign w:val="bottom"/>
          </w:tcPr>
          <w:p>
            <w:pPr>
              <w:ind w:left="120"/>
              <w:spacing w:after="0"/>
              <w:rPr>
                <w:sz w:val="20"/>
                <w:szCs w:val="20"/>
                <w:color w:val="auto"/>
              </w:rPr>
            </w:pPr>
            <w:r>
              <w:rPr>
                <w:rFonts w:ascii="Arial" w:cs="Arial" w:eastAsia="Arial" w:hAnsi="Arial"/>
                <w:sz w:val="16"/>
                <w:szCs w:val="16"/>
                <w:color w:val="auto"/>
              </w:rPr>
              <w:t>Gain on sale of assets</w:t>
            </w:r>
          </w:p>
        </w:tc>
        <w:tc>
          <w:tcPr>
            <w:tcW w:w="2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1,417</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2,665</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2,425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5840" w:type="dxa"/>
            <w:vAlign w:val="bottom"/>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19.3 %</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19.9 %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33.5 %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32.7 %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32.7 %</w:t>
            </w:r>
          </w:p>
        </w:tc>
        <w:tc>
          <w:tcPr>
            <w:tcW w:w="0" w:type="dxa"/>
            <w:vAlign w:val="bottom"/>
          </w:tcPr>
          <w:p>
            <w:pPr>
              <w:spacing w:after="0"/>
              <w:rPr>
                <w:sz w:val="1"/>
                <w:szCs w:val="1"/>
                <w:color w:val="auto"/>
              </w:rPr>
            </w:pPr>
          </w:p>
        </w:tc>
      </w:tr>
      <w:tr>
        <w:trPr>
          <w:trHeight w:val="317"/>
        </w:trPr>
        <w:tc>
          <w:tcPr>
            <w:tcW w:w="5840" w:type="dxa"/>
            <w:vAlign w:val="bottom"/>
          </w:tcPr>
          <w:p>
            <w:pPr>
              <w:spacing w:after="0"/>
              <w:rPr>
                <w:sz w:val="20"/>
                <w:szCs w:val="20"/>
                <w:color w:val="auto"/>
              </w:rPr>
            </w:pPr>
            <w:r>
              <w:rPr>
                <w:rFonts w:ascii="Arial" w:cs="Arial" w:eastAsia="Arial" w:hAnsi="Arial"/>
                <w:sz w:val="16"/>
                <w:szCs w:val="16"/>
                <w:b w:val="1"/>
                <w:bCs w:val="1"/>
                <w:color w:val="auto"/>
              </w:rPr>
              <w:t xml:space="preserve">Merchant Acceptance ("Acceptance") </w:t>
            </w:r>
            <w:r>
              <w:rPr>
                <w:rFonts w:ascii="Arial" w:cs="Arial" w:eastAsia="Arial" w:hAnsi="Arial"/>
                <w:sz w:val="21"/>
                <w:szCs w:val="21"/>
                <w:b w:val="1"/>
                <w:bCs w:val="1"/>
                <w:color w:val="auto"/>
                <w:vertAlign w:val="superscript"/>
              </w:rPr>
              <w:t>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1,901</w:t>
            </w:r>
          </w:p>
        </w:tc>
        <w:tc>
          <w:tcPr>
            <w:tcW w:w="14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3,554</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593</w:t>
            </w:r>
          </w:p>
        </w:tc>
        <w:tc>
          <w:tcPr>
            <w:tcW w:w="140" w:type="dxa"/>
            <w:vAlign w:val="bottom"/>
          </w:tcPr>
          <w:p>
            <w:pPr>
              <w:spacing w:after="0"/>
              <w:rPr>
                <w:sz w:val="22"/>
                <w:szCs w:val="22"/>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1,063</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5840" w:type="dxa"/>
            <w:vAlign w:val="bottom"/>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31.2 %</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29.9 %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29.7 %</w:t>
            </w:r>
          </w:p>
        </w:tc>
        <w:tc>
          <w:tcPr>
            <w:tcW w:w="0" w:type="dxa"/>
            <w:vAlign w:val="bottom"/>
          </w:tcPr>
          <w:p>
            <w:pPr>
              <w:spacing w:after="0"/>
              <w:rPr>
                <w:sz w:val="1"/>
                <w:szCs w:val="1"/>
                <w:color w:val="auto"/>
              </w:rPr>
            </w:pPr>
          </w:p>
        </w:tc>
      </w:tr>
      <w:tr>
        <w:trPr>
          <w:trHeight w:val="344"/>
        </w:trPr>
        <w:tc>
          <w:tcPr>
            <w:tcW w:w="5840" w:type="dxa"/>
            <w:vAlign w:val="bottom"/>
          </w:tcPr>
          <w:p>
            <w:pPr>
              <w:spacing w:after="0"/>
              <w:rPr>
                <w:sz w:val="20"/>
                <w:szCs w:val="20"/>
                <w:color w:val="auto"/>
              </w:rPr>
            </w:pPr>
            <w:r>
              <w:rPr>
                <w:rFonts w:ascii="Arial" w:cs="Arial" w:eastAsia="Arial" w:hAnsi="Arial"/>
                <w:sz w:val="16"/>
                <w:szCs w:val="16"/>
                <w:b w:val="1"/>
                <w:bCs w:val="1"/>
                <w:color w:val="auto"/>
              </w:rPr>
              <w:t xml:space="preserve">Financial Technology ("Fintech") </w:t>
            </w:r>
            <w:r>
              <w:rPr>
                <w:rFonts w:ascii="Arial" w:cs="Arial" w:eastAsia="Arial" w:hAnsi="Arial"/>
                <w:sz w:val="21"/>
                <w:szCs w:val="21"/>
                <w:b w:val="1"/>
                <w:bCs w:val="1"/>
                <w:color w:val="auto"/>
                <w:vertAlign w:val="superscript"/>
              </w:rPr>
              <w:t>1</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803</w:t>
            </w:r>
          </w:p>
        </w:tc>
        <w:tc>
          <w:tcPr>
            <w:tcW w:w="140" w:type="dxa"/>
            <w:vAlign w:val="bottom"/>
          </w:tcPr>
          <w:p>
            <w:pPr>
              <w:spacing w:after="0"/>
              <w:rPr>
                <w:sz w:val="24"/>
                <w:szCs w:val="24"/>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4"/>
                <w:szCs w:val="24"/>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1,581</w:t>
            </w:r>
          </w:p>
        </w:tc>
        <w:tc>
          <w:tcPr>
            <w:tcW w:w="120" w:type="dxa"/>
            <w:vAlign w:val="bottom"/>
          </w:tcPr>
          <w:p>
            <w:pPr>
              <w:spacing w:after="0"/>
              <w:rPr>
                <w:sz w:val="24"/>
                <w:szCs w:val="24"/>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19"/>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584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281</w:t>
            </w:r>
          </w:p>
        </w:tc>
        <w:tc>
          <w:tcPr>
            <w:tcW w:w="14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556</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5840" w:type="dxa"/>
            <w:vAlign w:val="bottom"/>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35.0 %</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36.2 %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35.2 %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34.9 %</w:t>
            </w:r>
          </w:p>
        </w:tc>
        <w:tc>
          <w:tcPr>
            <w:tcW w:w="0" w:type="dxa"/>
            <w:vAlign w:val="bottom"/>
          </w:tcPr>
          <w:p>
            <w:pPr>
              <w:spacing w:after="0"/>
              <w:rPr>
                <w:sz w:val="1"/>
                <w:szCs w:val="1"/>
                <w:color w:val="auto"/>
              </w:rPr>
            </w:pPr>
          </w:p>
        </w:tc>
      </w:tr>
      <w:tr>
        <w:trPr>
          <w:trHeight w:val="317"/>
        </w:trPr>
        <w:tc>
          <w:tcPr>
            <w:tcW w:w="5840" w:type="dxa"/>
            <w:vAlign w:val="bottom"/>
          </w:tcPr>
          <w:p>
            <w:pPr>
              <w:spacing w:after="0"/>
              <w:rPr>
                <w:sz w:val="20"/>
                <w:szCs w:val="20"/>
                <w:color w:val="auto"/>
              </w:rPr>
            </w:pPr>
            <w:r>
              <w:rPr>
                <w:rFonts w:ascii="Arial" w:cs="Arial" w:eastAsia="Arial" w:hAnsi="Arial"/>
                <w:sz w:val="16"/>
                <w:szCs w:val="16"/>
                <w:b w:val="1"/>
                <w:bCs w:val="1"/>
                <w:color w:val="auto"/>
              </w:rPr>
              <w:t>Payments and Network ("Payments")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6"/>
                <w:szCs w:val="16"/>
                <w:color w:val="auto"/>
              </w:rPr>
              <w:t>Revenue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1,518</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1,421</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2,980</w:t>
            </w:r>
          </w:p>
        </w:tc>
        <w:tc>
          <w:tcPr>
            <w:tcW w:w="12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2,826</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6"/>
                <w:szCs w:val="16"/>
                <w:color w:val="auto"/>
              </w:rPr>
              <w:t>Deferred revenue purchase accounting adjustments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Adjusted revenue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1,524</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2,993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2,839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840" w:type="dxa"/>
            <w:vAlign w:val="bottom"/>
          </w:tcPr>
          <w:p>
            <w:pPr>
              <w:spacing w:after="0"/>
              <w:rPr>
                <w:sz w:val="20"/>
                <w:szCs w:val="20"/>
                <w:color w:val="auto"/>
              </w:rPr>
            </w:pPr>
            <w:r>
              <w:rPr>
                <w:rFonts w:ascii="Arial" w:cs="Arial" w:eastAsia="Arial" w:hAnsi="Arial"/>
                <w:sz w:val="16"/>
                <w:szCs w:val="16"/>
                <w:color w:val="auto"/>
              </w:rPr>
              <w:t>Operating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662</w:t>
            </w:r>
          </w:p>
        </w:tc>
        <w:tc>
          <w:tcPr>
            <w:tcW w:w="14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1,280</w:t>
            </w:r>
          </w:p>
        </w:tc>
        <w:tc>
          <w:tcPr>
            <w:tcW w:w="12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15"/>
        </w:trPr>
        <w:tc>
          <w:tcPr>
            <w:tcW w:w="5840" w:type="dxa"/>
            <w:vAlign w:val="bottom"/>
          </w:tcPr>
          <w:p>
            <w:pPr>
              <w:spacing w:after="0"/>
              <w:rPr>
                <w:sz w:val="20"/>
                <w:szCs w:val="20"/>
                <w:color w:val="auto"/>
              </w:rPr>
            </w:pPr>
            <w:r>
              <w:rPr>
                <w:rFonts w:ascii="Arial" w:cs="Arial" w:eastAsia="Arial" w:hAnsi="Arial"/>
                <w:sz w:val="16"/>
                <w:szCs w:val="16"/>
                <w:color w:val="auto"/>
              </w:rPr>
              <w:t>Adjustments: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4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668</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1,293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1,221</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5840" w:type="dxa"/>
            <w:vAlign w:val="bottom"/>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43.6 %</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44.3 %</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42.9 %</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42.7 %</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43.8 %</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43.2 %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40" w:top="1231" w:right="339"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Results by Segment (cont.)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200"/>
              <w:spacing w:after="0"/>
              <w:rPr>
                <w:sz w:val="20"/>
                <w:szCs w:val="20"/>
                <w:color w:val="auto"/>
              </w:rPr>
            </w:pPr>
            <w:r>
              <w:rPr>
                <w:rFonts w:ascii="Arial" w:cs="Arial" w:eastAsia="Arial" w:hAnsi="Arial"/>
                <w:sz w:val="16"/>
                <w:szCs w:val="16"/>
                <w:color w:val="auto"/>
              </w:rPr>
              <w:t>Three Months Ended</w:t>
            </w:r>
          </w:p>
        </w:tc>
        <w:tc>
          <w:tcPr>
            <w:tcW w:w="260" w:type="dxa"/>
            <w:vAlign w:val="bottom"/>
          </w:tcPr>
          <w:p>
            <w:pPr>
              <w:spacing w:after="0"/>
              <w:rPr>
                <w:sz w:val="16"/>
                <w:szCs w:val="16"/>
                <w:color w:val="auto"/>
              </w:rPr>
            </w:pPr>
          </w:p>
        </w:tc>
        <w:tc>
          <w:tcPr>
            <w:tcW w:w="2200" w:type="dxa"/>
            <w:vAlign w:val="bottom"/>
            <w:gridSpan w:val="4"/>
          </w:tcPr>
          <w:p>
            <w:pPr>
              <w:jc w:val="right"/>
              <w:ind w:right="49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5"/>
        </w:trPr>
        <w:tc>
          <w:tcPr>
            <w:tcW w:w="6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473</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200" w:type="dxa"/>
            <w:vAlign w:val="bottom"/>
          </w:tcPr>
          <w:p>
            <w:pPr>
              <w:ind w:left="120"/>
              <w:spacing w:after="0"/>
              <w:rPr>
                <w:sz w:val="20"/>
                <w:szCs w:val="20"/>
                <w:color w:val="auto"/>
              </w:rPr>
            </w:pPr>
            <w:r>
              <w:rPr>
                <w:rFonts w:ascii="Arial" w:cs="Arial" w:eastAsia="Arial" w:hAnsi="Arial"/>
                <w:sz w:val="16"/>
                <w:szCs w:val="16"/>
                <w:color w:val="auto"/>
              </w:rPr>
              <w:t>Output Solutions postage reimbursements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Adjusted revenue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200" w:type="dxa"/>
            <w:vAlign w:val="bottom"/>
          </w:tcPr>
          <w:p>
            <w:pPr>
              <w:spacing w:after="0"/>
              <w:rPr>
                <w:sz w:val="20"/>
                <w:szCs w:val="20"/>
                <w:color w:val="auto"/>
              </w:rPr>
            </w:pPr>
            <w:r>
              <w:rPr>
                <w:rFonts w:ascii="Arial" w:cs="Arial" w:eastAsia="Arial" w:hAnsi="Arial"/>
                <w:sz w:val="16"/>
                <w:szCs w:val="16"/>
                <w:color w:val="auto"/>
              </w:rPr>
              <w:t>Operating loss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(676)</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(1,193)</w:t>
            </w:r>
          </w:p>
        </w:tc>
        <w:tc>
          <w:tcPr>
            <w:tcW w:w="12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15"/>
        </w:trPr>
        <w:tc>
          <w:tcPr>
            <w:tcW w:w="620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17"/>
        </w:trPr>
        <w:tc>
          <w:tcPr>
            <w:tcW w:w="6200" w:type="dxa"/>
            <w:vAlign w:val="bottom"/>
          </w:tcPr>
          <w:p>
            <w:pPr>
              <w:ind w:left="120"/>
              <w:spacing w:after="0"/>
              <w:rPr>
                <w:sz w:val="20"/>
                <w:szCs w:val="20"/>
                <w:color w:val="auto"/>
              </w:rPr>
            </w:pPr>
            <w:r>
              <w:rPr>
                <w:rFonts w:ascii="Arial" w:cs="Arial" w:eastAsia="Arial" w:hAnsi="Arial"/>
                <w:sz w:val="16"/>
                <w:szCs w:val="16"/>
                <w:color w:val="auto"/>
              </w:rPr>
              <w:t>Gain on sale of assets</w:t>
            </w:r>
          </w:p>
        </w:tc>
        <w:tc>
          <w:tcPr>
            <w:tcW w:w="2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percentages are calculated using actual, unrounded amounts.</w:t>
      </w:r>
    </w:p>
    <w:p>
      <w:pPr>
        <w:spacing w:after="0" w:line="118" w:lineRule="exact"/>
        <w:rPr>
          <w:sz w:val="20"/>
          <w:szCs w:val="20"/>
          <w:color w:val="auto"/>
        </w:rPr>
      </w:pPr>
    </w:p>
    <w:p>
      <w:pPr>
        <w:ind w:left="340" w:right="620" w:hanging="332"/>
        <w:spacing w:after="0" w:line="231" w:lineRule="auto"/>
        <w:tabs>
          <w:tab w:leader="none" w:pos="338"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For all periods presented in the Acceptance and Fintech segments, there were no adjustments to GAAP measures presented and thus the adjusted measures are equal to the GAAP measures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31" w:right="339" w:bottom="1440" w:gutter="0" w:footer="0" w:header="0"/>
        </w:sectPr>
      </w:pPr>
    </w:p>
    <w:bookmarkStart w:id="14" w:name="page15"/>
    <w:bookmarkEnd w:id="14"/>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372" w:type="dxa"/>
        <w:tblCellMar>
          <w:top w:w="0" w:type="dxa"/>
          <w:left w:w="0" w:type="dxa"/>
          <w:bottom w:w="0" w:type="dxa"/>
          <w:right w:w="0" w:type="dxa"/>
        </w:tblCellMar>
      </w:tblPr>
      <w:tr>
        <w:trPr>
          <w:trHeight w:val="196"/>
        </w:trPr>
        <w:tc>
          <w:tcPr>
            <w:tcW w:w="7520" w:type="dxa"/>
            <w:vAlign w:val="bottom"/>
          </w:tcPr>
          <w:p>
            <w:pPr>
              <w:jc w:val="center"/>
              <w:ind w:left="2708"/>
              <w:spacing w:after="0"/>
              <w:rPr>
                <w:sz w:val="20"/>
                <w:szCs w:val="20"/>
                <w:color w:val="auto"/>
              </w:rPr>
            </w:pPr>
            <w:r>
              <w:rPr>
                <w:rFonts w:ascii="Arial" w:cs="Arial" w:eastAsia="Arial" w:hAnsi="Arial"/>
                <w:sz w:val="14"/>
                <w:szCs w:val="14"/>
                <w:b w:val="1"/>
                <w:bCs w:val="1"/>
                <w:color w:val="auto"/>
              </w:rPr>
              <w:t>Fiserv, Inc.</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9"/>
        </w:trPr>
        <w:tc>
          <w:tcPr>
            <w:tcW w:w="7520" w:type="dxa"/>
            <w:vAlign w:val="bottom"/>
          </w:tcPr>
          <w:p>
            <w:pPr>
              <w:jc w:val="center"/>
              <w:ind w:left="2708"/>
              <w:spacing w:after="0"/>
              <w:rPr>
                <w:sz w:val="20"/>
                <w:szCs w:val="20"/>
                <w:color w:val="auto"/>
              </w:rPr>
            </w:pPr>
            <w:r>
              <w:rPr>
                <w:rFonts w:ascii="Arial" w:cs="Arial" w:eastAsia="Arial" w:hAnsi="Arial"/>
                <w:sz w:val="14"/>
                <w:szCs w:val="14"/>
                <w:b w:val="1"/>
                <w:bCs w:val="1"/>
                <w:color w:val="auto"/>
              </w:rPr>
              <w:t xml:space="preserve">Condensed Consolidated Statements of Cash Flows </w:t>
            </w:r>
            <w:r>
              <w:rPr>
                <w:rFonts w:ascii="Arial" w:cs="Arial" w:eastAsia="Arial" w:hAnsi="Arial"/>
                <w:sz w:val="18"/>
                <w:szCs w:val="18"/>
                <w:b w:val="1"/>
                <w:bCs w:val="1"/>
                <w:color w:val="auto"/>
                <w:vertAlign w:val="superscript"/>
              </w:rPr>
              <w:t>1</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0"/>
        </w:trPr>
        <w:tc>
          <w:tcPr>
            <w:tcW w:w="7520" w:type="dxa"/>
            <w:vAlign w:val="bottom"/>
          </w:tcPr>
          <w:p>
            <w:pPr>
              <w:jc w:val="center"/>
              <w:ind w:left="2688"/>
              <w:spacing w:after="0"/>
              <w:rPr>
                <w:sz w:val="20"/>
                <w:szCs w:val="20"/>
                <w:color w:val="auto"/>
              </w:rPr>
            </w:pPr>
            <w:r>
              <w:rPr>
                <w:rFonts w:ascii="Arial" w:cs="Arial" w:eastAsia="Arial" w:hAnsi="Arial"/>
                <w:sz w:val="14"/>
                <w:szCs w:val="14"/>
                <w:color w:val="auto"/>
              </w:rPr>
              <w:t>(In millions, unaudited)</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61"/>
        </w:trPr>
        <w:tc>
          <w:tcPr>
            <w:tcW w:w="7520" w:type="dxa"/>
            <w:vAlign w:val="bottom"/>
          </w:tcPr>
          <w:p>
            <w:pPr>
              <w:spacing w:after="0"/>
              <w:rPr>
                <w:sz w:val="13"/>
                <w:szCs w:val="13"/>
                <w:color w:val="auto"/>
              </w:rPr>
            </w:pPr>
          </w:p>
        </w:tc>
        <w:tc>
          <w:tcPr>
            <w:tcW w:w="2300" w:type="dxa"/>
            <w:vAlign w:val="bottom"/>
            <w:gridSpan w:val="4"/>
          </w:tcPr>
          <w:p>
            <w:pPr>
              <w:jc w:val="right"/>
              <w:ind w:right="248"/>
              <w:spacing w:after="0"/>
              <w:rPr>
                <w:sz w:val="20"/>
                <w:szCs w:val="20"/>
                <w:color w:val="auto"/>
              </w:rPr>
            </w:pPr>
            <w:r>
              <w:rPr>
                <w:rFonts w:ascii="Arial" w:cs="Arial" w:eastAsia="Arial" w:hAnsi="Arial"/>
                <w:sz w:val="14"/>
                <w:szCs w:val="14"/>
                <w:color w:val="auto"/>
              </w:rPr>
              <w:t>Six Months Ended</w:t>
            </w:r>
          </w:p>
        </w:tc>
        <w:tc>
          <w:tcPr>
            <w:tcW w:w="500" w:type="dxa"/>
            <w:vAlign w:val="bottom"/>
          </w:tcPr>
          <w:p>
            <w:pPr>
              <w:spacing w:after="0"/>
              <w:rPr>
                <w:sz w:val="13"/>
                <w:szCs w:val="13"/>
                <w:color w:val="auto"/>
              </w:rPr>
            </w:pPr>
          </w:p>
        </w:tc>
      </w:tr>
      <w:tr>
        <w:trPr>
          <w:trHeight w:val="189"/>
        </w:trPr>
        <w:tc>
          <w:tcPr>
            <w:tcW w:w="7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gridSpan w:val="3"/>
          </w:tcPr>
          <w:p>
            <w:pPr>
              <w:jc w:val="right"/>
              <w:ind w:right="548"/>
              <w:spacing w:after="0"/>
              <w:rPr>
                <w:sz w:val="20"/>
                <w:szCs w:val="20"/>
                <w:color w:val="auto"/>
              </w:rPr>
            </w:pPr>
            <w:r>
              <w:rPr>
                <w:rFonts w:ascii="Arial" w:cs="Arial" w:eastAsia="Arial" w:hAnsi="Arial"/>
                <w:sz w:val="14"/>
                <w:szCs w:val="14"/>
                <w:color w:val="auto"/>
              </w:rPr>
              <w:t>June 30,</w:t>
            </w:r>
          </w:p>
        </w:tc>
        <w:tc>
          <w:tcPr>
            <w:tcW w:w="500" w:type="dxa"/>
            <w:vAlign w:val="bottom"/>
          </w:tcPr>
          <w:p>
            <w:pPr>
              <w:spacing w:after="0"/>
              <w:rPr>
                <w:sz w:val="16"/>
                <w:szCs w:val="16"/>
                <w:color w:val="auto"/>
              </w:rPr>
            </w:pPr>
          </w:p>
        </w:tc>
      </w:tr>
      <w:tr>
        <w:trPr>
          <w:trHeight w:val="196"/>
        </w:trPr>
        <w:tc>
          <w:tcPr>
            <w:tcW w:w="75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7"/>
                <w:szCs w:val="17"/>
                <w:color w:val="auto"/>
              </w:rPr>
            </w:pPr>
          </w:p>
        </w:tc>
      </w:tr>
      <w:tr>
        <w:trPr>
          <w:trHeight w:val="183"/>
        </w:trPr>
        <w:tc>
          <w:tcPr>
            <w:tcW w:w="752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1,291</w:t>
            </w:r>
          </w:p>
        </w:tc>
        <w:tc>
          <w:tcPr>
            <w:tcW w:w="160" w:type="dxa"/>
            <w:vAlign w:val="bottom"/>
          </w:tcPr>
          <w:p>
            <w:pPr>
              <w:spacing w:after="0"/>
              <w:rPr>
                <w:sz w:val="17"/>
                <w:szCs w:val="17"/>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602</w:t>
            </w:r>
          </w:p>
        </w:tc>
      </w:tr>
      <w:tr>
        <w:trPr>
          <w:trHeight w:val="197"/>
        </w:trPr>
        <w:tc>
          <w:tcPr>
            <w:tcW w:w="752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8"/>
        </w:trPr>
        <w:tc>
          <w:tcPr>
            <w:tcW w:w="7520" w:type="dxa"/>
            <w:vAlign w:val="bottom"/>
          </w:tcPr>
          <w:p>
            <w:pPr>
              <w:ind w:left="200"/>
              <w:spacing w:after="0"/>
              <w:rPr>
                <w:sz w:val="20"/>
                <w:szCs w:val="20"/>
                <w:color w:val="auto"/>
              </w:rPr>
            </w:pPr>
            <w:r>
              <w:rPr>
                <w:rFonts w:ascii="Arial" w:cs="Arial" w:eastAsia="Arial" w:hAnsi="Arial"/>
                <w:sz w:val="14"/>
                <w:szCs w:val="14"/>
                <w:color w:val="auto"/>
              </w:rPr>
              <w:t>Depreciation and other amortization</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642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560</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Amortization of acquisition-related intangible assets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966</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1,050</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Amortization of financing costs and debt discounts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25</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155</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127</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(317)</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Gain on sale of assets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Income from investments in unconsolidated affiliates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(234)</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Distributions from unconsolidated affiliates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13</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Non-cash impairment charges</w:t>
            </w:r>
          </w:p>
        </w:tc>
        <w:tc>
          <w:tcPr>
            <w:tcW w:w="8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203"/>
        </w:trPr>
        <w:tc>
          <w:tcPr>
            <w:tcW w:w="7520" w:type="dxa"/>
            <w:vAlign w:val="bottom"/>
          </w:tcPr>
          <w:p>
            <w:pPr>
              <w:ind w:left="200"/>
              <w:spacing w:after="0"/>
              <w:rPr>
                <w:sz w:val="20"/>
                <w:szCs w:val="20"/>
                <w:color w:val="auto"/>
              </w:rPr>
            </w:pPr>
            <w:r>
              <w:rPr>
                <w:rFonts w:ascii="Arial" w:cs="Arial" w:eastAsia="Arial" w:hAnsi="Arial"/>
                <w:sz w:val="14"/>
                <w:szCs w:val="14"/>
                <w:color w:val="auto"/>
              </w:rPr>
              <w:t>Other operating activities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7"/>
        </w:trPr>
        <w:tc>
          <w:tcPr>
            <w:tcW w:w="7520" w:type="dxa"/>
            <w:vAlign w:val="bottom"/>
          </w:tcPr>
          <w:p>
            <w:pPr>
              <w:ind w:left="20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9"/>
        </w:trPr>
        <w:tc>
          <w:tcPr>
            <w:tcW w:w="7520" w:type="dxa"/>
            <w:vAlign w:val="bottom"/>
          </w:tcPr>
          <w:p>
            <w:pPr>
              <w:ind w:left="440"/>
              <w:spacing w:after="0"/>
              <w:rPr>
                <w:sz w:val="20"/>
                <w:szCs w:val="20"/>
                <w:color w:val="auto"/>
              </w:rPr>
            </w:pPr>
            <w:r>
              <w:rPr>
                <w:rFonts w:ascii="Arial" w:cs="Arial" w:eastAsia="Arial" w:hAnsi="Arial"/>
                <w:sz w:val="14"/>
                <w:szCs w:val="14"/>
                <w:color w:val="auto"/>
              </w:rPr>
              <w:t>Trade accounts receivable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03"/>
        </w:trPr>
        <w:tc>
          <w:tcPr>
            <w:tcW w:w="7520" w:type="dxa"/>
            <w:vAlign w:val="bottom"/>
          </w:tcPr>
          <w:p>
            <w:pPr>
              <w:ind w:left="440"/>
              <w:spacing w:after="0"/>
              <w:rPr>
                <w:sz w:val="20"/>
                <w:szCs w:val="20"/>
                <w:color w:val="auto"/>
              </w:rPr>
            </w:pPr>
            <w:r>
              <w:rPr>
                <w:rFonts w:ascii="Arial" w:cs="Arial" w:eastAsia="Arial" w:hAnsi="Arial"/>
                <w:sz w:val="14"/>
                <w:szCs w:val="14"/>
                <w:color w:val="auto"/>
              </w:rPr>
              <w:t>Prepaid expenses and other assets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(224)</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3"/>
        </w:trPr>
        <w:tc>
          <w:tcPr>
            <w:tcW w:w="7520" w:type="dxa"/>
            <w:vAlign w:val="bottom"/>
          </w:tcPr>
          <w:p>
            <w:pPr>
              <w:ind w:left="440"/>
              <w:spacing w:after="0"/>
              <w:rPr>
                <w:sz w:val="20"/>
                <w:szCs w:val="20"/>
                <w:color w:val="auto"/>
              </w:rPr>
            </w:pPr>
            <w:r>
              <w:rPr>
                <w:rFonts w:ascii="Arial" w:cs="Arial" w:eastAsia="Arial" w:hAnsi="Arial"/>
                <w:sz w:val="14"/>
                <w:szCs w:val="14"/>
                <w:color w:val="auto"/>
              </w:rPr>
              <w:t>Contract costs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3"/>
        </w:trPr>
        <w:tc>
          <w:tcPr>
            <w:tcW w:w="7520" w:type="dxa"/>
            <w:vAlign w:val="bottom"/>
          </w:tcPr>
          <w:p>
            <w:pPr>
              <w:ind w:left="440"/>
              <w:spacing w:after="0"/>
              <w:rPr>
                <w:sz w:val="20"/>
                <w:szCs w:val="20"/>
                <w:color w:val="auto"/>
              </w:rPr>
            </w:pPr>
            <w:r>
              <w:rPr>
                <w:rFonts w:ascii="Arial" w:cs="Arial" w:eastAsia="Arial" w:hAnsi="Arial"/>
                <w:sz w:val="14"/>
                <w:szCs w:val="14"/>
                <w:color w:val="auto"/>
              </w:rPr>
              <w:t>Accounts payable and other liabilities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171</w:t>
            </w:r>
          </w:p>
        </w:tc>
      </w:tr>
      <w:tr>
        <w:trPr>
          <w:trHeight w:val="203"/>
        </w:trPr>
        <w:tc>
          <w:tcPr>
            <w:tcW w:w="7520" w:type="dxa"/>
            <w:vAlign w:val="bottom"/>
          </w:tcPr>
          <w:p>
            <w:pPr>
              <w:ind w:left="440"/>
              <w:spacing w:after="0"/>
              <w:rPr>
                <w:sz w:val="20"/>
                <w:szCs w:val="20"/>
                <w:color w:val="auto"/>
              </w:rPr>
            </w:pPr>
            <w:r>
              <w:rPr>
                <w:rFonts w:ascii="Arial" w:cs="Arial" w:eastAsia="Arial" w:hAnsi="Arial"/>
                <w:sz w:val="14"/>
                <w:szCs w:val="14"/>
                <w:color w:val="auto"/>
              </w:rPr>
              <w:t>Contract liabilities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196"/>
        </w:trPr>
        <w:tc>
          <w:tcPr>
            <w:tcW w:w="752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1,805</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2,013</w:t>
            </w:r>
          </w:p>
        </w:tc>
      </w:tr>
      <w:tr>
        <w:trPr>
          <w:trHeight w:val="237"/>
        </w:trPr>
        <w:tc>
          <w:tcPr>
            <w:tcW w:w="752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Capital expenditures, including capitalized software and other intangibles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(718)</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Proceeds from sale of assets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Payments for acquisition of businesses, net of cash acquired</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(493)</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52</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Proceeds from sale of investments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w:t>
            </w:r>
          </w:p>
        </w:tc>
      </w:tr>
      <w:tr>
        <w:trPr>
          <w:trHeight w:val="196"/>
        </w:trPr>
        <w:tc>
          <w:tcPr>
            <w:tcW w:w="752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(1,160)</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w:t>
            </w:r>
          </w:p>
        </w:tc>
      </w:tr>
      <w:tr>
        <w:trPr>
          <w:trHeight w:val="237"/>
        </w:trPr>
        <w:tc>
          <w:tcPr>
            <w:tcW w:w="752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Debt proceeds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1,191</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4,343</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Debt repayments, including debt financing costs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(1,610)</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(5,415)</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Net proceeds from commercial paper and short-term borrowings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869</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1,047</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72</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60</w:t>
            </w:r>
          </w:p>
        </w:tc>
      </w:tr>
      <w:tr>
        <w:trPr>
          <w:trHeight w:val="202"/>
        </w:trPr>
        <w:tc>
          <w:tcPr>
            <w:tcW w:w="752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(1,078)</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(1,361)</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Settlement activity, net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166</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Distributions paid to noncontrolling interests and redeemable noncontrolling interests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Payments of acquisition-related contingent consideration</w:t>
            </w:r>
          </w:p>
        </w:tc>
        <w:tc>
          <w:tcPr>
            <w:tcW w:w="8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03"/>
        </w:trPr>
        <w:tc>
          <w:tcPr>
            <w:tcW w:w="752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7520" w:type="dxa"/>
            <w:vAlign w:val="bottom"/>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(754)</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(1,211)</w:t>
            </w:r>
          </w:p>
        </w:tc>
      </w:tr>
      <w:tr>
        <w:trPr>
          <w:trHeight w:val="196"/>
        </w:trPr>
        <w:tc>
          <w:tcPr>
            <w:tcW w:w="75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752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8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102</w:t>
            </w:r>
          </w:p>
        </w:tc>
      </w:tr>
      <w:tr>
        <w:trPr>
          <w:trHeight w:val="204"/>
        </w:trPr>
        <w:tc>
          <w:tcPr>
            <w:tcW w:w="7520" w:type="dxa"/>
            <w:vAlign w:val="bottom"/>
          </w:tcPr>
          <w:p>
            <w:pPr>
              <w:spacing w:after="0"/>
              <w:rPr>
                <w:sz w:val="20"/>
                <w:szCs w:val="20"/>
                <w:color w:val="auto"/>
              </w:rPr>
            </w:pPr>
            <w:r>
              <w:rPr>
                <w:rFonts w:ascii="Arial" w:cs="Arial" w:eastAsia="Arial" w:hAnsi="Arial"/>
                <w:sz w:val="14"/>
                <w:szCs w:val="14"/>
                <w:color w:val="auto"/>
              </w:rPr>
              <w:t>Cash and cash equivalents, beginning balance</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3,205</w:t>
            </w:r>
          </w:p>
        </w:tc>
        <w:tc>
          <w:tcPr>
            <w:tcW w:w="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2,569</w:t>
            </w:r>
          </w:p>
        </w:tc>
      </w:tr>
      <w:tr>
        <w:trPr>
          <w:trHeight w:val="197"/>
        </w:trPr>
        <w:tc>
          <w:tcPr>
            <w:tcW w:w="7520" w:type="dxa"/>
            <w:vAlign w:val="bottom"/>
          </w:tcPr>
          <w:p>
            <w:pPr>
              <w:spacing w:after="0"/>
              <w:rPr>
                <w:sz w:val="20"/>
                <w:szCs w:val="20"/>
                <w:color w:val="auto"/>
              </w:rPr>
            </w:pPr>
            <w:r>
              <w:rPr>
                <w:rFonts w:ascii="Arial" w:cs="Arial" w:eastAsia="Arial" w:hAnsi="Arial"/>
                <w:sz w:val="14"/>
                <w:szCs w:val="14"/>
                <w:b w:val="1"/>
                <w:bCs w:val="1"/>
                <w:color w:val="auto"/>
              </w:rPr>
              <w:t>Cash and cash equivalents, ending balance</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3,063</w:t>
            </w: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2,671</w:t>
            </w:r>
          </w:p>
        </w:tc>
      </w:tr>
      <w:tr>
        <w:trPr>
          <w:trHeight w:val="20"/>
        </w:trPr>
        <w:tc>
          <w:tcPr>
            <w:tcW w:w="7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32" w:hanging="332"/>
        <w:spacing w:after="0" w:line="222" w:lineRule="auto"/>
        <w:tabs>
          <w:tab w:leader="none" w:pos="25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company revised, for comparable purposes with the current period's presentation, the consolidated statement of cash flows presentation for the six months ended June 30, 2021 to include cash and cash equivalents within settlement assets as a component of total cash and cash equivalents.</w:t>
      </w:r>
    </w:p>
    <w:p>
      <w:pPr>
        <w:sectPr>
          <w:pgSz w:w="11900" w:h="16838" w:orient="portrait"/>
          <w:cols w:equalWidth="0" w:num="1">
            <w:col w:w="11152"/>
          </w:cols>
          <w:pgMar w:left="328" w:top="123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1"/>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152"/>
          </w:cols>
          <w:pgMar w:left="328" w:top="1231" w:right="419" w:bottom="1440" w:gutter="0" w:footer="0" w:header="0"/>
          <w:type w:val="continuous"/>
        </w:sectPr>
      </w:pPr>
    </w:p>
    <w:bookmarkStart w:id="15" w:name="page16"/>
    <w:bookmarkEnd w:id="15"/>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5"/>
        </w:trPr>
        <w:tc>
          <w:tcPr>
            <w:tcW w:w="76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883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3,194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2,860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Settlement assets</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14,679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20,281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18,870</w:t>
            </w:r>
          </w:p>
        </w:tc>
        <w:tc>
          <w:tcPr>
            <w:tcW w:w="0" w:type="dxa"/>
            <w:vAlign w:val="bottom"/>
          </w:tcPr>
          <w:p>
            <w:pPr>
              <w:spacing w:after="0"/>
              <w:rPr>
                <w:sz w:val="1"/>
                <w:szCs w:val="1"/>
                <w:color w:val="auto"/>
              </w:rPr>
            </w:pPr>
          </w:p>
        </w:tc>
      </w:tr>
      <w:tr>
        <w:trPr>
          <w:trHeight w:val="371"/>
        </w:trPr>
        <w:tc>
          <w:tcPr>
            <w:tcW w:w="762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1,804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9,013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9,991</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4,003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4,018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36,829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36,433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Contract costs – net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849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2,517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Other long-term assets</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77,212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76,249</w:t>
            </w:r>
          </w:p>
        </w:tc>
        <w:tc>
          <w:tcPr>
            <w:tcW w:w="0" w:type="dxa"/>
            <w:vAlign w:val="bottom"/>
          </w:tcPr>
          <w:p>
            <w:pPr>
              <w:spacing w:after="0"/>
              <w:rPr>
                <w:sz w:val="1"/>
                <w:szCs w:val="1"/>
                <w:color w:val="auto"/>
              </w:rPr>
            </w:pPr>
          </w:p>
        </w:tc>
      </w:tr>
      <w:tr>
        <w:trPr>
          <w:trHeight w:val="21"/>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7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3,472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Contract liabilities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Settlement obligations</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14,679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19,351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18,295</w:t>
            </w:r>
          </w:p>
        </w:tc>
        <w:tc>
          <w:tcPr>
            <w:tcW w:w="0" w:type="dxa"/>
            <w:vAlign w:val="bottom"/>
          </w:tcPr>
          <w:p>
            <w:pPr>
              <w:spacing w:after="0"/>
              <w:rPr>
                <w:sz w:val="1"/>
                <w:szCs w:val="1"/>
                <w:color w:val="auto"/>
              </w:rPr>
            </w:pPr>
          </w:p>
        </w:tc>
      </w:tr>
      <w:tr>
        <w:trPr>
          <w:trHeight w:val="371"/>
        </w:trPr>
        <w:tc>
          <w:tcPr>
            <w:tcW w:w="7620" w:type="dxa"/>
            <w:vAlign w:val="bottom"/>
          </w:tcPr>
          <w:p>
            <w:pPr>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20,915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20,729</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3,797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45,242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44,299</w:t>
            </w:r>
          </w:p>
        </w:tc>
        <w:tc>
          <w:tcPr>
            <w:tcW w:w="0" w:type="dxa"/>
            <w:vAlign w:val="bottom"/>
          </w:tcPr>
          <w:p>
            <w:pPr>
              <w:spacing w:after="0"/>
              <w:rPr>
                <w:sz w:val="1"/>
                <w:szCs w:val="1"/>
                <w:color w:val="auto"/>
              </w:rPr>
            </w:pPr>
          </w:p>
        </w:tc>
      </w:tr>
      <w:tr>
        <w:trPr>
          <w:trHeight w:val="377"/>
        </w:trPr>
        <w:tc>
          <w:tcPr>
            <w:tcW w:w="762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71"/>
        </w:trPr>
        <w:tc>
          <w:tcPr>
            <w:tcW w:w="762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31,109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30,952</w:t>
            </w:r>
          </w:p>
        </w:tc>
        <w:tc>
          <w:tcPr>
            <w:tcW w:w="0" w:type="dxa"/>
            <w:vAlign w:val="bottom"/>
          </w:tcPr>
          <w:p>
            <w:pPr>
              <w:spacing w:after="0"/>
              <w:rPr>
                <w:sz w:val="1"/>
                <w:szCs w:val="1"/>
                <w:color w:val="auto"/>
              </w:rPr>
            </w:pPr>
          </w:p>
        </w:tc>
      </w:tr>
      <w:tr>
        <w:trPr>
          <w:trHeight w:val="217"/>
        </w:trPr>
        <w:tc>
          <w:tcPr>
            <w:tcW w:w="76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31,809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31,672</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77,212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340" w:top="1231"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6"/>
          </w:tcPr>
          <w:p>
            <w:pPr>
              <w:jc w:val="center"/>
              <w:ind w:left="579"/>
              <w:spacing w:after="0" w:line="175" w:lineRule="exact"/>
              <w:rPr>
                <w:sz w:val="20"/>
                <w:szCs w:val="20"/>
                <w:color w:val="auto"/>
              </w:rPr>
            </w:pPr>
            <w:r>
              <w:rPr>
                <w:rFonts w:ascii="Arial" w:cs="Arial" w:eastAsia="Arial" w:hAnsi="Arial"/>
                <w:sz w:val="16"/>
                <w:szCs w:val="16"/>
                <w:color w:val="auto"/>
              </w:rPr>
              <w:t>Three Months Ended</w:t>
            </w: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5"/>
          </w:tcPr>
          <w:p>
            <w:pPr>
              <w:jc w:val="center"/>
              <w:ind w:right="20"/>
              <w:spacing w:after="0" w:line="175" w:lineRule="exact"/>
              <w:rPr>
                <w:sz w:val="20"/>
                <w:szCs w:val="20"/>
                <w:color w:val="auto"/>
              </w:rPr>
            </w:pPr>
            <w:r>
              <w:rPr>
                <w:rFonts w:ascii="Arial" w:cs="Arial" w:eastAsia="Arial" w:hAnsi="Arial"/>
                <w:sz w:val="16"/>
                <w:szCs w:val="16"/>
                <w:color w:val="auto"/>
              </w:rPr>
              <w:t>Six Months Ended</w:t>
            </w: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60"/>
              <w:spacing w:after="0" w:line="230" w:lineRule="exact"/>
              <w:rPr>
                <w:sz w:val="20"/>
                <w:szCs w:val="20"/>
                <w:color w:val="auto"/>
              </w:rPr>
            </w:pPr>
            <w:r>
              <w:rPr>
                <w:rFonts w:ascii="Arial" w:cs="Arial" w:eastAsia="Arial" w:hAnsi="Arial"/>
                <w:sz w:val="16"/>
                <w:szCs w:val="16"/>
                <w:b w:val="1"/>
                <w:bCs w:val="1"/>
                <w:color w:val="auto"/>
              </w:rPr>
              <w:t xml:space="preserve">Organic Revenue Growth </w:t>
            </w:r>
            <w:r>
              <w:rPr>
                <w:rFonts w:ascii="Arial" w:cs="Arial" w:eastAsia="Arial" w:hAnsi="Arial"/>
                <w:sz w:val="21"/>
                <w:szCs w:val="21"/>
                <w:b w:val="1"/>
                <w:bCs w:val="1"/>
                <w:color w:val="auto"/>
                <w:vertAlign w:val="superscript"/>
              </w:rPr>
              <w:t>1</w:t>
            </w:r>
          </w:p>
        </w:tc>
        <w:tc>
          <w:tcPr>
            <w:tcW w:w="240" w:type="dxa"/>
            <w:vAlign w:val="bottom"/>
          </w:tcPr>
          <w:p>
            <w:pPr>
              <w:spacing w:after="0"/>
              <w:rPr>
                <w:sz w:val="19"/>
                <w:szCs w:val="19"/>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6"/>
                <w:szCs w:val="16"/>
                <w:color w:val="auto"/>
              </w:rPr>
              <w:t>June 30,</w:t>
            </w: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color w:val="auto"/>
              </w:rPr>
              <w:t>Growth</w:t>
            </w:r>
          </w:p>
        </w:tc>
        <w:tc>
          <w:tcPr>
            <w:tcW w:w="220" w:type="dxa"/>
            <w:vAlign w:val="bottom"/>
          </w:tcPr>
          <w:p>
            <w:pPr>
              <w:spacing w:after="0"/>
              <w:rPr>
                <w:sz w:val="19"/>
                <w:szCs w:val="19"/>
                <w:color w:val="auto"/>
              </w:rPr>
            </w:pPr>
          </w:p>
        </w:tc>
        <w:tc>
          <w:tcPr>
            <w:tcW w:w="8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color w:val="auto"/>
              </w:rPr>
              <w:t>June 30,</w:t>
            </w:r>
          </w:p>
        </w:tc>
        <w:tc>
          <w:tcPr>
            <w:tcW w:w="1060" w:type="dxa"/>
            <w:vAlign w:val="bottom"/>
            <w:vMerge w:val="restart"/>
          </w:tcPr>
          <w:p>
            <w:pPr>
              <w:ind w:left="260"/>
              <w:spacing w:after="0"/>
              <w:rPr>
                <w:sz w:val="20"/>
                <w:szCs w:val="20"/>
                <w:color w:val="auto"/>
              </w:rPr>
            </w:pPr>
            <w:r>
              <w:rPr>
                <w:rFonts w:ascii="Arial" w:cs="Arial" w:eastAsia="Arial" w:hAnsi="Arial"/>
                <w:sz w:val="16"/>
                <w:szCs w:val="16"/>
                <w:color w:val="auto"/>
              </w:rPr>
              <w:t>Growth</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41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4,234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3,855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8,140</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7,412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Divestiture adjustments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Organic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4,277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99"/>
              </w:rPr>
              <w:t>12%</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8,197</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11%</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Acceptance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3,554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3,063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Divestiture adjustments</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Organic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color w:val="auto"/>
                <w:w w:val="99"/>
              </w:rPr>
              <w:t>17%</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3,599</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3,041</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Fintech</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803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1,581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Organic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1,582</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Payments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1,524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2,993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2,839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gridSpan w:val="2"/>
          </w:tcPr>
          <w:p>
            <w:pPr>
              <w:ind w:left="220"/>
              <w:spacing w:after="0" w:line="217"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Organic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79"/>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3,016</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2,839</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 and Other</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Divestiture adjustments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gridSpan w:val="2"/>
          </w:tcPr>
          <w:p>
            <w:pPr>
              <w:ind w:left="220"/>
              <w:spacing w:after="0"/>
              <w:rPr>
                <w:sz w:val="20"/>
                <w:szCs w:val="20"/>
                <w:color w:val="auto"/>
              </w:rPr>
            </w:pPr>
            <w:r>
              <w:rPr>
                <w:rFonts w:ascii="Arial" w:cs="Arial" w:eastAsia="Arial" w:hAnsi="Arial"/>
                <w:sz w:val="16"/>
                <w:szCs w:val="16"/>
                <w:color w:val="auto"/>
              </w:rPr>
              <w:t>Organic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See pages 3-4 for disclosures related to the use of non-GAAP financial measures.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Organic revenue growth is calculated using actual, unrounded amounts.</w:t>
      </w:r>
    </w:p>
    <w:p>
      <w:pPr>
        <w:spacing w:after="0" w:line="123" w:lineRule="exact"/>
        <w:rPr>
          <w:sz w:val="20"/>
          <w:szCs w:val="20"/>
          <w:color w:val="auto"/>
        </w:rPr>
      </w:pPr>
    </w:p>
    <w:p>
      <w:pPr>
        <w:ind w:left="340" w:right="180" w:hanging="332"/>
        <w:spacing w:after="0" w:line="231" w:lineRule="auto"/>
        <w:tabs>
          <w:tab w:leader="none" w:pos="338"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Organic revenue growth is measured as the change in adjusted revenue (see pages 9-10) for the current period excluding the impact of foreign currency fluctuations and revenue attributable to acquisitions and dispositions, divided by adjusted revenue from the prior period excluding revenue attributable to dispositions.</w:t>
      </w:r>
    </w:p>
    <w:p>
      <w:pPr>
        <w:spacing w:after="0" w:line="94" w:lineRule="exact"/>
        <w:rPr>
          <w:sz w:val="20"/>
          <w:szCs w:val="20"/>
          <w:color w:val="auto"/>
        </w:rPr>
      </w:pPr>
    </w:p>
    <w:p>
      <w:pPr>
        <w:ind w:left="340" w:right="120" w:hanging="332"/>
        <w:spacing w:after="0" w:line="222" w:lineRule="auto"/>
        <w:tabs>
          <w:tab w:leader="none" w:pos="338"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31"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gridSpan w:val="4"/>
          </w:tcPr>
          <w:p>
            <w:pPr>
              <w:jc w:val="right"/>
              <w:ind w:right="199"/>
              <w:spacing w:after="0" w:line="175" w:lineRule="exact"/>
              <w:rPr>
                <w:sz w:val="20"/>
                <w:szCs w:val="20"/>
                <w:color w:val="auto"/>
              </w:rPr>
            </w:pPr>
            <w:r>
              <w:rPr>
                <w:rFonts w:ascii="Arial" w:cs="Arial" w:eastAsia="Arial" w:hAnsi="Arial"/>
                <w:sz w:val="16"/>
                <w:szCs w:val="16"/>
                <w:color w:val="auto"/>
              </w:rPr>
              <w:t>Six Months Ended</w:t>
            </w: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400" w:type="dxa"/>
            <w:vAlign w:val="bottom"/>
            <w:gridSpan w:val="2"/>
          </w:tcPr>
          <w:p>
            <w:pPr>
              <w:ind w:left="20"/>
              <w:spacing w:after="0"/>
              <w:rPr>
                <w:sz w:val="20"/>
                <w:szCs w:val="20"/>
                <w:color w:val="auto"/>
              </w:rPr>
            </w:pPr>
            <w:r>
              <w:rPr>
                <w:rFonts w:ascii="Arial" w:cs="Arial" w:eastAsia="Arial" w:hAnsi="Arial"/>
                <w:sz w:val="16"/>
                <w:szCs w:val="16"/>
                <w:b w:val="1"/>
                <w:bCs w:val="1"/>
                <w:color w:val="auto"/>
              </w:rPr>
              <w:t>Free Cash Flow</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1520" w:type="dxa"/>
            <w:vAlign w:val="bottom"/>
            <w:gridSpan w:val="3"/>
          </w:tcPr>
          <w:p>
            <w:pPr>
              <w:jc w:val="right"/>
              <w:ind w:right="559"/>
              <w:spacing w:after="0"/>
              <w:rPr>
                <w:sz w:val="20"/>
                <w:szCs w:val="20"/>
                <w:color w:val="auto"/>
              </w:rPr>
            </w:pPr>
            <w:r>
              <w:rPr>
                <w:rFonts w:ascii="Arial" w:cs="Arial" w:eastAsia="Arial" w:hAnsi="Arial"/>
                <w:sz w:val="16"/>
                <w:szCs w:val="16"/>
                <w:color w:val="auto"/>
              </w:rPr>
              <w:t>June 30,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w w:val="99"/>
              </w:rPr>
              <w:t>1,805</w:t>
            </w:r>
          </w:p>
        </w:tc>
        <w:tc>
          <w:tcPr>
            <w:tcW w:w="180" w:type="dxa"/>
            <w:vAlign w:val="bottom"/>
          </w:tcPr>
          <w:p>
            <w:pPr>
              <w:spacing w:after="0"/>
              <w:rPr>
                <w:sz w:val="22"/>
                <w:szCs w:val="22"/>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2,013</w:t>
            </w:r>
          </w:p>
        </w:tc>
        <w:tc>
          <w:tcPr>
            <w:tcW w:w="0" w:type="dxa"/>
            <w:vAlign w:val="bottom"/>
          </w:tcPr>
          <w:p>
            <w:pPr>
              <w:spacing w:after="0"/>
              <w:rPr>
                <w:sz w:val="1"/>
                <w:szCs w:val="1"/>
                <w:color w:val="auto"/>
              </w:rPr>
            </w:pPr>
          </w:p>
        </w:tc>
      </w:tr>
      <w:tr>
        <w:trPr>
          <w:trHeight w:val="242"/>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Capital expenditures</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(718)</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6"/>
                <w:szCs w:val="16"/>
                <w:color w:val="auto"/>
              </w:rPr>
              <w:t>Adjustments:</w:t>
            </w:r>
          </w:p>
        </w:tc>
        <w:tc>
          <w:tcPr>
            <w:tcW w:w="84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8400" w:type="dxa"/>
            <w:vAlign w:val="bottom"/>
            <w:gridSpan w:val="2"/>
          </w:tcPr>
          <w:p>
            <w:pPr>
              <w:ind w:left="22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84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6"/>
                <w:szCs w:val="16"/>
                <w:color w:val="auto"/>
              </w:rPr>
              <w:t>Distributions from unconsolidated affiliates included in cash flows from investing activities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20"/>
              <w:spacing w:after="0"/>
              <w:rPr>
                <w:sz w:val="20"/>
                <w:szCs w:val="20"/>
                <w:color w:val="auto"/>
              </w:rPr>
            </w:pPr>
            <w:r>
              <w:rPr>
                <w:rFonts w:ascii="Arial" w:cs="Arial" w:eastAsia="Arial" w:hAnsi="Arial"/>
                <w:sz w:val="16"/>
                <w:szCs w:val="16"/>
                <w:color w:val="auto"/>
              </w:rPr>
              <w:t>Severance, merger and integration payments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129</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8400" w:type="dxa"/>
            <w:vAlign w:val="bottom"/>
            <w:gridSpan w:val="2"/>
          </w:tcPr>
          <w:p>
            <w:pPr>
              <w:ind w:left="220"/>
              <w:spacing w:after="0"/>
              <w:rPr>
                <w:sz w:val="20"/>
                <w:szCs w:val="20"/>
                <w:color w:val="auto"/>
              </w:rPr>
            </w:pPr>
            <w:r>
              <w:rPr>
                <w:rFonts w:ascii="Arial" w:cs="Arial" w:eastAsia="Arial" w:hAnsi="Arial"/>
                <w:sz w:val="16"/>
                <w:szCs w:val="16"/>
                <w:color w:val="auto"/>
              </w:rPr>
              <w:t>Tax payments on adjustments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8400" w:type="dxa"/>
            <w:vAlign w:val="bottom"/>
            <w:gridSpan w:val="2"/>
          </w:tcPr>
          <w:p>
            <w:pPr>
              <w:ind w:left="220"/>
              <w:spacing w:after="0"/>
              <w:rPr>
                <w:sz w:val="20"/>
                <w:szCs w:val="20"/>
                <w:color w:val="auto"/>
              </w:rPr>
            </w:pPr>
            <w:r>
              <w:rPr>
                <w:rFonts w:ascii="Arial" w:cs="Arial" w:eastAsia="Arial" w:hAnsi="Arial"/>
                <w:sz w:val="16"/>
                <w:szCs w:val="16"/>
                <w:color w:val="auto"/>
              </w:rPr>
              <w:t>Tax payments on gain on sales of assets and investments in unconsolidated affiliates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400" w:type="dxa"/>
            <w:vAlign w:val="bottom"/>
            <w:gridSpan w:val="2"/>
          </w:tcPr>
          <w:p>
            <w:pPr>
              <w:ind w:left="22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400" w:type="dxa"/>
            <w:vAlign w:val="bottom"/>
            <w:gridSpan w:val="2"/>
          </w:tcPr>
          <w:p>
            <w:pPr>
              <w:ind w:left="480"/>
              <w:spacing w:after="0"/>
              <w:rPr>
                <w:sz w:val="20"/>
                <w:szCs w:val="20"/>
                <w:color w:val="auto"/>
              </w:rPr>
            </w:pPr>
            <w:r>
              <w:rPr>
                <w:rFonts w:ascii="Arial" w:cs="Arial" w:eastAsia="Arial" w:hAnsi="Arial"/>
                <w:sz w:val="16"/>
                <w:szCs w:val="16"/>
                <w:color w:val="auto"/>
              </w:rPr>
              <w:t>Free cash flow</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1,261</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1,718</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jc w:val="right"/>
              <w:ind w:right="99"/>
              <w:spacing w:after="0"/>
              <w:rPr>
                <w:sz w:val="20"/>
                <w:szCs w:val="20"/>
                <w:color w:val="auto"/>
              </w:rPr>
            </w:pPr>
            <w:r>
              <w:rPr>
                <w:rFonts w:ascii="Arial" w:cs="Arial" w:eastAsia="Arial" w:hAnsi="Arial"/>
                <w:sz w:val="16"/>
                <w:szCs w:val="16"/>
                <w:color w:val="auto"/>
              </w:rPr>
              <w:t>Three Months Ended</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4"/>
          </w:tcPr>
          <w:p>
            <w:pPr>
              <w:jc w:val="right"/>
              <w:ind w:right="579"/>
              <w:spacing w:after="0"/>
              <w:rPr>
                <w:sz w:val="20"/>
                <w:szCs w:val="20"/>
                <w:color w:val="auto"/>
              </w:rPr>
            </w:pPr>
            <w:r>
              <w:rPr>
                <w:rFonts w:ascii="Arial" w:cs="Arial" w:eastAsia="Arial" w:hAnsi="Arial"/>
                <w:sz w:val="16"/>
                <w:szCs w:val="16"/>
                <w:color w:val="auto"/>
              </w:rPr>
              <w:t>Six Months Ended</w:t>
            </w:r>
          </w:p>
        </w:tc>
      </w:tr>
      <w:tr>
        <w:trPr>
          <w:trHeight w:val="256"/>
        </w:trPr>
        <w:tc>
          <w:tcPr>
            <w:tcW w:w="582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Total Amortization </w:t>
            </w:r>
            <w:r>
              <w:rPr>
                <w:rFonts w:ascii="Arial" w:cs="Arial" w:eastAsia="Arial" w:hAnsi="Arial"/>
                <w:sz w:val="21"/>
                <w:szCs w:val="21"/>
                <w:b w:val="1"/>
                <w:bCs w:val="1"/>
                <w:color w:val="auto"/>
                <w:vertAlign w:val="superscript"/>
              </w:rPr>
              <w:t>1</w:t>
            </w:r>
          </w:p>
        </w:tc>
        <w:tc>
          <w:tcPr>
            <w:tcW w:w="840" w:type="dxa"/>
            <w:vAlign w:val="bottom"/>
          </w:tcPr>
          <w:p>
            <w:pPr>
              <w:spacing w:after="0"/>
              <w:rPr>
                <w:sz w:val="22"/>
                <w:szCs w:val="22"/>
                <w:color w:val="auto"/>
              </w:rPr>
            </w:pPr>
          </w:p>
        </w:tc>
        <w:tc>
          <w:tcPr>
            <w:tcW w:w="1400" w:type="dxa"/>
            <w:vAlign w:val="bottom"/>
            <w:gridSpan w:val="3"/>
          </w:tcPr>
          <w:p>
            <w:pPr>
              <w:jc w:val="right"/>
              <w:ind w:right="539"/>
              <w:spacing w:after="0"/>
              <w:rPr>
                <w:sz w:val="20"/>
                <w:szCs w:val="20"/>
                <w:color w:val="auto"/>
              </w:rPr>
            </w:pPr>
            <w:r>
              <w:rPr>
                <w:rFonts w:ascii="Arial" w:cs="Arial" w:eastAsia="Arial" w:hAnsi="Arial"/>
                <w:sz w:val="16"/>
                <w:szCs w:val="16"/>
                <w:color w:val="auto"/>
              </w:rPr>
              <w:t>June 30,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right"/>
              <w:ind w:right="39"/>
              <w:spacing w:after="0"/>
              <w:rPr>
                <w:sz w:val="20"/>
                <w:szCs w:val="20"/>
                <w:color w:val="auto"/>
              </w:rPr>
            </w:pPr>
            <w:r>
              <w:rPr>
                <w:rFonts w:ascii="Arial" w:cs="Arial" w:eastAsia="Arial" w:hAnsi="Arial"/>
                <w:sz w:val="16"/>
                <w:szCs w:val="16"/>
                <w:color w:val="auto"/>
              </w:rPr>
              <w:t>June 30,</w:t>
            </w:r>
          </w:p>
        </w:tc>
        <w:tc>
          <w:tcPr>
            <w:tcW w:w="900" w:type="dxa"/>
            <w:vAlign w:val="bottom"/>
          </w:tcPr>
          <w:p>
            <w:pPr>
              <w:spacing w:after="0"/>
              <w:rPr>
                <w:sz w:val="22"/>
                <w:szCs w:val="22"/>
                <w:color w:val="auto"/>
              </w:rPr>
            </w:pPr>
          </w:p>
        </w:tc>
      </w:tr>
      <w:tr>
        <w:trPr>
          <w:trHeight w:val="217"/>
        </w:trPr>
        <w:tc>
          <w:tcPr>
            <w:tcW w:w="5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r>
      <w:tr>
        <w:trPr>
          <w:trHeight w:val="249"/>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Acquisition-related intangible assets</w:t>
            </w:r>
          </w:p>
        </w:tc>
        <w:tc>
          <w:tcPr>
            <w:tcW w:w="840" w:type="dxa"/>
            <w:vAlign w:val="bottom"/>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480</w:t>
            </w:r>
          </w:p>
        </w:tc>
        <w:tc>
          <w:tcPr>
            <w:tcW w:w="140" w:type="dxa"/>
            <w:vAlign w:val="bottom"/>
          </w:tcPr>
          <w:p>
            <w:pPr>
              <w:spacing w:after="0"/>
              <w:rPr>
                <w:sz w:val="21"/>
                <w:szCs w:val="21"/>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524</w:t>
            </w:r>
          </w:p>
        </w:tc>
        <w:tc>
          <w:tcPr>
            <w:tcW w:w="16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966</w:t>
            </w:r>
          </w:p>
        </w:tc>
        <w:tc>
          <w:tcPr>
            <w:tcW w:w="14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1,045</w:t>
            </w: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Capitalized software and other intangibles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Purchased software</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Financing costs and debt discounts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Sales commissions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5820" w:type="dxa"/>
            <w:vAlign w:val="bottom"/>
            <w:gridSpan w:val="2"/>
          </w:tcPr>
          <w:p>
            <w:pPr>
              <w:ind w:left="20"/>
              <w:spacing w:after="0"/>
              <w:rPr>
                <w:sz w:val="20"/>
                <w:szCs w:val="20"/>
                <w:color w:val="auto"/>
              </w:rPr>
            </w:pPr>
            <w:r>
              <w:rPr>
                <w:rFonts w:ascii="Arial" w:cs="Arial" w:eastAsia="Arial" w:hAnsi="Arial"/>
                <w:sz w:val="16"/>
                <w:szCs w:val="16"/>
                <w:color w:val="auto"/>
              </w:rPr>
              <w:t>Deferred conversion costs</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5820" w:type="dxa"/>
            <w:vAlign w:val="bottom"/>
            <w:gridSpan w:val="2"/>
          </w:tcPr>
          <w:p>
            <w:pPr>
              <w:ind w:left="140"/>
              <w:spacing w:after="0"/>
              <w:rPr>
                <w:sz w:val="20"/>
                <w:szCs w:val="20"/>
                <w:color w:val="auto"/>
              </w:rPr>
            </w:pPr>
            <w:r>
              <w:rPr>
                <w:rFonts w:ascii="Arial" w:cs="Arial" w:eastAsia="Arial" w:hAnsi="Arial"/>
                <w:sz w:val="16"/>
                <w:szCs w:val="16"/>
                <w:color w:val="auto"/>
              </w:rPr>
              <w:t>Total amortization</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677</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1,353</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253" w:lineRule="exact"/>
        <w:rPr>
          <w:sz w:val="20"/>
          <w:szCs w:val="20"/>
          <w:color w:val="auto"/>
        </w:rPr>
      </w:pPr>
    </w:p>
    <w:p>
      <w:pPr>
        <w:ind w:left="340" w:right="380" w:hanging="332"/>
        <w:spacing w:after="0" w:line="271" w:lineRule="auto"/>
        <w:tabs>
          <w:tab w:leader="none" w:pos="338"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(see corresponding adjustment on page 7). The adjustment for acquired First Data software/technology excludes only the incremental amortization related to the fair value purchase accounting allocation.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31"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2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for 2022, including organic revenue growth, adjusted earnings per share and adjusted earnings per share growth, are designed to enhance shareholders’ ability to evaluate the company’s performance by excluding certain items to focus on factors and trends affecting its business.</w:t>
      </w:r>
    </w:p>
    <w:p>
      <w:pPr>
        <w:spacing w:after="0" w:line="12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i w:val="1"/>
          <w:iCs w:val="1"/>
          <w:color w:val="auto"/>
        </w:rPr>
        <w:t xml:space="preserve">Organic Revenue Growth </w:t>
      </w:r>
      <w:r>
        <w:rPr>
          <w:rFonts w:ascii="Arial" w:cs="Arial" w:eastAsia="Arial" w:hAnsi="Arial"/>
          <w:sz w:val="18"/>
          <w:szCs w:val="18"/>
          <w:color w:val="auto"/>
        </w:rPr>
        <w:t>- The company's organic revenue growth outlook for 2022 excludes the impact of foreign currency fluctuations,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dispositions and the impact of the company's Output Solutions postage reimbursements and includes deferred revenue purchase accounting adjustments. The currency impact is measured as the increase or decrease in the expected adjusted revenue for the period by applying prior period foreign currency exchange rates to present a constant currency comparison to prior periods.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180" w:type="dxa"/>
            <w:vAlign w:val="bottom"/>
          </w:tcPr>
          <w:p>
            <w:pPr>
              <w:spacing w:after="0"/>
              <w:rPr>
                <w:sz w:val="20"/>
                <w:szCs w:val="20"/>
                <w:color w:val="auto"/>
              </w:rPr>
            </w:pPr>
          </w:p>
        </w:tc>
        <w:tc>
          <w:tcPr>
            <w:tcW w:w="20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Growth</w:t>
            </w:r>
          </w:p>
        </w:tc>
      </w:tr>
      <w:tr>
        <w:trPr>
          <w:trHeight w:val="299"/>
        </w:trPr>
        <w:tc>
          <w:tcPr>
            <w:tcW w:w="9180" w:type="dxa"/>
            <w:vAlign w:val="bottom"/>
          </w:tcPr>
          <w:p>
            <w:pPr>
              <w:spacing w:after="0"/>
              <w:rPr>
                <w:sz w:val="20"/>
                <w:szCs w:val="20"/>
                <w:color w:val="auto"/>
              </w:rPr>
            </w:pPr>
            <w:r>
              <w:rPr>
                <w:rFonts w:ascii="Arial" w:cs="Arial" w:eastAsia="Arial" w:hAnsi="Arial"/>
                <w:sz w:val="18"/>
                <w:szCs w:val="18"/>
                <w:color w:val="auto"/>
              </w:rPr>
              <w:t>2022 Revenue</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8% - 10%</w:t>
            </w:r>
          </w:p>
        </w:tc>
      </w:tr>
      <w:tr>
        <w:trPr>
          <w:trHeight w:val="235"/>
        </w:trPr>
        <w:tc>
          <w:tcPr>
            <w:tcW w:w="9180" w:type="dxa"/>
            <w:vAlign w:val="bottom"/>
          </w:tcPr>
          <w:p>
            <w:pPr>
              <w:ind w:left="120"/>
              <w:spacing w:after="0"/>
              <w:rPr>
                <w:sz w:val="20"/>
                <w:szCs w:val="20"/>
                <w:color w:val="auto"/>
              </w:rPr>
            </w:pPr>
            <w:r>
              <w:rPr>
                <w:rFonts w:ascii="Arial" w:cs="Arial" w:eastAsia="Arial" w:hAnsi="Arial"/>
                <w:sz w:val="18"/>
                <w:szCs w:val="18"/>
                <w:color w:val="auto"/>
              </w:rPr>
              <w:t>Output Solutions postage reimbursements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(1.0)%</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2022 Adjusted revenue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 - 9%</w:t>
            </w:r>
          </w:p>
        </w:tc>
      </w:tr>
      <w:tr>
        <w:trPr>
          <w:trHeight w:val="34"/>
        </w:trPr>
        <w:tc>
          <w:tcPr>
            <w:tcW w:w="91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99"/>
        </w:trPr>
        <w:tc>
          <w:tcPr>
            <w:tcW w:w="9180" w:type="dxa"/>
            <w:vAlign w:val="bottom"/>
          </w:tcPr>
          <w:p>
            <w:pPr>
              <w:ind w:left="120"/>
              <w:spacing w:after="0"/>
              <w:rPr>
                <w:sz w:val="20"/>
                <w:szCs w:val="20"/>
                <w:color w:val="auto"/>
              </w:rPr>
            </w:pPr>
            <w:r>
              <w:rPr>
                <w:rFonts w:ascii="Arial" w:cs="Arial" w:eastAsia="Arial" w:hAnsi="Arial"/>
                <w:sz w:val="18"/>
                <w:szCs w:val="18"/>
                <w:color w:val="auto"/>
              </w:rPr>
              <w:t>Currency impact</w:t>
            </w:r>
          </w:p>
        </w:tc>
        <w:tc>
          <w:tcPr>
            <w:tcW w:w="2040" w:type="dxa"/>
            <w:vAlign w:val="bottom"/>
          </w:tcPr>
          <w:p>
            <w:pPr>
              <w:jc w:val="center"/>
              <w:spacing w:after="0"/>
              <w:rPr>
                <w:sz w:val="20"/>
                <w:szCs w:val="20"/>
                <w:color w:val="auto"/>
              </w:rPr>
            </w:pPr>
            <w:r>
              <w:rPr>
                <w:rFonts w:ascii="Arial" w:cs="Arial" w:eastAsia="Arial" w:hAnsi="Arial"/>
                <w:sz w:val="18"/>
                <w:szCs w:val="18"/>
                <w:color w:val="auto"/>
                <w:w w:val="97"/>
              </w:rPr>
              <w:t>2.0%</w:t>
            </w:r>
          </w:p>
        </w:tc>
      </w:tr>
      <w:tr>
        <w:trPr>
          <w:trHeight w:val="230"/>
        </w:trPr>
        <w:tc>
          <w:tcPr>
            <w:tcW w:w="9180" w:type="dxa"/>
            <w:vAlign w:val="bottom"/>
          </w:tcPr>
          <w:p>
            <w:pPr>
              <w:ind w:left="120"/>
              <w:spacing w:after="0"/>
              <w:rPr>
                <w:sz w:val="20"/>
                <w:szCs w:val="20"/>
                <w:color w:val="auto"/>
              </w:rPr>
            </w:pPr>
            <w:r>
              <w:rPr>
                <w:rFonts w:ascii="Arial" w:cs="Arial" w:eastAsia="Arial" w:hAnsi="Arial"/>
                <w:sz w:val="18"/>
                <w:szCs w:val="18"/>
                <w:color w:val="auto"/>
              </w:rPr>
              <w:t>Acquisition adjustments</w:t>
            </w:r>
          </w:p>
        </w:tc>
        <w:tc>
          <w:tcPr>
            <w:tcW w:w="2040" w:type="dxa"/>
            <w:vAlign w:val="bottom"/>
          </w:tcPr>
          <w:p>
            <w:pPr>
              <w:jc w:val="center"/>
              <w:spacing w:after="0"/>
              <w:rPr>
                <w:sz w:val="20"/>
                <w:szCs w:val="20"/>
                <w:color w:val="auto"/>
              </w:rPr>
            </w:pPr>
            <w:r>
              <w:rPr>
                <w:rFonts w:ascii="Arial" w:cs="Arial" w:eastAsia="Arial" w:hAnsi="Arial"/>
                <w:sz w:val="18"/>
                <w:szCs w:val="18"/>
                <w:color w:val="auto"/>
                <w:w w:val="98"/>
              </w:rPr>
              <w:t>(0.5)%</w:t>
            </w:r>
          </w:p>
        </w:tc>
      </w:tr>
      <w:tr>
        <w:trPr>
          <w:trHeight w:val="235"/>
        </w:trPr>
        <w:tc>
          <w:tcPr>
            <w:tcW w:w="9180" w:type="dxa"/>
            <w:vAlign w:val="bottom"/>
          </w:tcPr>
          <w:p>
            <w:pPr>
              <w:ind w:left="120"/>
              <w:spacing w:after="0"/>
              <w:rPr>
                <w:sz w:val="20"/>
                <w:szCs w:val="20"/>
                <w:color w:val="auto"/>
              </w:rPr>
            </w:pPr>
            <w:r>
              <w:rPr>
                <w:rFonts w:ascii="Arial" w:cs="Arial" w:eastAsia="Arial" w:hAnsi="Arial"/>
                <w:sz w:val="18"/>
                <w:szCs w:val="18"/>
                <w:color w:val="auto"/>
              </w:rPr>
              <w:t>Divestiture adjustments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0.5%</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2022 Organic revenue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9% - 11%</w:t>
            </w:r>
          </w:p>
        </w:tc>
      </w:tr>
      <w:tr>
        <w:trPr>
          <w:trHeight w:val="34"/>
        </w:trPr>
        <w:tc>
          <w:tcPr>
            <w:tcW w:w="91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Adjusted Earnings Per Share </w:t>
      </w:r>
      <w:r>
        <w:rPr>
          <w:rFonts w:ascii="Arial" w:cs="Arial" w:eastAsia="Arial" w:hAnsi="Arial"/>
          <w:sz w:val="18"/>
          <w:szCs w:val="18"/>
          <w:color w:val="auto"/>
        </w:rPr>
        <w:t>- The company's adjusted earnings per share outlook for 2022 excludes certain non-cash or other items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non-cash intangible asset amortization expense associated with acquisitions; non-cash impairment charges; merger and integration costs; severance costs; gains or losses from the sale of businesses, certain assets and investments; and certain discrete tax benefits and expenses, and includes non-cash deferred revenue purchase accounting adjustments. The company completed First Data acquisition related integration activities as of December 31, 2021, and therefore does not expect to incur additional costs associated with the achievement of cost synergies related to the First Data acquisition, resulting in lower merger and integration costs in 2022. The company estimates that amortization expense in 2022 with respect to acquired intangible assets will approximate the amount incurred in 2021.</w:t>
      </w:r>
    </w:p>
    <w:p>
      <w:pPr>
        <w:spacing w:after="0" w:line="12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Other adjustments to the company’s financial measures that were incurred in 2021 and for the three and six months ended June 30, 2022, are presented in this news release; however, they are not necessarily indicative of adjustments that may be incurred in the remainder of 2022 or beyond. Estimates of these impacts and adjustments on a forward-looking basis are not available due to the variability, complexity and limited visibility of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31"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Full Year Forward-Looking Non-GAAP Financial Measures (cont.)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earnings per share growth outlook for 2022 is based on 2021 adjusted earnings per share performance.</w:t>
      </w:r>
    </w:p>
    <w:p>
      <w:pPr>
        <w:sectPr>
          <w:pgSz w:w="11900" w:h="16838" w:orient="portrait"/>
          <w:cols w:equalWidth="0" w:num="1">
            <w:col w:w="10840"/>
          </w:cols>
          <w:pgMar w:left="320" w:top="1231" w:right="739" w:bottom="1087" w:gutter="0" w:footer="0" w:header="0"/>
        </w:sectPr>
      </w:pPr>
    </w:p>
    <w:p>
      <w:pPr>
        <w:spacing w:after="0" w:line="32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2021 GAAP net income attributable to Fiserv</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Adjustments:</w:t>
      </w:r>
    </w:p>
    <w:p>
      <w:pPr>
        <w:ind w:left="520"/>
        <w:spacing w:after="0" w:line="236" w:lineRule="auto"/>
        <w:rPr>
          <w:sz w:val="20"/>
          <w:szCs w:val="20"/>
          <w:color w:val="auto"/>
        </w:rPr>
      </w:pPr>
      <w:r>
        <w:rPr>
          <w:rFonts w:ascii="Arial" w:cs="Arial" w:eastAsia="Arial" w:hAnsi="Arial"/>
          <w:sz w:val="18"/>
          <w:szCs w:val="18"/>
          <w:color w:val="auto"/>
        </w:rPr>
        <w:t xml:space="preserve">Merger and integration costs </w:t>
      </w:r>
      <w:r>
        <w:rPr>
          <w:rFonts w:ascii="Arial" w:cs="Arial" w:eastAsia="Arial" w:hAnsi="Arial"/>
          <w:sz w:val="23"/>
          <w:szCs w:val="23"/>
          <w:color w:val="auto"/>
          <w:vertAlign w:val="superscript"/>
        </w:rPr>
        <w:t>1</w:t>
      </w:r>
    </w:p>
    <w:p>
      <w:pPr>
        <w:ind w:left="520"/>
        <w:spacing w:after="0" w:line="199" w:lineRule="auto"/>
        <w:rPr>
          <w:sz w:val="20"/>
          <w:szCs w:val="20"/>
          <w:color w:val="auto"/>
        </w:rPr>
      </w:pPr>
      <w:r>
        <w:rPr>
          <w:rFonts w:ascii="Arial" w:cs="Arial" w:eastAsia="Arial" w:hAnsi="Arial"/>
          <w:sz w:val="18"/>
          <w:szCs w:val="18"/>
          <w:color w:val="auto"/>
        </w:rPr>
        <w:t xml:space="preserve">Severance costs </w:t>
      </w:r>
      <w:r>
        <w:rPr>
          <w:rFonts w:ascii="Arial" w:cs="Arial" w:eastAsia="Arial" w:hAnsi="Arial"/>
          <w:sz w:val="23"/>
          <w:szCs w:val="23"/>
          <w:color w:val="auto"/>
          <w:vertAlign w:val="superscript"/>
        </w:rPr>
        <w:t>2</w:t>
      </w:r>
    </w:p>
    <w:p>
      <w:pPr>
        <w:ind w:left="520"/>
        <w:spacing w:after="0" w:line="218" w:lineRule="auto"/>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p>
      <w:pPr>
        <w:ind w:left="520"/>
        <w:spacing w:after="0" w:line="198" w:lineRule="auto"/>
        <w:rPr>
          <w:sz w:val="20"/>
          <w:szCs w:val="20"/>
          <w:color w:val="auto"/>
        </w:rPr>
      </w:pPr>
      <w:r>
        <w:rPr>
          <w:rFonts w:ascii="Arial" w:cs="Arial" w:eastAsia="Arial" w:hAnsi="Arial"/>
          <w:sz w:val="18"/>
          <w:szCs w:val="18"/>
          <w:color w:val="auto"/>
        </w:rPr>
        <w:t xml:space="preserve">Non wholly-owned entity activities </w:t>
      </w:r>
      <w:r>
        <w:rPr>
          <w:rFonts w:ascii="Arial" w:cs="Arial" w:eastAsia="Arial" w:hAnsi="Arial"/>
          <w:sz w:val="23"/>
          <w:szCs w:val="23"/>
          <w:color w:val="auto"/>
          <w:vertAlign w:val="superscript"/>
        </w:rPr>
        <w:t>4</w:t>
      </w:r>
    </w:p>
    <w:p>
      <w:pPr>
        <w:ind w:left="520"/>
        <w:spacing w:after="0" w:line="218" w:lineRule="auto"/>
        <w:rPr>
          <w:sz w:val="20"/>
          <w:szCs w:val="20"/>
          <w:color w:val="auto"/>
        </w:rPr>
      </w:pPr>
      <w:r>
        <w:rPr>
          <w:rFonts w:ascii="Arial" w:cs="Arial" w:eastAsia="Arial" w:hAnsi="Arial"/>
          <w:sz w:val="18"/>
          <w:szCs w:val="18"/>
          <w:color w:val="auto"/>
        </w:rPr>
        <w:t xml:space="preserve">Tax impact of adjustments </w:t>
      </w:r>
      <w:r>
        <w:rPr>
          <w:rFonts w:ascii="Arial" w:cs="Arial" w:eastAsia="Arial" w:hAnsi="Arial"/>
          <w:sz w:val="23"/>
          <w:szCs w:val="23"/>
          <w:color w:val="auto"/>
          <w:vertAlign w:val="superscript"/>
        </w:rPr>
        <w:t>5</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6</w:t>
      </w:r>
    </w:p>
    <w:p>
      <w:pPr>
        <w:spacing w:after="0" w:line="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2021 adjusted net income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Weighted average common shares outstanding - diluted</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2021 GAAP earnings per share attributable to Fiserv</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Adjustments - net of income taxes:</w:t>
      </w:r>
    </w:p>
    <w:p>
      <w:pPr>
        <w:ind w:left="520"/>
        <w:spacing w:after="0" w:line="236" w:lineRule="auto"/>
        <w:rPr>
          <w:sz w:val="20"/>
          <w:szCs w:val="20"/>
          <w:color w:val="auto"/>
        </w:rPr>
      </w:pPr>
      <w:r>
        <w:rPr>
          <w:rFonts w:ascii="Arial" w:cs="Arial" w:eastAsia="Arial" w:hAnsi="Arial"/>
          <w:sz w:val="18"/>
          <w:szCs w:val="18"/>
          <w:color w:val="auto"/>
        </w:rPr>
        <w:t xml:space="preserve">Merger and integration costs </w:t>
      </w:r>
      <w:r>
        <w:rPr>
          <w:rFonts w:ascii="Arial" w:cs="Arial" w:eastAsia="Arial" w:hAnsi="Arial"/>
          <w:sz w:val="23"/>
          <w:szCs w:val="23"/>
          <w:color w:val="auto"/>
          <w:vertAlign w:val="superscript"/>
        </w:rPr>
        <w:t>1</w:t>
      </w:r>
    </w:p>
    <w:p>
      <w:pPr>
        <w:ind w:left="520"/>
        <w:spacing w:after="0" w:line="199" w:lineRule="auto"/>
        <w:rPr>
          <w:sz w:val="20"/>
          <w:szCs w:val="20"/>
          <w:color w:val="auto"/>
        </w:rPr>
      </w:pPr>
      <w:r>
        <w:rPr>
          <w:rFonts w:ascii="Arial" w:cs="Arial" w:eastAsia="Arial" w:hAnsi="Arial"/>
          <w:sz w:val="18"/>
          <w:szCs w:val="18"/>
          <w:color w:val="auto"/>
        </w:rPr>
        <w:t xml:space="preserve">Severance costs </w:t>
      </w:r>
      <w:r>
        <w:rPr>
          <w:rFonts w:ascii="Arial" w:cs="Arial" w:eastAsia="Arial" w:hAnsi="Arial"/>
          <w:sz w:val="23"/>
          <w:szCs w:val="23"/>
          <w:color w:val="auto"/>
          <w:vertAlign w:val="superscript"/>
        </w:rPr>
        <w:t>2</w:t>
      </w:r>
    </w:p>
    <w:p>
      <w:pPr>
        <w:ind w:left="520"/>
        <w:spacing w:after="0" w:line="218" w:lineRule="auto"/>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p>
      <w:pPr>
        <w:ind w:left="520"/>
        <w:spacing w:after="0" w:line="198" w:lineRule="auto"/>
        <w:rPr>
          <w:sz w:val="20"/>
          <w:szCs w:val="20"/>
          <w:color w:val="auto"/>
        </w:rPr>
      </w:pPr>
      <w:r>
        <w:rPr>
          <w:rFonts w:ascii="Arial" w:cs="Arial" w:eastAsia="Arial" w:hAnsi="Arial"/>
          <w:sz w:val="18"/>
          <w:szCs w:val="18"/>
          <w:color w:val="auto"/>
        </w:rPr>
        <w:t xml:space="preserve">Non wholly-owned entity activities </w:t>
      </w:r>
      <w:r>
        <w:rPr>
          <w:rFonts w:ascii="Arial" w:cs="Arial" w:eastAsia="Arial" w:hAnsi="Arial"/>
          <w:sz w:val="23"/>
          <w:szCs w:val="23"/>
          <w:color w:val="auto"/>
          <w:vertAlign w:val="superscript"/>
        </w:rPr>
        <w:t>4</w:t>
      </w:r>
    </w:p>
    <w:p>
      <w:pPr>
        <w:ind w:left="520"/>
        <w:spacing w:after="0" w:line="230" w:lineRule="auto"/>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6</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2021 adjusted earnings per share</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2022 adjusted earnings per share outlook</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2022 adjusted earnings per share growth outlook</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1000" w:hanging="99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1,334</w:t>
      </w:r>
    </w:p>
    <w:p>
      <w:pPr>
        <w:spacing w:after="0" w:line="25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865</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81</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1,982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9772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7" w:lineRule="exact"/>
        <w:rPr>
          <w:sz w:val="20"/>
          <w:szCs w:val="20"/>
          <w:color w:val="auto"/>
        </w:rPr>
      </w:pPr>
    </w:p>
    <w:p>
      <w:pPr>
        <w:ind w:left="1000" w:hanging="99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9772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43180</wp:posOffset>
            </wp:positionV>
            <wp:extent cx="9772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671.6</w:t>
      </w:r>
    </w:p>
    <w:p>
      <w:pPr>
        <w:spacing w:after="0" w:line="185" w:lineRule="exact"/>
        <w:rPr>
          <w:sz w:val="20"/>
          <w:szCs w:val="20"/>
          <w:color w:val="auto"/>
        </w:rPr>
      </w:pPr>
    </w:p>
    <w:p>
      <w:pPr>
        <w:ind w:left="1100" w:hanging="1099"/>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1.99</w:t>
      </w:r>
    </w:p>
    <w:p>
      <w:pPr>
        <w:spacing w:after="0" w:line="25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0.99</w:t>
      </w:r>
    </w:p>
    <w:p>
      <w:pPr>
        <w:spacing w:after="0" w:line="31"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0.09</w:t>
      </w:r>
    </w:p>
    <w:p>
      <w:pPr>
        <w:spacing w:after="0" w:line="2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2.27</w:t>
      </w:r>
    </w:p>
    <w:p>
      <w:pPr>
        <w:spacing w:after="0" w:line="2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0.06</w:t>
      </w:r>
    </w:p>
    <w:p>
      <w:pPr>
        <w:spacing w:after="0" w:line="2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wp:posOffset>
            </wp:positionV>
            <wp:extent cx="977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7" w:lineRule="exact"/>
        <w:rPr>
          <w:sz w:val="20"/>
          <w:szCs w:val="20"/>
          <w:color w:val="auto"/>
        </w:rPr>
      </w:pPr>
    </w:p>
    <w:p>
      <w:pPr>
        <w:ind w:left="1100" w:hanging="1099"/>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wp:posOffset>
            </wp:positionV>
            <wp:extent cx="9772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77265"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26035</wp:posOffset>
            </wp:positionV>
            <wp:extent cx="9772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$6.45 - $6.55</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 - 17%</w:t>
      </w:r>
    </w:p>
    <w:p>
      <w:pPr>
        <w:spacing w:after="0" w:line="200" w:lineRule="exact"/>
        <w:rPr>
          <w:sz w:val="20"/>
          <w:szCs w:val="20"/>
          <w:color w:val="auto"/>
        </w:rPr>
      </w:pPr>
    </w:p>
    <w:p>
      <w:pPr>
        <w:sectPr>
          <w:pgSz w:w="11900" w:h="16838" w:orient="portrait"/>
          <w:cols w:equalWidth="0" w:num="2">
            <w:col w:w="8620" w:space="720"/>
            <w:col w:w="1500"/>
          </w:cols>
          <w:pgMar w:left="320" w:top="1231" w:right="739" w:bottom="1087"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In millions, except per share amounts, unaudited. Earnings per share is calculated using actual, unrounded amounts.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See pages 3-4 for disclosures related to the use of non-GAAP financial measures.</w:t>
      </w:r>
    </w:p>
    <w:p>
      <w:pPr>
        <w:sectPr>
          <w:pgSz w:w="11900" w:h="16838" w:orient="portrait"/>
          <w:cols w:equalWidth="0" w:num="1">
            <w:col w:w="10840"/>
          </w:cols>
          <w:pgMar w:left="320" w:top="1231" w:right="739" w:bottom="10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840"/>
          </w:cols>
          <w:pgMar w:left="320" w:top="1231" w:right="739" w:bottom="1087" w:gutter="0" w:footer="0" w:header="0"/>
          <w:type w:val="continuous"/>
        </w:sectPr>
      </w:pPr>
    </w:p>
    <w:bookmarkStart w:id="20" w:name="page21"/>
    <w:bookmarkEnd w:id="20"/>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Full Year Forward-Looking Non-GAAP Financial Measures (cont.)</w:t>
      </w:r>
    </w:p>
    <w:p>
      <w:pPr>
        <w:spacing w:after="0" w:line="212" w:lineRule="exact"/>
        <w:rPr>
          <w:sz w:val="20"/>
          <w:szCs w:val="20"/>
          <w:color w:val="auto"/>
        </w:rPr>
      </w:pPr>
    </w:p>
    <w:p>
      <w:pPr>
        <w:ind w:left="332" w:hanging="332"/>
        <w:spacing w:after="0" w:line="265" w:lineRule="auto"/>
        <w:tabs>
          <w:tab w:leader="none" w:pos="330" w:val="left"/>
        </w:tabs>
        <w:numPr>
          <w:ilvl w:val="0"/>
          <w:numId w:val="19"/>
        </w:numPr>
        <w:rPr>
          <w:rFonts w:ascii="Arial" w:cs="Arial" w:eastAsia="Arial" w:hAnsi="Arial"/>
          <w:sz w:val="9"/>
          <w:szCs w:val="9"/>
          <w:color w:val="auto"/>
        </w:rPr>
      </w:pPr>
      <w:r>
        <w:rPr>
          <w:rFonts w:ascii="Arial" w:cs="Arial" w:eastAsia="Arial" w:hAnsi="Arial"/>
          <w:sz w:val="16"/>
          <w:szCs w:val="16"/>
          <w:color w:val="auto"/>
        </w:rPr>
        <w:t>Represents acquisition and related integration costs incurred in connection with various acquisitions, primarily related to the First Data acquisition. First Data integration costs primarily include $370 million of third-party professional service fees associated with integration activities; $44 million of incremental share-based compensation, including the fair value of stock awards assumed by Fiserv; and $277 million of other integration-related compensation costs.</w:t>
      </w:r>
    </w:p>
    <w:p>
      <w:pPr>
        <w:spacing w:after="0" w:line="52" w:lineRule="exact"/>
        <w:rPr>
          <w:sz w:val="20"/>
          <w:szCs w:val="20"/>
          <w:color w:val="auto"/>
        </w:rPr>
      </w:pPr>
    </w:p>
    <w:p>
      <w:pPr>
        <w:ind w:left="312" w:hanging="312"/>
        <w:spacing w:after="0"/>
        <w:tabs>
          <w:tab w:leader="none" w:pos="312"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Represents severance costs associated with the achievement of expense management initiatives, including those related to the First Data acquisition.</w:t>
      </w:r>
    </w:p>
    <w:p>
      <w:pPr>
        <w:spacing w:after="0" w:line="82" w:lineRule="exact"/>
        <w:rPr>
          <w:sz w:val="20"/>
          <w:szCs w:val="20"/>
          <w:color w:val="auto"/>
        </w:rPr>
      </w:pPr>
    </w:p>
    <w:p>
      <w:pPr>
        <w:ind w:left="332" w:right="240" w:hanging="332"/>
        <w:spacing w:after="0" w:line="238" w:lineRule="auto"/>
        <w:tabs>
          <w:tab w:leader="none" w:pos="323"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Represents amortization of intangible assets acquired through various acquisitions, including customer relationships, software/technology and trade names. This adjustment does not exclude the amortization of other intangible assets such as contract costs (sales commissions and deferred conversion costs), capitalized and purchased software, and financing costs and debt discounts.</w:t>
      </w:r>
    </w:p>
    <w:p>
      <w:pPr>
        <w:spacing w:after="0" w:line="84" w:lineRule="exact"/>
        <w:rPr>
          <w:sz w:val="20"/>
          <w:szCs w:val="20"/>
          <w:color w:val="auto"/>
        </w:rPr>
      </w:pPr>
    </w:p>
    <w:p>
      <w:pPr>
        <w:ind w:left="332" w:right="120" w:hanging="332"/>
        <w:spacing w:after="0" w:line="238" w:lineRule="auto"/>
        <w:tabs>
          <w:tab w:leader="none" w:pos="323"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Represents the company’s share of amortization of acquisition-related intangible assets at its unconsolidated affiliates, as well as the minority interest share of amortization of acquisition-related intangible assets at its subsidiaries in which the company holds a controlling financial interest. This adjustment also includes net gains totaling $98 million related to the fair value remeasurement and sale of certain equity investments.</w:t>
      </w:r>
    </w:p>
    <w:p>
      <w:pPr>
        <w:spacing w:after="0" w:line="57" w:lineRule="exact"/>
        <w:rPr>
          <w:sz w:val="20"/>
          <w:szCs w:val="20"/>
          <w:color w:val="auto"/>
        </w:rPr>
      </w:pPr>
    </w:p>
    <w:p>
      <w:pPr>
        <w:ind w:left="312" w:hanging="312"/>
        <w:spacing w:after="0"/>
        <w:tabs>
          <w:tab w:leader="none" w:pos="312"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 tax impact of adjustments is calculated using a tax rate of 23%, which approximates the company's annual effective tax rate.</w:t>
      </w:r>
    </w:p>
    <w:p>
      <w:pPr>
        <w:spacing w:after="0" w:line="96" w:lineRule="exact"/>
        <w:rPr>
          <w:sz w:val="20"/>
          <w:szCs w:val="20"/>
          <w:color w:val="auto"/>
        </w:rPr>
      </w:pPr>
    </w:p>
    <w:p>
      <w:pPr>
        <w:ind w:left="332" w:right="360" w:hanging="332"/>
        <w:spacing w:after="0" w:line="227" w:lineRule="auto"/>
        <w:tabs>
          <w:tab w:leader="none" w:pos="323"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Represents certain discrete tax items, such as foreign-derived intangible income tax benefits from a subsidiary restructuring and the revaluation of deferred taxes due to a change in the respective statutory tax rates in the United Kingdom and Argentina.</w:t>
      </w:r>
    </w:p>
    <w:p>
      <w:pPr>
        <w:spacing w:after="0" w:line="184" w:lineRule="exact"/>
        <w:rPr>
          <w:sz w:val="20"/>
          <w:szCs w:val="20"/>
          <w:color w:val="auto"/>
        </w:rPr>
      </w:pPr>
    </w:p>
    <w:p>
      <w:pPr>
        <w:ind w:left="332"/>
        <w:spacing w:after="0"/>
        <w:rPr>
          <w:sz w:val="20"/>
          <w:szCs w:val="20"/>
          <w:color w:val="auto"/>
        </w:rPr>
      </w:pPr>
      <w:r>
        <w:rPr>
          <w:rFonts w:ascii="Arial" w:cs="Arial" w:eastAsia="Arial" w:hAnsi="Arial"/>
          <w:sz w:val="20"/>
          <w:szCs w:val="20"/>
          <w:i w:val="1"/>
          <w:iCs w:val="1"/>
          <w:color w:val="auto"/>
        </w:rPr>
        <w:t>FISV-E</w:t>
      </w:r>
    </w:p>
    <w:p>
      <w:pPr>
        <w:spacing w:after="0" w:line="31"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1"/>
        <w:spacing w:after="0"/>
        <w:rPr>
          <w:sz w:val="20"/>
          <w:szCs w:val="20"/>
          <w:color w:val="auto"/>
        </w:rPr>
      </w:pPr>
      <w:r>
        <w:rPr>
          <w:rFonts w:ascii="Arial" w:cs="Arial" w:eastAsia="Arial" w:hAnsi="Arial"/>
          <w:sz w:val="16"/>
          <w:szCs w:val="16"/>
          <w:color w:val="auto"/>
        </w:rPr>
        <w:t>17</w:t>
      </w:r>
    </w:p>
    <w:sectPr>
      <w:pgSz w:w="11900" w:h="16838" w:orient="portrait"/>
      <w:cols w:equalWidth="0" w:num="1">
        <w:col w:w="11112"/>
      </w:cols>
      <w:pgMar w:left="328" w:top="123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bullet"/>
      <w:start w:val="1"/>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3"/>
      <w:numFmt w:val="bullet"/>
      <w:start w:val="1"/>
    </w:lvl>
  </w:abstractNum>
  <w:abstractNum w:abstractNumId="5">
    <w:nsid w:val="1BEFD79F"/>
    <w:multiLevelType w:val="hybridMultilevel"/>
    <w:lvl w:ilvl="0">
      <w:lvlJc w:val="left"/>
      <w:lvlText w:val="4"/>
      <w:numFmt w:val="bullet"/>
      <w:start w:val="1"/>
    </w:lvl>
  </w:abstractNum>
  <w:abstractNum w:abstractNumId="6">
    <w:nsid w:val="41A7C4C9"/>
    <w:multiLevelType w:val="hybridMultilevel"/>
    <w:lvl w:ilvl="0">
      <w:lvlJc w:val="left"/>
      <w:lvlText w:val="5"/>
      <w:numFmt w:val="bullet"/>
      <w:start w:val="1"/>
    </w:lvl>
  </w:abstractNum>
  <w:abstractNum w:abstractNumId="7">
    <w:nsid w:val="6B68079A"/>
    <w:multiLevelType w:val="hybridMultilevel"/>
    <w:lvl w:ilvl="0">
      <w:lvlJc w:val="left"/>
      <w:lvlText w:val="6"/>
      <w:numFmt w:val="bullet"/>
      <w:start w:val="1"/>
    </w:lvl>
  </w:abstractNum>
  <w:abstractNum w:abstractNumId="8">
    <w:nsid w:val="4E6AFB66"/>
    <w:multiLevelType w:val="hybridMultilevel"/>
    <w:lvl w:ilvl="0">
      <w:lvlJc w:val="left"/>
      <w:lvlText w:val="7"/>
      <w:numFmt w:val="bullet"/>
      <w:start w:val="1"/>
    </w:lvl>
  </w:abstractNum>
  <w:abstractNum w:abstractNumId="9">
    <w:nsid w:val="25E45D32"/>
    <w:multiLevelType w:val="hybridMultilevel"/>
    <w:lvl w:ilvl="0">
      <w:lvlJc w:val="left"/>
      <w:lvlText w:val="1"/>
      <w:numFmt w:val="bullet"/>
      <w:start w:val="1"/>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1"/>
      <w:numFmt w:val="bullet"/>
      <w:start w:val="1"/>
    </w:lvl>
  </w:abstractNum>
  <w:abstractNum w:abstractNumId="12">
    <w:nsid w:val="3F2DBA31"/>
    <w:multiLevelType w:val="hybridMultilevel"/>
    <w:lvl w:ilvl="0">
      <w:lvlJc w:val="left"/>
      <w:lvlText w:val="2"/>
      <w:numFmt w:val="bullet"/>
      <w:start w:val="1"/>
    </w:lvl>
  </w:abstractNum>
  <w:abstractNum w:abstractNumId="13">
    <w:nsid w:val="7C83E458"/>
    <w:multiLevelType w:val="hybridMultilevel"/>
    <w:lvl w:ilvl="0">
      <w:lvlJc w:val="left"/>
      <w:lvlText w:val="1"/>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2"/>
      <w:numFmt w:val="bullet"/>
      <w:start w:val="1"/>
    </w:lvl>
  </w:abstractNum>
  <w:abstractNum w:abstractNumId="20">
    <w:nsid w:val="2443A858"/>
    <w:multiLevelType w:val="hybridMultilevel"/>
    <w:lvl w:ilvl="0">
      <w:lvlJc w:val="left"/>
      <w:lvlText w:val="3"/>
      <w:numFmt w:val="bullet"/>
      <w:start w:val="1"/>
    </w:lvl>
  </w:abstractNum>
  <w:abstractNum w:abstractNumId="21">
    <w:nsid w:val="2D1D5AE9"/>
    <w:multiLevelType w:val="hybridMultilevel"/>
    <w:lvl w:ilvl="0">
      <w:lvlJc w:val="left"/>
      <w:lvlText w:val="4"/>
      <w:numFmt w:val="bullet"/>
      <w:start w:val="1"/>
    </w:lvl>
  </w:abstractNum>
  <w:abstractNum w:abstractNumId="22">
    <w:nsid w:val="6763845E"/>
    <w:multiLevelType w:val="hybridMultilevel"/>
    <w:lvl w:ilvl="0">
      <w:lvlJc w:val="left"/>
      <w:lvlText w:val="5"/>
      <w:numFmt w:val="bullet"/>
      <w:start w:val="1"/>
    </w:lvl>
  </w:abstractNum>
  <w:abstractNum w:abstractNumId="23">
    <w:nsid w:val="75A2A8D4"/>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2022-07-26T06:23:37Z</dcterms:created>
  <dcterms:modified xsi:type="dcterms:W3CDTF">2022-07-26T06:23:37Z</dcterms:modified>
</cp:coreProperties>
</file>