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7"/>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14605</wp:posOffset>
            </wp:positionV>
            <wp:extent cx="7046595" cy="4665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2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NUTTALL SCOTT C</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FISERV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FISV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09/30/2021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 w:right="660" w:firstLine="1"/>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3"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3" w:lineRule="exact"/>
        <w:rPr>
          <w:sz w:val="24"/>
          <w:szCs w:val="24"/>
          <w:color w:val="auto"/>
        </w:rPr>
      </w:pPr>
    </w:p>
    <w:p>
      <w:pPr>
        <w:sectPr>
          <w:pgSz w:w="11900" w:h="16838" w:orient="portrait"/>
          <w:cols w:equalWidth="0" w:num="3">
            <w:col w:w="3180" w:space="720"/>
            <w:col w:w="3101" w:space="720"/>
            <w:col w:w="3359"/>
          </w:cols>
          <w:pgMar w:left="460" w:top="221" w:right="359" w:bottom="1440" w:gutter="0" w:footer="0" w:header="0"/>
          <w:type w:val="continuous"/>
        </w:sectPr>
      </w:pPr>
    </w:p>
    <w:p>
      <w:pPr>
        <w:spacing w:after="0" w:line="23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rPr>
              <w:t>BROOKFIELD</w:t>
            </w:r>
          </w:p>
        </w:tc>
        <w:tc>
          <w:tcPr>
            <w:tcW w:w="880" w:type="dxa"/>
            <w:vAlign w:val="bottom"/>
          </w:tcPr>
          <w:p>
            <w:pPr>
              <w:ind w:left="80"/>
              <w:spacing w:after="0"/>
              <w:rPr>
                <w:sz w:val="20"/>
                <w:szCs w:val="20"/>
                <w:color w:val="auto"/>
              </w:rPr>
            </w:pPr>
            <w:r>
              <w:rPr>
                <w:rFonts w:ascii="Arial" w:cs="Arial" w:eastAsia="Arial" w:hAnsi="Arial"/>
                <w:sz w:val="17"/>
                <w:szCs w:val="17"/>
                <w:color w:val="0000FF"/>
              </w:rPr>
              <w:t>WI</w:t>
            </w:r>
          </w:p>
        </w:tc>
        <w:tc>
          <w:tcPr>
            <w:tcW w:w="1600" w:type="dxa"/>
            <w:vAlign w:val="bottom"/>
          </w:tcPr>
          <w:p>
            <w:pPr>
              <w:ind w:left="420"/>
              <w:spacing w:after="0"/>
              <w:rPr>
                <w:sz w:val="20"/>
                <w:szCs w:val="20"/>
                <w:color w:val="auto"/>
              </w:rPr>
            </w:pPr>
            <w:r>
              <w:rPr>
                <w:rFonts w:ascii="Arial" w:cs="Arial" w:eastAsia="Arial" w:hAnsi="Arial"/>
                <w:sz w:val="17"/>
                <w:szCs w:val="17"/>
                <w:color w:val="0000FF"/>
              </w:rPr>
              <w:t>53045</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2"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86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Arial" w:cs="Arial" w:eastAsia="Arial" w:hAnsi="Arial"/>
                <w:sz w:val="13"/>
                <w:szCs w:val="13"/>
                <w:color w:val="0000FF"/>
                <w:w w:val="93"/>
              </w:rPr>
              <w:t>Compensation</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right"/>
              <w:ind w:right="201"/>
              <w:spacing w:after="0"/>
              <w:rPr>
                <w:sz w:val="20"/>
                <w:szCs w:val="20"/>
                <w:color w:val="auto"/>
              </w:rPr>
            </w:pPr>
            <w:r>
              <w:rPr>
                <w:rFonts w:ascii="Arial" w:cs="Arial" w:eastAsia="Arial" w:hAnsi="Arial"/>
                <w:sz w:val="13"/>
                <w:szCs w:val="13"/>
                <w:color w:val="0000FF"/>
              </w:rPr>
              <w:t>09/30/2021</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rPr>
                <w:sz w:val="20"/>
                <w:szCs w:val="20"/>
                <w:color w:val="auto"/>
              </w:rPr>
            </w:pPr>
            <w:r>
              <w:rPr>
                <w:rFonts w:ascii="Arial" w:cs="Arial" w:eastAsia="Arial" w:hAnsi="Arial"/>
                <w:sz w:val="13"/>
                <w:szCs w:val="13"/>
                <w:color w:val="0000FF"/>
              </w:rPr>
              <w:t>272</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44"/>
              <w:spacing w:after="0"/>
              <w:rPr>
                <w:sz w:val="20"/>
                <w:szCs w:val="20"/>
                <w:color w:val="auto"/>
              </w:rPr>
            </w:pPr>
            <w:r>
              <w:rPr>
                <w:rFonts w:ascii="Arial" w:cs="Arial" w:eastAsia="Arial" w:hAnsi="Arial"/>
                <w:sz w:val="11"/>
                <w:szCs w:val="11"/>
                <w:color w:val="008000"/>
              </w:rPr>
              <w:t>(1)</w:t>
            </w: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272</w:t>
            </w:r>
          </w:p>
        </w:tc>
        <w:tc>
          <w:tcPr>
            <w:tcW w:w="6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108.5</w:t>
            </w:r>
            <w:r>
              <w:rPr>
                <w:rFonts w:ascii="Arial" w:cs="Arial" w:eastAsia="Arial" w:hAnsi="Arial"/>
                <w:sz w:val="21"/>
                <w:szCs w:val="21"/>
                <w:color w:val="008000"/>
                <w:vertAlign w:val="superscript"/>
              </w:rPr>
              <w:t>(1)</w:t>
            </w:r>
          </w:p>
        </w:tc>
        <w:tc>
          <w:tcPr>
            <w:tcW w:w="920" w:type="dxa"/>
            <w:vAlign w:val="bottom"/>
            <w:vMerge w:val="restart"/>
          </w:tcPr>
          <w:p>
            <w:pPr>
              <w:ind w:left="320"/>
              <w:spacing w:after="0"/>
              <w:rPr>
                <w:sz w:val="20"/>
                <w:szCs w:val="20"/>
                <w:color w:val="auto"/>
              </w:rPr>
            </w:pPr>
            <w:r>
              <w:rPr>
                <w:rFonts w:ascii="Arial" w:cs="Arial" w:eastAsia="Arial" w:hAnsi="Arial"/>
                <w:sz w:val="13"/>
                <w:szCs w:val="13"/>
                <w:color w:val="0000FF"/>
              </w:rPr>
              <w:t>1,291</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60" w:type="dxa"/>
            <w:vAlign w:val="bottom"/>
            <w:vMerge w:val="restart"/>
          </w:tcPr>
          <w:p>
            <w:pPr>
              <w:ind w:left="60"/>
              <w:spacing w:after="0"/>
              <w:rPr>
                <w:sz w:val="20"/>
                <w:szCs w:val="20"/>
                <w:color w:val="auto"/>
              </w:rPr>
            </w:pPr>
            <w:r>
              <w:rPr>
                <w:rFonts w:ascii="Arial" w:cs="Arial" w:eastAsia="Arial" w:hAnsi="Arial"/>
                <w:sz w:val="13"/>
                <w:szCs w:val="13"/>
                <w:color w:val="0000FF"/>
              </w:rPr>
              <w:t>Notional</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20" w:firstLine="1"/>
        <w:spacing w:after="0" w:line="233"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September 30, 2021 in respect of $29,500 of deferred compensation. The number of notional units credited is calculated by dividing the amount of compensation that is deferred by the closing price of the company's common stock on the date of deferral, or last business day prior. On September 30, 2021, the closing price of Fiserv's common stock was $108.50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21" w:right="359" w:bottom="1440" w:gutter="0" w:footer="0" w:header="0"/>
          <w:type w:val="continuous"/>
        </w:sectPr>
      </w:pP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1905</wp:posOffset>
            </wp:positionV>
            <wp:extent cx="1313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2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42"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122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5"/>
          <w:szCs w:val="15"/>
          <w:color w:val="0000FF"/>
        </w:rPr>
        <w:t>10/01/2021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7" w:lineRule="exact"/>
        <w:rPr>
          <w:sz w:val="24"/>
          <w:szCs w:val="24"/>
          <w:color w:val="auto"/>
        </w:rPr>
      </w:pPr>
    </w:p>
    <w:p>
      <w:pPr>
        <w:sectPr>
          <w:pgSz w:w="11900" w:h="16838" w:orient="portrait"/>
          <w:cols w:equalWidth="0" w:num="2">
            <w:col w:w="8660" w:space="14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7606"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2021-10-01T15:24:04Z</dcterms:created>
  <dcterms:modified xsi:type="dcterms:W3CDTF">2021-10-01T15:24:04Z</dcterms:modified>
</cp:coreProperties>
</file>