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250"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0"/>
              </w:rPr>
              <w:t>Title of each class of</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offering price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5"/>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w:t>
            </w:r>
            <w:r>
              <w:rPr>
                <w:rFonts w:ascii="Arial" w:cs="Arial" w:eastAsia="Arial" w:hAnsi="Arial"/>
                <w:sz w:val="12"/>
                <w:szCs w:val="12"/>
                <w:b w:val="1"/>
                <w:bCs w:val="1"/>
                <w:color w:val="auto"/>
                <w:w w:val="92"/>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r>
              <w:rPr>
                <w:rFonts w:ascii="Arial" w:cs="Arial" w:eastAsia="Arial" w:hAnsi="Arial"/>
                <w:sz w:val="12"/>
                <w:szCs w:val="12"/>
                <w:b w:val="1"/>
                <w:bCs w:val="1"/>
                <w:color w:val="auto"/>
                <w:w w:val="94"/>
              </w:rPr>
              <w:t>(1)</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$0.01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20,125,000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$112.00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$2,254,000,000.00</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87"/>
              </w:rPr>
              <w:t>$245,911.40</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424"/>
        <w:spacing w:after="0"/>
        <w:tabs>
          <w:tab w:leader="none" w:pos="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Includes the 2,625,000 shares of our Common Stock subject to the underwriters’ option to purchase additional shares described herein.</w:t>
      </w:r>
    </w:p>
    <w:p>
      <w:pPr>
        <w:spacing w:after="0" w:line="34" w:lineRule="exact"/>
        <w:rPr>
          <w:rFonts w:ascii="Arial" w:cs="Arial" w:eastAsia="Arial" w:hAnsi="Arial"/>
          <w:sz w:val="17"/>
          <w:szCs w:val="17"/>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under the Securities Act of 1933.</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Statement File No. 333-227436</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 Prospectus dated September 20, 2018)</w:t>
      </w: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17,500,000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171450</wp:posOffset>
            </wp:positionV>
            <wp:extent cx="617220" cy="3086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selling shareholder named in this prospectus supplement is offering (the “offering”) to sell 17,500,000 shares (the “shares”) of our common stock, par value $0.01 per share (“common stock”). We will not receive any proceeds from the sale of the shares of common stock by the selling shareholder.</w:t>
      </w:r>
    </w:p>
    <w:p>
      <w:pPr>
        <w:spacing w:after="0" w:line="184"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Subject to the completion of this offering, we have agreed to repurchase from the underwriters 1,817,520 shares of our common stock that are subject to this offering at a price per share equal to the price per share to be paid by the underwriters to the selling shareholder in this offering. Accordingly, the number of shares of our common stock available for sale to the general public will be 15,682,480 shares (or 18,307,480 shares if the underwriters’ option to purchase additional shares described herein is exercised in full).</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ticker symbol “FISV.” The last reported sale price of our common stock on December 8, 2020 was $117.99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20" w:right="560" w:firstLine="551"/>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risks. See “</w:t>
      </w:r>
      <w:hyperlink w:anchor="page1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S-8 of this prospectus supplement and the risk factors incorporated by reference into this prospectus supplement and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215265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20" w:right="160" w:firstLine="440"/>
        <w:spacing w:after="0" w:line="266" w:lineRule="auto"/>
        <w:rPr>
          <w:sz w:val="20"/>
          <w:szCs w:val="20"/>
          <w:color w:val="auto"/>
        </w:rPr>
      </w:pPr>
      <w:r>
        <w:rPr>
          <w:rFonts w:ascii="Arial" w:cs="Arial" w:eastAsia="Arial" w:hAnsi="Arial"/>
          <w:sz w:val="18"/>
          <w:szCs w:val="18"/>
          <w:b w:val="1"/>
          <w:bCs w:val="1"/>
          <w:color w:val="auto"/>
        </w:rPr>
        <w:t>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80"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the selling shareholder.</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Per Share</w:t>
            </w:r>
          </w:p>
        </w:tc>
        <w:tc>
          <w:tcPr>
            <w:tcW w:w="200" w:type="dxa"/>
            <w:vAlign w:val="bottom"/>
          </w:tcPr>
          <w:p>
            <w:pPr>
              <w:spacing w:after="0"/>
              <w:rPr>
                <w:sz w:val="14"/>
                <w:szCs w:val="14"/>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r>
              <w:rPr>
                <w:rFonts w:ascii="Arial" w:cs="Arial" w:eastAsia="Arial" w:hAnsi="Arial"/>
                <w:sz w:val="15"/>
                <w:szCs w:val="15"/>
                <w:color w:val="auto"/>
              </w:rPr>
              <w:t>(1)</w:t>
            </w:r>
          </w:p>
        </w:tc>
        <w:tc>
          <w:tcPr>
            <w:tcW w:w="10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112.00</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1,956,437,660.80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1.96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30,737,660.80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Proceeds to selling shareholder, before expenses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110.04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1,925,700,000.00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60" w:hanging="424"/>
        <w:spacing w:after="0" w:line="263" w:lineRule="auto"/>
        <w:tabs>
          <w:tab w:leader="none" w:pos="540" w:val="left"/>
        </w:tabs>
        <w:numPr>
          <w:ilvl w:val="0"/>
          <w:numId w:val="2"/>
        </w:numPr>
        <w:rPr>
          <w:rFonts w:ascii="Arial" w:cs="Arial" w:eastAsia="Arial" w:hAnsi="Arial"/>
          <w:sz w:val="15"/>
          <w:szCs w:val="15"/>
          <w:color w:val="auto"/>
        </w:rPr>
      </w:pPr>
      <w:r>
        <w:rPr>
          <w:rFonts w:ascii="Arial" w:cs="Arial" w:eastAsia="Arial" w:hAnsi="Arial"/>
          <w:sz w:val="18"/>
          <w:szCs w:val="18"/>
          <w:color w:val="auto"/>
        </w:rPr>
        <w:t>The total public offering price reflects the sale of 15,682,480 shares of our common stock at the per share public offering price and our repurchase of 1,817,520 shares of our common stock from the underwriters at a price of $110.04 per share. The underwriters will not be entitled to any underwriting discounts or commission in respect of the shares to be repurchased by us.</w:t>
      </w:r>
    </w:p>
    <w:p>
      <w:pPr>
        <w:spacing w:after="0" w:line="184"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selling shareholder has granted the underwriters an option to purchase up to 2,625,000 additional shares of our common stock at the per share public offering price set forth above, less underwriting discounts and commissions, within 30 days from the date of this prospectus supplement, solely to cover over-allotments, if any.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shares will be ready for delivery on or about December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160655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Joint Book-Running Managers</w:t>
      </w:r>
    </w:p>
    <w:p>
      <w:pPr>
        <w:spacing w:after="0" w:line="86" w:lineRule="exact"/>
        <w:rPr>
          <w:sz w:val="20"/>
          <w:szCs w:val="20"/>
          <w:color w:val="auto"/>
        </w:rPr>
      </w:pPr>
    </w:p>
    <w:p>
      <w:pPr>
        <w:ind w:left="120"/>
        <w:spacing w:after="0"/>
        <w:tabs>
          <w:tab w:leader="none" w:pos="5340" w:val="left"/>
          <w:tab w:leader="none" w:pos="10700" w:val="left"/>
        </w:tabs>
        <w:rPr>
          <w:sz w:val="20"/>
          <w:szCs w:val="20"/>
          <w:color w:val="auto"/>
        </w:rPr>
      </w:pPr>
      <w:r>
        <w:rPr>
          <w:rFonts w:ascii="Arial" w:cs="Arial" w:eastAsia="Arial" w:hAnsi="Arial"/>
          <w:sz w:val="18"/>
          <w:szCs w:val="18"/>
          <w:b w:val="1"/>
          <w:bCs w:val="1"/>
          <w:color w:val="auto"/>
        </w:rPr>
        <w:t>BofA Securities</w:t>
      </w:r>
      <w:r>
        <w:rPr>
          <w:sz w:val="20"/>
          <w:szCs w:val="20"/>
          <w:color w:val="auto"/>
        </w:rPr>
        <w:tab/>
      </w:r>
      <w:r>
        <w:rPr>
          <w:rFonts w:ascii="Arial" w:cs="Arial" w:eastAsia="Arial" w:hAnsi="Arial"/>
          <w:sz w:val="18"/>
          <w:szCs w:val="18"/>
          <w:b w:val="1"/>
          <w:bCs w:val="1"/>
          <w:color w:val="auto"/>
        </w:rPr>
        <w:t>Citigroup</w:t>
      </w:r>
      <w:r>
        <w:rPr>
          <w:sz w:val="20"/>
          <w:szCs w:val="20"/>
          <w:color w:val="auto"/>
        </w:rPr>
        <w:tab/>
      </w:r>
      <w:r>
        <w:rPr>
          <w:rFonts w:ascii="Arial" w:cs="Arial" w:eastAsia="Arial" w:hAnsi="Arial"/>
          <w:sz w:val="18"/>
          <w:szCs w:val="18"/>
          <w:b w:val="1"/>
          <w:bCs w:val="1"/>
          <w:color w:val="auto"/>
        </w:rPr>
        <w:t>KKR</w:t>
      </w:r>
    </w:p>
    <w:p>
      <w:pPr>
        <w:spacing w:after="0" w:line="72" w:lineRule="exact"/>
        <w:rPr>
          <w:sz w:val="20"/>
          <w:szCs w:val="20"/>
          <w:color w:val="auto"/>
        </w:rPr>
      </w:pPr>
    </w:p>
    <w:p>
      <w:pPr>
        <w:ind w:left="120"/>
        <w:spacing w:after="0"/>
        <w:tabs>
          <w:tab w:leader="none" w:pos="1960" w:val="left"/>
          <w:tab w:leader="none" w:pos="3700" w:val="left"/>
          <w:tab w:leader="none" w:pos="5140" w:val="left"/>
          <w:tab w:leader="none" w:pos="6780" w:val="left"/>
          <w:tab w:leader="none" w:pos="8260" w:val="left"/>
          <w:tab w:leader="none" w:pos="10020" w:val="left"/>
        </w:tabs>
        <w:rPr>
          <w:sz w:val="20"/>
          <w:szCs w:val="20"/>
          <w:color w:val="auto"/>
        </w:rPr>
      </w:pPr>
      <w:r>
        <w:rPr>
          <w:rFonts w:ascii="Arial" w:cs="Arial" w:eastAsia="Arial" w:hAnsi="Arial"/>
          <w:sz w:val="14"/>
          <w:szCs w:val="14"/>
          <w:b w:val="1"/>
          <w:bCs w:val="1"/>
          <w:color w:val="auto"/>
        </w:rPr>
        <w:t>PNC Capital</w:t>
      </w:r>
      <w:r>
        <w:rPr>
          <w:sz w:val="20"/>
          <w:szCs w:val="20"/>
          <w:color w:val="auto"/>
        </w:rPr>
        <w:tab/>
      </w:r>
      <w:r>
        <w:rPr>
          <w:rFonts w:ascii="Arial" w:cs="Arial" w:eastAsia="Arial" w:hAnsi="Arial"/>
          <w:sz w:val="14"/>
          <w:szCs w:val="14"/>
          <w:b w:val="1"/>
          <w:bCs w:val="1"/>
          <w:color w:val="auto"/>
        </w:rPr>
        <w:t>Truist Securities</w:t>
      </w:r>
      <w:r>
        <w:rPr>
          <w:sz w:val="20"/>
          <w:szCs w:val="20"/>
          <w:color w:val="auto"/>
        </w:rPr>
        <w:tab/>
      </w:r>
      <w:r>
        <w:rPr>
          <w:rFonts w:ascii="Arial" w:cs="Arial" w:eastAsia="Arial" w:hAnsi="Arial"/>
          <w:sz w:val="14"/>
          <w:szCs w:val="14"/>
          <w:b w:val="1"/>
          <w:bCs w:val="1"/>
          <w:color w:val="auto"/>
        </w:rPr>
        <w:t>Wells Fargo</w:t>
      </w:r>
      <w:r>
        <w:rPr>
          <w:sz w:val="20"/>
          <w:szCs w:val="20"/>
          <w:color w:val="auto"/>
        </w:rPr>
        <w:tab/>
      </w:r>
      <w:r>
        <w:rPr>
          <w:rFonts w:ascii="Arial" w:cs="Arial" w:eastAsia="Arial" w:hAnsi="Arial"/>
          <w:sz w:val="14"/>
          <w:szCs w:val="14"/>
          <w:b w:val="1"/>
          <w:bCs w:val="1"/>
          <w:color w:val="auto"/>
        </w:rPr>
        <w:t>Deutsche Bank</w:t>
      </w:r>
      <w:r>
        <w:rPr>
          <w:sz w:val="20"/>
          <w:szCs w:val="20"/>
          <w:color w:val="auto"/>
        </w:rPr>
        <w:tab/>
      </w:r>
      <w:r>
        <w:rPr>
          <w:rFonts w:ascii="Arial" w:cs="Arial" w:eastAsia="Arial" w:hAnsi="Arial"/>
          <w:sz w:val="14"/>
          <w:szCs w:val="14"/>
          <w:b w:val="1"/>
          <w:bCs w:val="1"/>
          <w:color w:val="auto"/>
        </w:rPr>
        <w:t>J.P. Morgan</w:t>
      </w:r>
      <w:r>
        <w:rPr>
          <w:sz w:val="20"/>
          <w:szCs w:val="20"/>
          <w:color w:val="auto"/>
        </w:rPr>
        <w:tab/>
      </w:r>
      <w:r>
        <w:rPr>
          <w:rFonts w:ascii="Arial" w:cs="Arial" w:eastAsia="Arial" w:hAnsi="Arial"/>
          <w:sz w:val="14"/>
          <w:szCs w:val="14"/>
          <w:b w:val="1"/>
          <w:bCs w:val="1"/>
          <w:color w:val="auto"/>
        </w:rPr>
        <w:t>Morgan Stanley</w:t>
      </w:r>
      <w:r>
        <w:rPr>
          <w:sz w:val="20"/>
          <w:szCs w:val="20"/>
          <w:color w:val="auto"/>
        </w:rPr>
        <w:tab/>
      </w:r>
      <w:r>
        <w:rPr>
          <w:rFonts w:ascii="Arial" w:cs="Arial" w:eastAsia="Arial" w:hAnsi="Arial"/>
          <w:sz w:val="14"/>
          <w:szCs w:val="14"/>
          <w:b w:val="1"/>
          <w:bCs w:val="1"/>
          <w:color w:val="auto"/>
        </w:rPr>
        <w:t>BMO Capital</w:t>
      </w:r>
    </w:p>
    <w:p>
      <w:pPr>
        <w:spacing w:after="0" w:line="4" w:lineRule="exact"/>
        <w:rPr>
          <w:sz w:val="20"/>
          <w:szCs w:val="20"/>
          <w:color w:val="auto"/>
        </w:rPr>
      </w:pPr>
    </w:p>
    <w:p>
      <w:pPr>
        <w:ind w:left="120"/>
        <w:spacing w:after="0"/>
        <w:tabs>
          <w:tab w:leader="none" w:pos="3780" w:val="left"/>
          <w:tab w:leader="none" w:pos="5320" w:val="left"/>
          <w:tab w:leader="none" w:pos="10180" w:val="left"/>
        </w:tabs>
        <w:rPr>
          <w:sz w:val="20"/>
          <w:szCs w:val="20"/>
          <w:color w:val="auto"/>
        </w:rPr>
      </w:pPr>
      <w:r>
        <w:rPr>
          <w:rFonts w:ascii="Arial" w:cs="Arial" w:eastAsia="Arial" w:hAnsi="Arial"/>
          <w:sz w:val="14"/>
          <w:szCs w:val="14"/>
          <w:b w:val="1"/>
          <w:bCs w:val="1"/>
          <w:color w:val="auto"/>
        </w:rPr>
        <w:t>Markets LLC</w:t>
      </w:r>
      <w:r>
        <w:rPr>
          <w:sz w:val="20"/>
          <w:szCs w:val="20"/>
          <w:color w:val="auto"/>
        </w:rPr>
        <w:tab/>
      </w:r>
      <w:r>
        <w:rPr>
          <w:rFonts w:ascii="Arial" w:cs="Arial" w:eastAsia="Arial" w:hAnsi="Arial"/>
          <w:sz w:val="14"/>
          <w:szCs w:val="14"/>
          <w:b w:val="1"/>
          <w:bCs w:val="1"/>
          <w:color w:val="auto"/>
        </w:rPr>
        <w:t>Securities</w:t>
      </w:r>
      <w:r>
        <w:rPr>
          <w:sz w:val="20"/>
          <w:szCs w:val="20"/>
          <w:color w:val="auto"/>
        </w:rPr>
        <w:tab/>
      </w:r>
      <w:r>
        <w:rPr>
          <w:rFonts w:ascii="Arial" w:cs="Arial" w:eastAsia="Arial" w:hAnsi="Arial"/>
          <w:sz w:val="14"/>
          <w:szCs w:val="14"/>
          <w:b w:val="1"/>
          <w:bCs w:val="1"/>
          <w:color w:val="auto"/>
        </w:rPr>
        <w:t>Securities</w:t>
      </w:r>
      <w:r>
        <w:rPr>
          <w:sz w:val="20"/>
          <w:szCs w:val="20"/>
          <w:color w:val="auto"/>
        </w:rPr>
        <w:tab/>
      </w:r>
      <w:r>
        <w:rPr>
          <w:rFonts w:ascii="Arial" w:cs="Arial" w:eastAsia="Arial" w:hAnsi="Arial"/>
          <w:sz w:val="13"/>
          <w:szCs w:val="13"/>
          <w:b w:val="1"/>
          <w:bCs w:val="1"/>
          <w:color w:val="auto"/>
        </w:rPr>
        <w:t>Markets</w:t>
      </w:r>
    </w:p>
    <w:p>
      <w:pPr>
        <w:spacing w:after="0" w:line="39" w:lineRule="exact"/>
        <w:rPr>
          <w:sz w:val="20"/>
          <w:szCs w:val="20"/>
          <w:color w:val="auto"/>
        </w:rPr>
      </w:pPr>
    </w:p>
    <w:p>
      <w:pPr>
        <w:ind w:left="400"/>
        <w:spacing w:after="0"/>
        <w:tabs>
          <w:tab w:leader="none" w:pos="2540" w:val="left"/>
          <w:tab w:leader="none" w:pos="4060" w:val="left"/>
          <w:tab w:leader="none" w:pos="5840" w:val="left"/>
          <w:tab w:leader="none" w:pos="7260" w:val="left"/>
          <w:tab w:leader="none" w:pos="9600" w:val="left"/>
        </w:tabs>
        <w:rPr>
          <w:sz w:val="20"/>
          <w:szCs w:val="20"/>
          <w:color w:val="auto"/>
        </w:rPr>
      </w:pPr>
      <w:r>
        <w:rPr>
          <w:rFonts w:ascii="Arial" w:cs="Arial" w:eastAsia="Arial" w:hAnsi="Arial"/>
          <w:sz w:val="14"/>
          <w:szCs w:val="14"/>
          <w:b w:val="1"/>
          <w:bCs w:val="1"/>
          <w:color w:val="auto"/>
        </w:rPr>
        <w:t>Mizuho Securities</w:t>
      </w:r>
      <w:r>
        <w:rPr>
          <w:sz w:val="20"/>
          <w:szCs w:val="20"/>
          <w:color w:val="auto"/>
        </w:rPr>
        <w:tab/>
      </w:r>
      <w:r>
        <w:rPr>
          <w:rFonts w:ascii="Arial" w:cs="Arial" w:eastAsia="Arial" w:hAnsi="Arial"/>
          <w:sz w:val="14"/>
          <w:szCs w:val="14"/>
          <w:b w:val="1"/>
          <w:bCs w:val="1"/>
          <w:color w:val="auto"/>
        </w:rPr>
        <w:t>Barclays</w:t>
      </w:r>
      <w:r>
        <w:rPr>
          <w:sz w:val="20"/>
          <w:szCs w:val="20"/>
          <w:color w:val="auto"/>
        </w:rPr>
        <w:tab/>
      </w:r>
      <w:r>
        <w:rPr>
          <w:rFonts w:ascii="Arial" w:cs="Arial" w:eastAsia="Arial" w:hAnsi="Arial"/>
          <w:sz w:val="14"/>
          <w:szCs w:val="14"/>
          <w:b w:val="1"/>
          <w:bCs w:val="1"/>
          <w:color w:val="auto"/>
        </w:rPr>
        <w:t>Credit Suisse</w:t>
      </w:r>
      <w:r>
        <w:rPr>
          <w:sz w:val="20"/>
          <w:szCs w:val="20"/>
          <w:color w:val="auto"/>
        </w:rPr>
        <w:tab/>
      </w:r>
      <w:r>
        <w:rPr>
          <w:rFonts w:ascii="Arial" w:cs="Arial" w:eastAsia="Arial" w:hAnsi="Arial"/>
          <w:sz w:val="14"/>
          <w:szCs w:val="14"/>
          <w:b w:val="1"/>
          <w:bCs w:val="1"/>
          <w:color w:val="auto"/>
        </w:rPr>
        <w:t>HSBC</w:t>
      </w:r>
      <w:r>
        <w:rPr>
          <w:sz w:val="20"/>
          <w:szCs w:val="20"/>
          <w:color w:val="auto"/>
        </w:rPr>
        <w:tab/>
      </w:r>
      <w:r>
        <w:rPr>
          <w:rFonts w:ascii="Arial" w:cs="Arial" w:eastAsia="Arial" w:hAnsi="Arial"/>
          <w:sz w:val="14"/>
          <w:szCs w:val="14"/>
          <w:b w:val="1"/>
          <w:bCs w:val="1"/>
          <w:color w:val="auto"/>
        </w:rPr>
        <w:t>Goldman Sachs &amp;</w:t>
      </w:r>
      <w:r>
        <w:rPr>
          <w:sz w:val="20"/>
          <w:szCs w:val="20"/>
          <w:color w:val="auto"/>
        </w:rPr>
        <w:tab/>
      </w:r>
      <w:r>
        <w:rPr>
          <w:rFonts w:ascii="Arial" w:cs="Arial" w:eastAsia="Arial" w:hAnsi="Arial"/>
          <w:sz w:val="13"/>
          <w:szCs w:val="13"/>
          <w:b w:val="1"/>
          <w:bCs w:val="1"/>
          <w:color w:val="auto"/>
        </w:rPr>
        <w:t>Stone Point Capital</w:t>
      </w:r>
    </w:p>
    <w:p>
      <w:pPr>
        <w:spacing w:after="0" w:line="4" w:lineRule="exact"/>
        <w:rPr>
          <w:sz w:val="20"/>
          <w:szCs w:val="20"/>
          <w:color w:val="auto"/>
        </w:rPr>
      </w:pPr>
    </w:p>
    <w:p>
      <w:pPr>
        <w:ind w:left="7580"/>
        <w:spacing w:after="0"/>
        <w:tabs>
          <w:tab w:leader="none" w:pos="9940" w:val="left"/>
        </w:tabs>
        <w:rPr>
          <w:sz w:val="20"/>
          <w:szCs w:val="20"/>
          <w:color w:val="auto"/>
        </w:rPr>
      </w:pPr>
      <w:r>
        <w:rPr>
          <w:rFonts w:ascii="Arial" w:cs="Arial" w:eastAsia="Arial" w:hAnsi="Arial"/>
          <w:sz w:val="14"/>
          <w:szCs w:val="14"/>
          <w:b w:val="1"/>
          <w:bCs w:val="1"/>
          <w:color w:val="auto"/>
        </w:rPr>
        <w:t>Co LLC</w:t>
      </w:r>
      <w:r>
        <w:rPr>
          <w:sz w:val="20"/>
          <w:szCs w:val="20"/>
          <w:color w:val="auto"/>
        </w:rPr>
        <w:tab/>
      </w:r>
      <w:r>
        <w:rPr>
          <w:rFonts w:ascii="Arial" w:cs="Arial" w:eastAsia="Arial" w:hAnsi="Arial"/>
          <w:sz w:val="13"/>
          <w:szCs w:val="13"/>
          <w:b w:val="1"/>
          <w:bCs w:val="1"/>
          <w:color w:val="auto"/>
        </w:rPr>
        <w:t>Markets</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Bookrunners</w:t>
      </w:r>
    </w:p>
    <w:p>
      <w:pPr>
        <w:spacing w:after="0" w:line="82" w:lineRule="exact"/>
        <w:rPr>
          <w:sz w:val="20"/>
          <w:szCs w:val="20"/>
          <w:color w:val="auto"/>
        </w:rPr>
      </w:pPr>
    </w:p>
    <w:p>
      <w:pPr>
        <w:ind w:left="460"/>
        <w:spacing w:after="0"/>
        <w:tabs>
          <w:tab w:leader="none" w:pos="2960" w:val="left"/>
          <w:tab w:leader="none" w:pos="5480" w:val="left"/>
          <w:tab w:leader="none" w:pos="7280" w:val="left"/>
          <w:tab w:leader="none" w:pos="9480" w:val="left"/>
        </w:tabs>
        <w:rPr>
          <w:sz w:val="20"/>
          <w:szCs w:val="20"/>
          <w:color w:val="auto"/>
        </w:rPr>
      </w:pPr>
      <w:r>
        <w:rPr>
          <w:rFonts w:ascii="Arial" w:cs="Arial" w:eastAsia="Arial" w:hAnsi="Arial"/>
          <w:sz w:val="14"/>
          <w:szCs w:val="14"/>
          <w:b w:val="1"/>
          <w:bCs w:val="1"/>
          <w:color w:val="auto"/>
        </w:rPr>
        <w:t>Keefe, Bruyette &amp; Woods</w:t>
      </w:r>
      <w:r>
        <w:rPr>
          <w:sz w:val="20"/>
          <w:szCs w:val="20"/>
          <w:color w:val="auto"/>
        </w:rPr>
        <w:tab/>
      </w:r>
      <w:r>
        <w:rPr>
          <w:rFonts w:ascii="Arial" w:cs="Arial" w:eastAsia="Arial" w:hAnsi="Arial"/>
          <w:sz w:val="14"/>
          <w:szCs w:val="14"/>
          <w:b w:val="1"/>
          <w:bCs w:val="1"/>
          <w:color w:val="auto"/>
        </w:rPr>
        <w:t>Wolfe Capital Markets and</w:t>
      </w:r>
      <w:r>
        <w:rPr>
          <w:sz w:val="20"/>
          <w:szCs w:val="20"/>
          <w:color w:val="auto"/>
        </w:rPr>
        <w:tab/>
      </w:r>
      <w:r>
        <w:rPr>
          <w:rFonts w:ascii="Arial" w:cs="Arial" w:eastAsia="Arial" w:hAnsi="Arial"/>
          <w:sz w:val="14"/>
          <w:szCs w:val="14"/>
          <w:b w:val="1"/>
          <w:bCs w:val="1"/>
          <w:color w:val="auto"/>
        </w:rPr>
        <w:t>KeyBanc Capital</w:t>
      </w:r>
      <w:r>
        <w:rPr>
          <w:sz w:val="20"/>
          <w:szCs w:val="20"/>
          <w:color w:val="auto"/>
        </w:rPr>
        <w:tab/>
      </w:r>
      <w:r>
        <w:rPr>
          <w:rFonts w:ascii="Arial" w:cs="Arial" w:eastAsia="Arial" w:hAnsi="Arial"/>
          <w:sz w:val="14"/>
          <w:szCs w:val="14"/>
          <w:b w:val="1"/>
          <w:bCs w:val="1"/>
          <w:color w:val="auto"/>
        </w:rPr>
        <w:t>Loop Capital Markets</w:t>
      </w:r>
      <w:r>
        <w:rPr>
          <w:sz w:val="20"/>
          <w:szCs w:val="20"/>
          <w:color w:val="auto"/>
        </w:rPr>
        <w:tab/>
      </w:r>
      <w:r>
        <w:rPr>
          <w:rFonts w:ascii="Arial" w:cs="Arial" w:eastAsia="Arial" w:hAnsi="Arial"/>
          <w:sz w:val="13"/>
          <w:szCs w:val="13"/>
          <w:b w:val="1"/>
          <w:bCs w:val="1"/>
          <w:color w:val="auto"/>
        </w:rPr>
        <w:t>Guzman &amp; Company</w:t>
      </w:r>
    </w:p>
    <w:p>
      <w:pPr>
        <w:spacing w:after="0" w:line="4" w:lineRule="exact"/>
        <w:rPr>
          <w:sz w:val="20"/>
          <w:szCs w:val="20"/>
          <w:color w:val="auto"/>
        </w:rPr>
      </w:pPr>
    </w:p>
    <w:p>
      <w:pPr>
        <w:ind w:left="720"/>
        <w:spacing w:after="0"/>
        <w:tabs>
          <w:tab w:leader="none" w:pos="3520" w:val="left"/>
          <w:tab w:leader="none" w:pos="5740" w:val="left"/>
        </w:tabs>
        <w:rPr>
          <w:sz w:val="20"/>
          <w:szCs w:val="20"/>
          <w:color w:val="auto"/>
        </w:rPr>
      </w:pPr>
      <w:r>
        <w:rPr>
          <w:rFonts w:ascii="Arial" w:cs="Arial" w:eastAsia="Arial" w:hAnsi="Arial"/>
          <w:sz w:val="14"/>
          <w:szCs w:val="14"/>
          <w:b w:val="1"/>
          <w:bCs w:val="1"/>
          <w:i w:val="1"/>
          <w:iCs w:val="1"/>
          <w:color w:val="auto"/>
        </w:rPr>
        <w:t>A Stifel Company</w:t>
      </w:r>
      <w:r>
        <w:rPr>
          <w:sz w:val="20"/>
          <w:szCs w:val="20"/>
          <w:color w:val="auto"/>
        </w:rPr>
        <w:tab/>
      </w:r>
      <w:r>
        <w:rPr>
          <w:rFonts w:ascii="Arial" w:cs="Arial" w:eastAsia="Arial" w:hAnsi="Arial"/>
          <w:sz w:val="14"/>
          <w:szCs w:val="14"/>
          <w:b w:val="1"/>
          <w:bCs w:val="1"/>
          <w:color w:val="auto"/>
        </w:rPr>
        <w:t>Advisory</w:t>
      </w:r>
      <w:r>
        <w:rPr>
          <w:sz w:val="20"/>
          <w:szCs w:val="20"/>
          <w:color w:val="auto"/>
        </w:rPr>
        <w:tab/>
      </w:r>
      <w:r>
        <w:rPr>
          <w:rFonts w:ascii="Arial" w:cs="Arial" w:eastAsia="Arial" w:hAnsi="Arial"/>
          <w:sz w:val="13"/>
          <w:szCs w:val="13"/>
          <w:b w:val="1"/>
          <w:bCs w:val="1"/>
          <w:color w:val="auto"/>
        </w:rPr>
        <w:t>Markets</w:t>
      </w:r>
    </w:p>
    <w:p>
      <w:pPr>
        <w:spacing w:after="0" w:line="53" w:lineRule="exact"/>
        <w:rPr>
          <w:sz w:val="20"/>
          <w:szCs w:val="20"/>
          <w:color w:val="auto"/>
        </w:rPr>
      </w:pPr>
    </w:p>
    <w:p>
      <w:pPr>
        <w:ind w:left="2060"/>
        <w:spacing w:after="0"/>
        <w:tabs>
          <w:tab w:leader="none" w:pos="7920" w:val="left"/>
        </w:tabs>
        <w:rPr>
          <w:sz w:val="20"/>
          <w:szCs w:val="20"/>
          <w:color w:val="auto"/>
        </w:rPr>
      </w:pPr>
      <w:r>
        <w:rPr>
          <w:rFonts w:ascii="Arial" w:cs="Arial" w:eastAsia="Arial" w:hAnsi="Arial"/>
          <w:sz w:val="14"/>
          <w:szCs w:val="14"/>
          <w:b w:val="1"/>
          <w:bCs w:val="1"/>
          <w:color w:val="auto"/>
        </w:rPr>
        <w:t>Tigress Financial Partners</w:t>
      </w:r>
      <w:r>
        <w:rPr>
          <w:sz w:val="20"/>
          <w:szCs w:val="20"/>
          <w:color w:val="auto"/>
        </w:rPr>
        <w:tab/>
      </w:r>
      <w:r>
        <w:rPr>
          <w:rFonts w:ascii="Arial" w:cs="Arial" w:eastAsia="Arial" w:hAnsi="Arial"/>
          <w:sz w:val="13"/>
          <w:szCs w:val="13"/>
          <w:b w:val="1"/>
          <w:bCs w:val="1"/>
          <w:color w:val="auto"/>
        </w:rPr>
        <w:t>Roberts &amp; Ryan</w:t>
      </w:r>
    </w:p>
    <w:p>
      <w:pPr>
        <w:sectPr>
          <w:pgSz w:w="11900" w:h="16838" w:orient="portrait"/>
          <w:cols w:equalWidth="0" w:num="1">
            <w:col w:w="11140"/>
          </w:cols>
          <w:pgMar w:left="320" w:top="459" w:right="439" w:bottom="333" w:gutter="0" w:footer="0" w:header="0"/>
        </w:sectPr>
      </w:pPr>
    </w:p>
    <w:p>
      <w:pPr>
        <w:spacing w:after="0" w:line="73"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The date of this prospectus supplement is December 9, 2020</w:t>
      </w:r>
    </w:p>
    <w:p>
      <w:pPr>
        <w:sectPr>
          <w:pgSz w:w="11900" w:h="16838" w:orient="portrait"/>
          <w:cols w:equalWidth="0" w:num="1">
            <w:col w:w="11140"/>
          </w:cols>
          <w:pgMar w:left="320" w:top="459" w:right="439" w:bottom="333"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4680" w:type="dxa"/>
            <w:vAlign w:val="bottom"/>
            <w:gridSpan w:val="3"/>
          </w:tcPr>
          <w:p>
            <w:pPr>
              <w:ind w:left="106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ROSPECTUS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UPPLEMENT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78"/>
              </w:rPr>
              <w:t>Page</w:t>
            </w:r>
          </w:p>
        </w:tc>
        <w:tc>
          <w:tcPr>
            <w:tcW w:w="5160" w:type="dxa"/>
            <w:vAlign w:val="bottom"/>
          </w:tcPr>
          <w:p>
            <w:pPr>
              <w:ind w:left="194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ROSPECTUS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r>
      <w:tr>
        <w:trPr>
          <w:trHeight w:val="20"/>
        </w:trPr>
        <w:tc>
          <w:tcPr>
            <w:tcW w:w="1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4860" w:type="dxa"/>
            <w:vAlign w:val="bottom"/>
            <w:gridSpan w:val="4"/>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w:t>
              </w:r>
              <w:r>
                <w:rPr>
                  <w:rFonts w:ascii="Arial" w:cs="Arial" w:eastAsia="Arial" w:hAnsi="Arial"/>
                  <w:sz w:val="14"/>
                  <w:szCs w:val="14"/>
                  <w:u w:val="single" w:color="auto"/>
                  <w:color w:val="0000EE"/>
                </w:rPr>
                <w:t>BOUT THIS</w:t>
              </w:r>
              <w:r>
                <w:rPr>
                  <w:rFonts w:ascii="Arial" w:cs="Arial" w:eastAsia="Arial" w:hAnsi="Arial"/>
                  <w:sz w:val="18"/>
                  <w:szCs w:val="18"/>
                  <w:u w:val="single" w:color="auto"/>
                  <w:color w:val="0000EE"/>
                </w:rPr>
                <w:t xml:space="preserve"> P</w:t>
              </w:r>
              <w:r>
                <w:rPr>
                  <w:rFonts w:ascii="Arial" w:cs="Arial" w:eastAsia="Arial" w:hAnsi="Arial"/>
                  <w:sz w:val="14"/>
                  <w:szCs w:val="14"/>
                  <w:u w:val="single" w:color="auto"/>
                  <w:color w:val="0000EE"/>
                </w:rPr>
                <w:t>ROSPECTUS</w:t>
              </w:r>
              <w:r>
                <w:rPr>
                  <w:rFonts w:ascii="Arial" w:cs="Arial" w:eastAsia="Arial" w:hAnsi="Arial"/>
                  <w:sz w:val="18"/>
                  <w:szCs w:val="18"/>
                  <w:u w:val="single" w:color="auto"/>
                  <w:color w:val="0000EE"/>
                </w:rPr>
                <w:t xml:space="preserve"> S</w:t>
              </w:r>
              <w:r>
                <w:rPr>
                  <w:rFonts w:ascii="Arial" w:cs="Arial" w:eastAsia="Arial" w:hAnsi="Arial"/>
                  <w:sz w:val="14"/>
                  <w:szCs w:val="14"/>
                  <w:u w:val="single" w:color="auto"/>
                  <w:color w:val="0000EE"/>
                </w:rPr>
                <w:t>UPPLEMENT</w:t>
              </w:r>
            </w:hyperlink>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S-ii</w:t>
            </w:r>
          </w:p>
        </w:tc>
        <w:tc>
          <w:tcPr>
            <w:tcW w:w="5160" w:type="dxa"/>
            <w:vAlign w:val="bottom"/>
          </w:tcPr>
          <w:p>
            <w:pPr>
              <w:ind w:left="20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A</w:t>
              </w:r>
              <w:r>
                <w:rPr>
                  <w:rFonts w:ascii="Arial" w:cs="Arial" w:eastAsia="Arial" w:hAnsi="Arial"/>
                  <w:sz w:val="14"/>
                  <w:szCs w:val="14"/>
                  <w:u w:val="single" w:color="auto"/>
                  <w:color w:val="0000EE"/>
                </w:rPr>
                <w:t>BOUT THIS</w:t>
              </w:r>
              <w:r>
                <w:rPr>
                  <w:rFonts w:ascii="Arial" w:cs="Arial" w:eastAsia="Arial" w:hAnsi="Arial"/>
                  <w:sz w:val="18"/>
                  <w:szCs w:val="18"/>
                  <w:u w:val="single" w:color="auto"/>
                  <w:color w:val="0000EE"/>
                </w:rPr>
                <w:t xml:space="preserve"> P</w:t>
              </w:r>
              <w:r>
                <w:rPr>
                  <w:rFonts w:ascii="Arial" w:cs="Arial" w:eastAsia="Arial" w:hAnsi="Arial"/>
                  <w:sz w:val="14"/>
                  <w:szCs w:val="14"/>
                  <w:u w:val="single" w:color="auto"/>
                  <w:color w:val="0000EE"/>
                </w:rPr>
                <w:t>ROSPECTUS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860" w:type="dxa"/>
            <w:vAlign w:val="bottom"/>
            <w:gridSpan w:val="4"/>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W</w:t>
              </w:r>
              <w:r>
                <w:rPr>
                  <w:rFonts w:ascii="Arial" w:cs="Arial" w:eastAsia="Arial" w:hAnsi="Arial"/>
                  <w:sz w:val="14"/>
                  <w:szCs w:val="14"/>
                  <w:u w:val="single" w:color="auto"/>
                  <w:color w:val="0000EE"/>
                </w:rPr>
                <w:t>HERE</w:t>
              </w:r>
              <w:r>
                <w:rPr>
                  <w:rFonts w:ascii="Arial" w:cs="Arial" w:eastAsia="Arial" w:hAnsi="Arial"/>
                  <w:sz w:val="18"/>
                  <w:szCs w:val="18"/>
                  <w:u w:val="single" w:color="auto"/>
                  <w:color w:val="0000EE"/>
                </w:rPr>
                <w:t xml:space="preserve"> Y</w:t>
              </w:r>
              <w:r>
                <w:rPr>
                  <w:rFonts w:ascii="Arial" w:cs="Arial" w:eastAsia="Arial" w:hAnsi="Arial"/>
                  <w:sz w:val="14"/>
                  <w:szCs w:val="14"/>
                  <w:u w:val="single" w:color="auto"/>
                  <w:color w:val="0000EE"/>
                </w:rPr>
                <w:t>OU</w:t>
              </w:r>
              <w:r>
                <w:rPr>
                  <w:rFonts w:ascii="Arial" w:cs="Arial" w:eastAsia="Arial" w:hAnsi="Arial"/>
                  <w:sz w:val="18"/>
                  <w:szCs w:val="18"/>
                  <w:u w:val="single" w:color="auto"/>
                  <w:color w:val="0000EE"/>
                </w:rPr>
                <w:t xml:space="preserve"> C</w:t>
              </w:r>
              <w:r>
                <w:rPr>
                  <w:rFonts w:ascii="Arial" w:cs="Arial" w:eastAsia="Arial" w:hAnsi="Arial"/>
                  <w:sz w:val="14"/>
                  <w:szCs w:val="14"/>
                  <w:u w:val="single" w:color="auto"/>
                  <w:color w:val="0000EE"/>
                </w:rPr>
                <w:t>AN</w:t>
              </w:r>
              <w:r>
                <w:rPr>
                  <w:rFonts w:ascii="Arial" w:cs="Arial" w:eastAsia="Arial" w:hAnsi="Arial"/>
                  <w:sz w:val="18"/>
                  <w:szCs w:val="18"/>
                  <w:u w:val="single" w:color="auto"/>
                  <w:color w:val="0000EE"/>
                </w:rPr>
                <w:t xml:space="preserve"> F</w:t>
              </w:r>
              <w:r>
                <w:rPr>
                  <w:rFonts w:ascii="Arial" w:cs="Arial" w:eastAsia="Arial" w:hAnsi="Arial"/>
                  <w:sz w:val="14"/>
                  <w:szCs w:val="14"/>
                  <w:u w:val="single" w:color="auto"/>
                  <w:color w:val="0000EE"/>
                </w:rPr>
                <w:t>IND</w:t>
              </w:r>
              <w:r>
                <w:rPr>
                  <w:rFonts w:ascii="Arial" w:cs="Arial" w:eastAsia="Arial" w:hAnsi="Arial"/>
                  <w:sz w:val="18"/>
                  <w:szCs w:val="18"/>
                  <w:u w:val="single" w:color="auto"/>
                  <w:color w:val="0000EE"/>
                </w:rPr>
                <w:t xml:space="preserve"> M</w:t>
              </w:r>
              <w:r>
                <w:rPr>
                  <w:rFonts w:ascii="Arial" w:cs="Arial" w:eastAsia="Arial" w:hAnsi="Arial"/>
                  <w:sz w:val="14"/>
                  <w:szCs w:val="14"/>
                  <w:u w:val="single" w:color="auto"/>
                  <w:color w:val="0000EE"/>
                </w:rPr>
                <w:t>ORE</w:t>
              </w:r>
              <w:r>
                <w:rPr>
                  <w:rFonts w:ascii="Arial" w:cs="Arial" w:eastAsia="Arial" w:hAnsi="Arial"/>
                  <w:sz w:val="18"/>
                  <w:szCs w:val="18"/>
                  <w:u w:val="single" w:color="auto"/>
                  <w:color w:val="0000EE"/>
                </w:rPr>
                <w:t xml:space="preserve"> I</w:t>
              </w:r>
              <w:r>
                <w:rPr>
                  <w:rFonts w:ascii="Arial" w:cs="Arial" w:eastAsia="Arial" w:hAnsi="Arial"/>
                  <w:sz w:val="14"/>
                  <w:szCs w:val="14"/>
                  <w:u w:val="single" w:color="auto"/>
                  <w:color w:val="0000EE"/>
                </w:rPr>
                <w:t>NFORMATION</w:t>
              </w:r>
            </w:hyperlink>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S-iii</w:t>
            </w:r>
          </w:p>
        </w:tc>
        <w:tc>
          <w:tcPr>
            <w:tcW w:w="5160" w:type="dxa"/>
            <w:vAlign w:val="bottom"/>
          </w:tcPr>
          <w:p>
            <w:pPr>
              <w:ind w:left="20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F</w:t>
              </w:r>
              <w:r>
                <w:rPr>
                  <w:rFonts w:ascii="Arial" w:cs="Arial" w:eastAsia="Arial" w:hAnsi="Arial"/>
                  <w:sz w:val="14"/>
                  <w:szCs w:val="14"/>
                  <w:u w:val="single" w:color="auto"/>
                  <w:color w:val="0000EE"/>
                </w:rPr>
                <w:t>ORWARD</w:t>
              </w:r>
              <w:r>
                <w:rPr>
                  <w:rFonts w:ascii="Arial" w:cs="Arial" w:eastAsia="Arial" w:hAnsi="Arial"/>
                  <w:sz w:val="18"/>
                  <w:szCs w:val="18"/>
                  <w:u w:val="single" w:color="auto"/>
                  <w:color w:val="0000EE"/>
                </w:rPr>
                <w:t>-L</w:t>
              </w:r>
              <w:r>
                <w:rPr>
                  <w:rFonts w:ascii="Arial" w:cs="Arial" w:eastAsia="Arial" w:hAnsi="Arial"/>
                  <w:sz w:val="14"/>
                  <w:szCs w:val="14"/>
                  <w:u w:val="single" w:color="auto"/>
                  <w:color w:val="0000EE"/>
                </w:rPr>
                <w:t>OOKING</w:t>
              </w:r>
              <w:r>
                <w:rPr>
                  <w:rFonts w:ascii="Arial" w:cs="Arial" w:eastAsia="Arial" w:hAnsi="Arial"/>
                  <w:sz w:val="18"/>
                  <w:szCs w:val="18"/>
                  <w:u w:val="single" w:color="auto"/>
                  <w:color w:val="0000EE"/>
                </w:rPr>
                <w:t xml:space="preserve"> S</w:t>
              </w:r>
              <w:r>
                <w:rPr>
                  <w:rFonts w:ascii="Arial" w:cs="Arial" w:eastAsia="Arial" w:hAnsi="Arial"/>
                  <w:sz w:val="14"/>
                  <w:szCs w:val="14"/>
                  <w:u w:val="single" w:color="auto"/>
                  <w:color w:val="0000EE"/>
                </w:rPr>
                <w:t>TATEMENTS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860" w:type="dxa"/>
            <w:vAlign w:val="bottom"/>
            <w:gridSpan w:val="4"/>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w:t>
              </w:r>
              <w:r>
                <w:rPr>
                  <w:rFonts w:ascii="Arial" w:cs="Arial" w:eastAsia="Arial" w:hAnsi="Arial"/>
                  <w:sz w:val="14"/>
                  <w:szCs w:val="14"/>
                  <w:u w:val="single" w:color="auto"/>
                  <w:color w:val="0000EE"/>
                </w:rPr>
                <w:t>ORWARD</w:t>
              </w:r>
              <w:r>
                <w:rPr>
                  <w:rFonts w:ascii="Arial" w:cs="Arial" w:eastAsia="Arial" w:hAnsi="Arial"/>
                  <w:sz w:val="18"/>
                  <w:szCs w:val="18"/>
                  <w:u w:val="single" w:color="auto"/>
                  <w:color w:val="0000EE"/>
                </w:rPr>
                <w:t>-L</w:t>
              </w:r>
              <w:r>
                <w:rPr>
                  <w:rFonts w:ascii="Arial" w:cs="Arial" w:eastAsia="Arial" w:hAnsi="Arial"/>
                  <w:sz w:val="14"/>
                  <w:szCs w:val="14"/>
                  <w:u w:val="single" w:color="auto"/>
                  <w:color w:val="0000EE"/>
                </w:rPr>
                <w:t>OOKING</w:t>
              </w:r>
              <w:r>
                <w:rPr>
                  <w:rFonts w:ascii="Arial" w:cs="Arial" w:eastAsia="Arial" w:hAnsi="Arial"/>
                  <w:sz w:val="18"/>
                  <w:szCs w:val="18"/>
                  <w:u w:val="single" w:color="auto"/>
                  <w:color w:val="0000EE"/>
                </w:rPr>
                <w:t xml:space="preserve"> S</w:t>
              </w:r>
              <w:r>
                <w:rPr>
                  <w:rFonts w:ascii="Arial" w:cs="Arial" w:eastAsia="Arial" w:hAnsi="Arial"/>
                  <w:sz w:val="14"/>
                  <w:szCs w:val="14"/>
                  <w:u w:val="single" w:color="auto"/>
                  <w:color w:val="0000EE"/>
                </w:rPr>
                <w:t>TATEMENTS</w:t>
              </w:r>
            </w:hyperlink>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S-iv</w:t>
            </w:r>
          </w:p>
        </w:tc>
        <w:tc>
          <w:tcPr>
            <w:tcW w:w="5160" w:type="dxa"/>
            <w:vAlign w:val="bottom"/>
          </w:tcPr>
          <w:p>
            <w:pPr>
              <w:ind w:left="20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F</w:t>
              </w:r>
              <w:r>
                <w:rPr>
                  <w:rFonts w:ascii="Arial" w:cs="Arial" w:eastAsia="Arial" w:hAnsi="Arial"/>
                  <w:sz w:val="14"/>
                  <w:szCs w:val="14"/>
                  <w:u w:val="single" w:color="auto"/>
                  <w:color w:val="0000EE"/>
                </w:rPr>
                <w:t>ISERV</w:t>
              </w:r>
              <w:r>
                <w:rPr>
                  <w:rFonts w:ascii="Arial" w:cs="Arial" w:eastAsia="Arial" w:hAnsi="Arial"/>
                  <w:sz w:val="18"/>
                  <w:szCs w:val="18"/>
                  <w:u w:val="single" w:color="auto"/>
                  <w:color w:val="0000EE"/>
                </w:rPr>
                <w:t>, I</w:t>
              </w:r>
              <w:r>
                <w:rPr>
                  <w:rFonts w:ascii="Arial" w:cs="Arial" w:eastAsia="Arial" w:hAnsi="Arial"/>
                  <w:sz w:val="14"/>
                  <w:szCs w:val="14"/>
                  <w:u w:val="single" w:color="auto"/>
                  <w:color w:val="0000EE"/>
                </w:rPr>
                <w:t>NC</w:t>
              </w:r>
              <w:r>
                <w:rPr>
                  <w:rFonts w:ascii="Arial" w:cs="Arial" w:eastAsia="Arial" w:hAnsi="Arial"/>
                  <w:sz w:val="18"/>
                  <w:szCs w:val="18"/>
                  <w:u w:val="single" w:color="auto"/>
                  <w:color w:val="0000EE"/>
                </w:rPr>
                <w:t>.</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860" w:type="dxa"/>
            <w:vAlign w:val="bottom"/>
            <w:gridSpan w:val="4"/>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w:t>
              </w:r>
              <w:r>
                <w:rPr>
                  <w:rFonts w:ascii="Arial" w:cs="Arial" w:eastAsia="Arial" w:hAnsi="Arial"/>
                  <w:sz w:val="14"/>
                  <w:szCs w:val="14"/>
                  <w:u w:val="single" w:color="auto"/>
                  <w:color w:val="0000EE"/>
                </w:rPr>
                <w:t>UMMARY</w:t>
              </w:r>
            </w:hyperlink>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S-1</w:t>
            </w:r>
          </w:p>
        </w:tc>
        <w:tc>
          <w:tcPr>
            <w:tcW w:w="5160" w:type="dxa"/>
            <w:vAlign w:val="bottom"/>
          </w:tcPr>
          <w:p>
            <w:pPr>
              <w:ind w:left="20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R</w:t>
              </w:r>
              <w:r>
                <w:rPr>
                  <w:rFonts w:ascii="Arial" w:cs="Arial" w:eastAsia="Arial" w:hAnsi="Arial"/>
                  <w:sz w:val="14"/>
                  <w:szCs w:val="14"/>
                  <w:u w:val="single" w:color="auto"/>
                  <w:color w:val="0000EE"/>
                </w:rPr>
                <w:t>ATIOS OF</w:t>
              </w:r>
              <w:r>
                <w:rPr>
                  <w:rFonts w:ascii="Arial" w:cs="Arial" w:eastAsia="Arial" w:hAnsi="Arial"/>
                  <w:sz w:val="18"/>
                  <w:szCs w:val="18"/>
                  <w:u w:val="single" w:color="auto"/>
                  <w:color w:val="0000EE"/>
                </w:rPr>
                <w:t xml:space="preserve"> E</w:t>
              </w:r>
              <w:r>
                <w:rPr>
                  <w:rFonts w:ascii="Arial" w:cs="Arial" w:eastAsia="Arial" w:hAnsi="Arial"/>
                  <w:sz w:val="14"/>
                  <w:szCs w:val="14"/>
                  <w:u w:val="single" w:color="auto"/>
                  <w:color w:val="0000EE"/>
                </w:rPr>
                <w:t>ARNINGS TO</w:t>
              </w:r>
              <w:r>
                <w:rPr>
                  <w:rFonts w:ascii="Arial" w:cs="Arial" w:eastAsia="Arial" w:hAnsi="Arial"/>
                  <w:sz w:val="18"/>
                  <w:szCs w:val="18"/>
                  <w:u w:val="single" w:color="auto"/>
                  <w:color w:val="0000EE"/>
                </w:rPr>
                <w:t xml:space="preserve"> F</w:t>
              </w:r>
              <w:r>
                <w:rPr>
                  <w:rFonts w:ascii="Arial" w:cs="Arial" w:eastAsia="Arial" w:hAnsi="Arial"/>
                  <w:sz w:val="14"/>
                  <w:szCs w:val="14"/>
                  <w:u w:val="single" w:color="auto"/>
                  <w:color w:val="0000EE"/>
                </w:rPr>
                <w:t>IXED</w:t>
              </w:r>
              <w:r>
                <w:rPr>
                  <w:rFonts w:ascii="Arial" w:cs="Arial" w:eastAsia="Arial" w:hAnsi="Arial"/>
                  <w:sz w:val="18"/>
                  <w:szCs w:val="18"/>
                  <w:u w:val="single" w:color="auto"/>
                  <w:color w:val="0000EE"/>
                </w:rPr>
                <w:t xml:space="preserve"> C</w:t>
              </w:r>
              <w:r>
                <w:rPr>
                  <w:rFonts w:ascii="Arial" w:cs="Arial" w:eastAsia="Arial" w:hAnsi="Arial"/>
                  <w:sz w:val="14"/>
                  <w:szCs w:val="14"/>
                  <w:u w:val="single" w:color="auto"/>
                  <w:color w:val="0000EE"/>
                </w:rPr>
                <w:t>HARGES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860" w:type="dxa"/>
            <w:vAlign w:val="bottom"/>
            <w:gridSpan w:val="4"/>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R</w:t>
              </w:r>
              <w:r>
                <w:rPr>
                  <w:rFonts w:ascii="Arial" w:cs="Arial" w:eastAsia="Arial" w:hAnsi="Arial"/>
                  <w:sz w:val="14"/>
                  <w:szCs w:val="14"/>
                  <w:u w:val="single" w:color="auto"/>
                  <w:color w:val="0000EE"/>
                </w:rPr>
                <w:t>ISK</w:t>
              </w:r>
              <w:r>
                <w:rPr>
                  <w:rFonts w:ascii="Arial" w:cs="Arial" w:eastAsia="Arial" w:hAnsi="Arial"/>
                  <w:sz w:val="18"/>
                  <w:szCs w:val="18"/>
                  <w:u w:val="single" w:color="auto"/>
                  <w:color w:val="0000EE"/>
                </w:rPr>
                <w:t xml:space="preserve"> F</w:t>
              </w:r>
              <w:r>
                <w:rPr>
                  <w:rFonts w:ascii="Arial" w:cs="Arial" w:eastAsia="Arial" w:hAnsi="Arial"/>
                  <w:sz w:val="14"/>
                  <w:szCs w:val="14"/>
                  <w:u w:val="single" w:color="auto"/>
                  <w:color w:val="0000EE"/>
                </w:rPr>
                <w:t>ACTORS</w:t>
              </w:r>
            </w:hyperlink>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S-8</w:t>
            </w:r>
          </w:p>
        </w:tc>
        <w:tc>
          <w:tcPr>
            <w:tcW w:w="5160" w:type="dxa"/>
            <w:vAlign w:val="bottom"/>
          </w:tcPr>
          <w:p>
            <w:pPr>
              <w:ind w:left="20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U</w:t>
              </w:r>
              <w:r>
                <w:rPr>
                  <w:rFonts w:ascii="Arial" w:cs="Arial" w:eastAsia="Arial" w:hAnsi="Arial"/>
                  <w:sz w:val="14"/>
                  <w:szCs w:val="14"/>
                  <w:u w:val="single" w:color="auto"/>
                  <w:color w:val="0000EE"/>
                </w:rPr>
                <w:t>SE OF</w:t>
              </w:r>
              <w:r>
                <w:rPr>
                  <w:rFonts w:ascii="Arial" w:cs="Arial" w:eastAsia="Arial" w:hAnsi="Arial"/>
                  <w:sz w:val="18"/>
                  <w:szCs w:val="18"/>
                  <w:u w:val="single" w:color="auto"/>
                  <w:color w:val="0000EE"/>
                </w:rPr>
                <w:t xml:space="preserve"> P</w:t>
              </w:r>
              <w:r>
                <w:rPr>
                  <w:rFonts w:ascii="Arial" w:cs="Arial" w:eastAsia="Arial" w:hAnsi="Arial"/>
                  <w:sz w:val="14"/>
                  <w:szCs w:val="14"/>
                  <w:u w:val="single" w:color="auto"/>
                  <w:color w:val="0000EE"/>
                </w:rPr>
                <w:t>ROCEEDS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860" w:type="dxa"/>
            <w:vAlign w:val="bottom"/>
            <w:gridSpan w:val="4"/>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U</w:t>
              </w:r>
              <w:r>
                <w:rPr>
                  <w:rFonts w:ascii="Arial" w:cs="Arial" w:eastAsia="Arial" w:hAnsi="Arial"/>
                  <w:sz w:val="14"/>
                  <w:szCs w:val="14"/>
                  <w:u w:val="single" w:color="auto"/>
                  <w:color w:val="0000EE"/>
                </w:rPr>
                <w:t>SE OF</w:t>
              </w:r>
              <w:r>
                <w:rPr>
                  <w:rFonts w:ascii="Arial" w:cs="Arial" w:eastAsia="Arial" w:hAnsi="Arial"/>
                  <w:sz w:val="18"/>
                  <w:szCs w:val="18"/>
                  <w:u w:val="single" w:color="auto"/>
                  <w:color w:val="0000EE"/>
                </w:rPr>
                <w:t xml:space="preserve"> P</w:t>
              </w:r>
              <w:r>
                <w:rPr>
                  <w:rFonts w:ascii="Arial" w:cs="Arial" w:eastAsia="Arial" w:hAnsi="Arial"/>
                  <w:sz w:val="14"/>
                  <w:szCs w:val="14"/>
                  <w:u w:val="single" w:color="auto"/>
                  <w:color w:val="0000EE"/>
                </w:rPr>
                <w:t>ROCEEDS</w:t>
              </w:r>
            </w:hyperlink>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S-9</w:t>
            </w:r>
          </w:p>
        </w:tc>
        <w:tc>
          <w:tcPr>
            <w:tcW w:w="5160" w:type="dxa"/>
            <w:vAlign w:val="bottom"/>
          </w:tcPr>
          <w:p>
            <w:pPr>
              <w:ind w:left="20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D</w:t>
              </w:r>
              <w:r>
                <w:rPr>
                  <w:rFonts w:ascii="Arial" w:cs="Arial" w:eastAsia="Arial" w:hAnsi="Arial"/>
                  <w:sz w:val="14"/>
                  <w:szCs w:val="14"/>
                  <w:u w:val="single" w:color="auto"/>
                  <w:color w:val="0000EE"/>
                </w:rPr>
                <w:t>ESCRIPTION OF</w:t>
              </w:r>
              <w:r>
                <w:rPr>
                  <w:rFonts w:ascii="Arial" w:cs="Arial" w:eastAsia="Arial" w:hAnsi="Arial"/>
                  <w:sz w:val="18"/>
                  <w:szCs w:val="18"/>
                  <w:u w:val="single" w:color="auto"/>
                  <w:color w:val="0000EE"/>
                </w:rPr>
                <w:t xml:space="preserve"> D</w:t>
              </w:r>
              <w:r>
                <w:rPr>
                  <w:rFonts w:ascii="Arial" w:cs="Arial" w:eastAsia="Arial" w:hAnsi="Arial"/>
                  <w:sz w:val="14"/>
                  <w:szCs w:val="14"/>
                  <w:u w:val="single" w:color="auto"/>
                  <w:color w:val="0000EE"/>
                </w:rPr>
                <w:t>EBT</w:t>
              </w:r>
              <w:r>
                <w:rPr>
                  <w:rFonts w:ascii="Arial" w:cs="Arial" w:eastAsia="Arial" w:hAnsi="Arial"/>
                  <w:sz w:val="18"/>
                  <w:szCs w:val="18"/>
                  <w:u w:val="single" w:color="auto"/>
                  <w:color w:val="0000EE"/>
                </w:rPr>
                <w:t xml:space="preserve"> S</w:t>
              </w:r>
              <w:r>
                <w:rPr>
                  <w:rFonts w:ascii="Arial" w:cs="Arial" w:eastAsia="Arial" w:hAnsi="Arial"/>
                  <w:sz w:val="14"/>
                  <w:szCs w:val="14"/>
                  <w:u w:val="single" w:color="auto"/>
                  <w:color w:val="0000EE"/>
                </w:rPr>
                <w:t>ECURITIES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860" w:type="dxa"/>
            <w:vAlign w:val="bottom"/>
            <w:gridSpan w:val="4"/>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S</w:t>
              </w:r>
              <w:r>
                <w:rPr>
                  <w:rFonts w:ascii="Arial" w:cs="Arial" w:eastAsia="Arial" w:hAnsi="Arial"/>
                  <w:sz w:val="14"/>
                  <w:szCs w:val="14"/>
                  <w:u w:val="single" w:color="auto"/>
                  <w:color w:val="0000EE"/>
                </w:rPr>
                <w:t>ELLING</w:t>
              </w:r>
              <w:r>
                <w:rPr>
                  <w:rFonts w:ascii="Arial" w:cs="Arial" w:eastAsia="Arial" w:hAnsi="Arial"/>
                  <w:sz w:val="18"/>
                  <w:szCs w:val="18"/>
                  <w:u w:val="single" w:color="auto"/>
                  <w:color w:val="0000EE"/>
                </w:rPr>
                <w:t xml:space="preserve"> S</w:t>
              </w:r>
              <w:r>
                <w:rPr>
                  <w:rFonts w:ascii="Arial" w:cs="Arial" w:eastAsia="Arial" w:hAnsi="Arial"/>
                  <w:sz w:val="14"/>
                  <w:szCs w:val="14"/>
                  <w:u w:val="single" w:color="auto"/>
                  <w:color w:val="0000EE"/>
                </w:rPr>
                <w:t>HAREHOLDER</w:t>
              </w:r>
            </w:hyperlink>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S-9</w:t>
            </w:r>
          </w:p>
        </w:tc>
        <w:tc>
          <w:tcPr>
            <w:tcW w:w="5160" w:type="dxa"/>
            <w:vAlign w:val="bottom"/>
          </w:tcPr>
          <w:p>
            <w:pPr>
              <w:ind w:left="20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D</w:t>
              </w:r>
              <w:r>
                <w:rPr>
                  <w:rFonts w:ascii="Arial" w:cs="Arial" w:eastAsia="Arial" w:hAnsi="Arial"/>
                  <w:sz w:val="14"/>
                  <w:szCs w:val="14"/>
                  <w:u w:val="single" w:color="auto"/>
                  <w:color w:val="0000EE"/>
                </w:rPr>
                <w:t>ESCRIPTION OF</w:t>
              </w:r>
              <w:r>
                <w:rPr>
                  <w:rFonts w:ascii="Arial" w:cs="Arial" w:eastAsia="Arial" w:hAnsi="Arial"/>
                  <w:sz w:val="18"/>
                  <w:szCs w:val="18"/>
                  <w:u w:val="single" w:color="auto"/>
                  <w:color w:val="0000EE"/>
                </w:rPr>
                <w:t xml:space="preserve"> C</w:t>
              </w:r>
              <w:r>
                <w:rPr>
                  <w:rFonts w:ascii="Arial" w:cs="Arial" w:eastAsia="Arial" w:hAnsi="Arial"/>
                  <w:sz w:val="14"/>
                  <w:szCs w:val="14"/>
                  <w:u w:val="single" w:color="auto"/>
                  <w:color w:val="0000EE"/>
                </w:rPr>
                <w:t>APITAL</w:t>
              </w:r>
              <w:r>
                <w:rPr>
                  <w:rFonts w:ascii="Arial" w:cs="Arial" w:eastAsia="Arial" w:hAnsi="Arial"/>
                  <w:sz w:val="18"/>
                  <w:szCs w:val="18"/>
                  <w:u w:val="single" w:color="auto"/>
                  <w:color w:val="0000EE"/>
                </w:rPr>
                <w:t xml:space="preserve"> S</w:t>
              </w:r>
              <w:r>
                <w:rPr>
                  <w:rFonts w:ascii="Arial" w:cs="Arial" w:eastAsia="Arial" w:hAnsi="Arial"/>
                  <w:sz w:val="14"/>
                  <w:szCs w:val="14"/>
                  <w:u w:val="single" w:color="auto"/>
                  <w:color w:val="0000EE"/>
                </w:rPr>
                <w:t>TOCK</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190"/>
        </w:trPr>
        <w:tc>
          <w:tcPr>
            <w:tcW w:w="4860" w:type="dxa"/>
            <w:vAlign w:val="bottom"/>
            <w:gridSpan w:val="4"/>
          </w:tcPr>
          <w:p>
            <w:pPr>
              <w:spacing w:after="0" w:line="190" w:lineRule="exact"/>
              <w:rPr>
                <w:rFonts w:ascii="Arial" w:cs="Arial" w:eastAsia="Arial" w:hAnsi="Arial"/>
                <w:sz w:val="18"/>
                <w:szCs w:val="18"/>
                <w:color w:val="0000EE"/>
              </w:rPr>
            </w:pPr>
            <w:hyperlink w:anchor="page16">
              <w:r>
                <w:rPr>
                  <w:rFonts w:ascii="Arial" w:cs="Arial" w:eastAsia="Arial" w:hAnsi="Arial"/>
                  <w:sz w:val="18"/>
                  <w:szCs w:val="18"/>
                  <w:color w:val="0000EE"/>
                </w:rPr>
                <w:t>M</w:t>
              </w:r>
              <w:r>
                <w:rPr>
                  <w:rFonts w:ascii="Arial" w:cs="Arial" w:eastAsia="Arial" w:hAnsi="Arial"/>
                  <w:sz w:val="14"/>
                  <w:szCs w:val="14"/>
                  <w:color w:val="0000EE"/>
                </w:rPr>
                <w:t>ATERIAL</w:t>
              </w:r>
              <w:r>
                <w:rPr>
                  <w:rFonts w:ascii="Arial" w:cs="Arial" w:eastAsia="Arial" w:hAnsi="Arial"/>
                  <w:sz w:val="18"/>
                  <w:szCs w:val="18"/>
                  <w:color w:val="0000EE"/>
                </w:rPr>
                <w:t xml:space="preserve"> U.S. F</w:t>
              </w:r>
              <w:r>
                <w:rPr>
                  <w:rFonts w:ascii="Arial" w:cs="Arial" w:eastAsia="Arial" w:hAnsi="Arial"/>
                  <w:sz w:val="14"/>
                  <w:szCs w:val="14"/>
                  <w:color w:val="0000EE"/>
                </w:rPr>
                <w:t>EDERAL</w:t>
              </w:r>
              <w:r>
                <w:rPr>
                  <w:rFonts w:ascii="Arial" w:cs="Arial" w:eastAsia="Arial" w:hAnsi="Arial"/>
                  <w:sz w:val="18"/>
                  <w:szCs w:val="18"/>
                  <w:color w:val="0000EE"/>
                </w:rPr>
                <w:t xml:space="preserve"> I</w:t>
              </w:r>
              <w:r>
                <w:rPr>
                  <w:rFonts w:ascii="Arial" w:cs="Arial" w:eastAsia="Arial" w:hAnsi="Arial"/>
                  <w:sz w:val="14"/>
                  <w:szCs w:val="14"/>
                  <w:color w:val="0000EE"/>
                </w:rPr>
                <w:t>NCOME</w:t>
              </w:r>
              <w:r>
                <w:rPr>
                  <w:rFonts w:ascii="Arial" w:cs="Arial" w:eastAsia="Arial" w:hAnsi="Arial"/>
                  <w:sz w:val="18"/>
                  <w:szCs w:val="18"/>
                  <w:color w:val="0000EE"/>
                </w:rPr>
                <w:t xml:space="preserve"> T</w:t>
              </w:r>
              <w:r>
                <w:rPr>
                  <w:rFonts w:ascii="Arial" w:cs="Arial" w:eastAsia="Arial" w:hAnsi="Arial"/>
                  <w:sz w:val="14"/>
                  <w:szCs w:val="14"/>
                  <w:color w:val="0000EE"/>
                </w:rPr>
                <w:t>AX</w:t>
              </w:r>
              <w:r>
                <w:rPr>
                  <w:rFonts w:ascii="Arial" w:cs="Arial" w:eastAsia="Arial" w:hAnsi="Arial"/>
                  <w:sz w:val="18"/>
                  <w:szCs w:val="18"/>
                  <w:color w:val="0000EE"/>
                </w:rPr>
                <w:t xml:space="preserve"> C</w:t>
              </w:r>
              <w:r>
                <w:rPr>
                  <w:rFonts w:ascii="Arial" w:cs="Arial" w:eastAsia="Arial" w:hAnsi="Arial"/>
                  <w:sz w:val="14"/>
                  <w:szCs w:val="14"/>
                  <w:color w:val="0000EE"/>
                </w:rPr>
                <w:t>ONSIDERATIONS TO</w:t>
              </w:r>
            </w:hyperlink>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160" w:type="dxa"/>
            <w:vAlign w:val="bottom"/>
          </w:tcPr>
          <w:p>
            <w:pPr>
              <w:ind w:left="200"/>
              <w:spacing w:after="0" w:line="190" w:lineRule="exact"/>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D</w:t>
              </w:r>
              <w:r>
                <w:rPr>
                  <w:rFonts w:ascii="Arial" w:cs="Arial" w:eastAsia="Arial" w:hAnsi="Arial"/>
                  <w:sz w:val="14"/>
                  <w:szCs w:val="14"/>
                  <w:u w:val="single" w:color="auto"/>
                  <w:color w:val="0000EE"/>
                </w:rPr>
                <w:t>ESCRIPTION OF</w:t>
              </w:r>
              <w:r>
                <w:rPr>
                  <w:rFonts w:ascii="Arial" w:cs="Arial" w:eastAsia="Arial" w:hAnsi="Arial"/>
                  <w:sz w:val="18"/>
                  <w:szCs w:val="18"/>
                  <w:u w:val="single" w:color="auto"/>
                  <w:color w:val="0000EE"/>
                </w:rPr>
                <w:t xml:space="preserve"> D</w:t>
              </w:r>
              <w:r>
                <w:rPr>
                  <w:rFonts w:ascii="Arial" w:cs="Arial" w:eastAsia="Arial" w:hAnsi="Arial"/>
                  <w:sz w:val="14"/>
                  <w:szCs w:val="14"/>
                  <w:u w:val="single" w:color="auto"/>
                  <w:color w:val="0000EE"/>
                </w:rPr>
                <w:t>EPOSITARY</w:t>
              </w:r>
              <w:r>
                <w:rPr>
                  <w:rFonts w:ascii="Arial" w:cs="Arial" w:eastAsia="Arial" w:hAnsi="Arial"/>
                  <w:sz w:val="18"/>
                  <w:szCs w:val="18"/>
                  <w:u w:val="single" w:color="auto"/>
                  <w:color w:val="0000EE"/>
                </w:rPr>
                <w:t xml:space="preserve"> S</w:t>
              </w:r>
              <w:r>
                <w:rPr>
                  <w:rFonts w:ascii="Arial" w:cs="Arial" w:eastAsia="Arial" w:hAnsi="Arial"/>
                  <w:sz w:val="14"/>
                  <w:szCs w:val="14"/>
                  <w:u w:val="single" w:color="auto"/>
                  <w:color w:val="0000EE"/>
                </w:rPr>
                <w:t>HARES</w:t>
              </w:r>
            </w:hyperlink>
          </w:p>
        </w:tc>
        <w:tc>
          <w:tcPr>
            <w:tcW w:w="38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12</w:t>
            </w:r>
          </w:p>
        </w:tc>
      </w:tr>
      <w:tr>
        <w:trPr>
          <w:trHeight w:val="196"/>
        </w:trPr>
        <w:tc>
          <w:tcPr>
            <w:tcW w:w="180" w:type="dxa"/>
            <w:vAlign w:val="bottom"/>
            <w:tcBorders>
              <w:top w:val="single" w:sz="8" w:color="0000EE"/>
            </w:tcBorders>
          </w:tcPr>
          <w:p>
            <w:pPr>
              <w:spacing w:after="0"/>
              <w:rPr>
                <w:sz w:val="17"/>
                <w:szCs w:val="17"/>
                <w:color w:val="auto"/>
              </w:rPr>
            </w:pPr>
          </w:p>
        </w:tc>
        <w:tc>
          <w:tcPr>
            <w:tcW w:w="43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N</w:t>
              </w:r>
              <w:r>
                <w:rPr>
                  <w:rFonts w:ascii="Arial" w:cs="Arial" w:eastAsia="Arial" w:hAnsi="Arial"/>
                  <w:sz w:val="14"/>
                  <w:szCs w:val="14"/>
                  <w:color w:val="0000EE"/>
                </w:rPr>
                <w:t>ON</w:t>
              </w:r>
              <w:r>
                <w:rPr>
                  <w:rFonts w:ascii="Arial" w:cs="Arial" w:eastAsia="Arial" w:hAnsi="Arial"/>
                  <w:sz w:val="18"/>
                  <w:szCs w:val="18"/>
                  <w:color w:val="0000EE"/>
                </w:rPr>
                <w:t>-U.S. H</w:t>
              </w:r>
              <w:r>
                <w:rPr>
                  <w:rFonts w:ascii="Arial" w:cs="Arial" w:eastAsia="Arial" w:hAnsi="Arial"/>
                  <w:sz w:val="14"/>
                  <w:szCs w:val="14"/>
                  <w:color w:val="0000EE"/>
                </w:rPr>
                <w:t>OLDERS OF</w:t>
              </w:r>
              <w:r>
                <w:rPr>
                  <w:rFonts w:ascii="Arial" w:cs="Arial" w:eastAsia="Arial" w:hAnsi="Arial"/>
                  <w:sz w:val="18"/>
                  <w:szCs w:val="18"/>
                  <w:color w:val="0000EE"/>
                </w:rPr>
                <w:t xml:space="preserve"> C</w:t>
              </w:r>
              <w:r>
                <w:rPr>
                  <w:rFonts w:ascii="Arial" w:cs="Arial" w:eastAsia="Arial" w:hAnsi="Arial"/>
                  <w:sz w:val="14"/>
                  <w:szCs w:val="14"/>
                  <w:color w:val="0000EE"/>
                </w:rPr>
                <w:t>OMMON</w:t>
              </w:r>
              <w:r>
                <w:rPr>
                  <w:rFonts w:ascii="Arial" w:cs="Arial" w:eastAsia="Arial" w:hAnsi="Arial"/>
                  <w:sz w:val="18"/>
                  <w:szCs w:val="18"/>
                  <w:color w:val="0000EE"/>
                </w:rPr>
                <w:t xml:space="preserve"> S</w:t>
              </w:r>
              <w:r>
                <w:rPr>
                  <w:rFonts w:ascii="Arial" w:cs="Arial" w:eastAsia="Arial" w:hAnsi="Arial"/>
                  <w:sz w:val="14"/>
                  <w:szCs w:val="14"/>
                  <w:color w:val="0000EE"/>
                </w:rPr>
                <w:t>TOCK</w:t>
              </w:r>
            </w:hyperlink>
          </w:p>
        </w:tc>
        <w:tc>
          <w:tcPr>
            <w:tcW w:w="380" w:type="dxa"/>
            <w:vAlign w:val="bottom"/>
          </w:tcPr>
          <w:p>
            <w:pPr>
              <w:spacing w:after="0"/>
              <w:rPr>
                <w:sz w:val="17"/>
                <w:szCs w:val="17"/>
                <w:color w:val="auto"/>
              </w:rPr>
            </w:pPr>
          </w:p>
        </w:tc>
        <w:tc>
          <w:tcPr>
            <w:tcW w:w="5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w w:val="89"/>
              </w:rPr>
              <w:t>S-10</w:t>
            </w:r>
          </w:p>
        </w:tc>
        <w:tc>
          <w:tcPr>
            <w:tcW w:w="5160" w:type="dxa"/>
            <w:vAlign w:val="bottom"/>
          </w:tcPr>
          <w:p>
            <w:pPr>
              <w:ind w:left="200"/>
              <w:spacing w:after="0" w:line="196" w:lineRule="exact"/>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D</w:t>
              </w:r>
              <w:r>
                <w:rPr>
                  <w:rFonts w:ascii="Arial" w:cs="Arial" w:eastAsia="Arial" w:hAnsi="Arial"/>
                  <w:sz w:val="14"/>
                  <w:szCs w:val="14"/>
                  <w:u w:val="single" w:color="auto"/>
                  <w:color w:val="0000EE"/>
                </w:rPr>
                <w:t>ESCRIPTION OF</w:t>
              </w:r>
              <w:r>
                <w:rPr>
                  <w:rFonts w:ascii="Arial" w:cs="Arial" w:eastAsia="Arial" w:hAnsi="Arial"/>
                  <w:sz w:val="18"/>
                  <w:szCs w:val="18"/>
                  <w:u w:val="single" w:color="auto"/>
                  <w:color w:val="0000EE"/>
                </w:rPr>
                <w:t xml:space="preserve"> W</w:t>
              </w:r>
              <w:r>
                <w:rPr>
                  <w:rFonts w:ascii="Arial" w:cs="Arial" w:eastAsia="Arial" w:hAnsi="Arial"/>
                  <w:sz w:val="14"/>
                  <w:szCs w:val="14"/>
                  <w:u w:val="single" w:color="auto"/>
                  <w:color w:val="0000EE"/>
                </w:rPr>
                <w:t>ARRANTS</w:t>
              </w:r>
            </w:hyperlink>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18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4860" w:type="dxa"/>
            <w:vAlign w:val="bottom"/>
            <w:gridSpan w:val="4"/>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U</w:t>
              </w:r>
              <w:r>
                <w:rPr>
                  <w:rFonts w:ascii="Arial" w:cs="Arial" w:eastAsia="Arial" w:hAnsi="Arial"/>
                  <w:sz w:val="14"/>
                  <w:szCs w:val="14"/>
                  <w:u w:val="single" w:color="auto"/>
                  <w:color w:val="0000EE"/>
                </w:rPr>
                <w:t>NDERWRITING</w:t>
              </w:r>
              <w:r>
                <w:rPr>
                  <w:rFonts w:ascii="Arial" w:cs="Arial" w:eastAsia="Arial" w:hAnsi="Arial"/>
                  <w:sz w:val="18"/>
                  <w:szCs w:val="18"/>
                  <w:u w:val="single" w:color="auto"/>
                  <w:color w:val="0000EE"/>
                </w:rPr>
                <w:t xml:space="preserve"> (C</w:t>
              </w:r>
              <w:r>
                <w:rPr>
                  <w:rFonts w:ascii="Arial" w:cs="Arial" w:eastAsia="Arial" w:hAnsi="Arial"/>
                  <w:sz w:val="14"/>
                  <w:szCs w:val="14"/>
                  <w:u w:val="single" w:color="auto"/>
                  <w:color w:val="0000EE"/>
                </w:rPr>
                <w:t>ONFLICTS OF</w:t>
              </w:r>
              <w:r>
                <w:rPr>
                  <w:rFonts w:ascii="Arial" w:cs="Arial" w:eastAsia="Arial" w:hAnsi="Arial"/>
                  <w:sz w:val="18"/>
                  <w:szCs w:val="18"/>
                  <w:u w:val="single" w:color="auto"/>
                  <w:color w:val="0000EE"/>
                </w:rPr>
                <w:t xml:space="preserve"> I</w:t>
              </w:r>
              <w:r>
                <w:rPr>
                  <w:rFonts w:ascii="Arial" w:cs="Arial" w:eastAsia="Arial" w:hAnsi="Arial"/>
                  <w:sz w:val="14"/>
                  <w:szCs w:val="14"/>
                  <w:u w:val="single" w:color="auto"/>
                  <w:color w:val="0000EE"/>
                </w:rPr>
                <w:t>NTEREST</w:t>
              </w:r>
              <w:r>
                <w:rPr>
                  <w:rFonts w:ascii="Arial" w:cs="Arial" w:eastAsia="Arial" w:hAnsi="Arial"/>
                  <w:sz w:val="18"/>
                  <w:szCs w:val="18"/>
                  <w:u w:val="single" w:color="auto"/>
                  <w:color w:val="0000EE"/>
                </w:rPr>
                <w:t xml:space="preserve"> )</w:t>
              </w:r>
            </w:hyperlink>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S-13</w:t>
            </w:r>
          </w:p>
        </w:tc>
        <w:tc>
          <w:tcPr>
            <w:tcW w:w="5160" w:type="dxa"/>
            <w:vAlign w:val="bottom"/>
          </w:tcPr>
          <w:p>
            <w:pPr>
              <w:ind w:left="20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D</w:t>
              </w:r>
              <w:r>
                <w:rPr>
                  <w:rFonts w:ascii="Arial" w:cs="Arial" w:eastAsia="Arial" w:hAnsi="Arial"/>
                  <w:sz w:val="14"/>
                  <w:szCs w:val="14"/>
                  <w:u w:val="single" w:color="auto"/>
                  <w:color w:val="0000EE"/>
                </w:rPr>
                <w:t>ESCRIPTION OF</w:t>
              </w:r>
              <w:r>
                <w:rPr>
                  <w:rFonts w:ascii="Arial" w:cs="Arial" w:eastAsia="Arial" w:hAnsi="Arial"/>
                  <w:sz w:val="18"/>
                  <w:szCs w:val="18"/>
                  <w:u w:val="single" w:color="auto"/>
                  <w:color w:val="0000EE"/>
                </w:rPr>
                <w:t xml:space="preserve"> P</w:t>
              </w:r>
              <w:r>
                <w:rPr>
                  <w:rFonts w:ascii="Arial" w:cs="Arial" w:eastAsia="Arial" w:hAnsi="Arial"/>
                  <w:sz w:val="14"/>
                  <w:szCs w:val="14"/>
                  <w:u w:val="single" w:color="auto"/>
                  <w:color w:val="0000EE"/>
                </w:rPr>
                <w:t>URCHASE</w:t>
              </w:r>
              <w:r>
                <w:rPr>
                  <w:rFonts w:ascii="Arial" w:cs="Arial" w:eastAsia="Arial" w:hAnsi="Arial"/>
                  <w:sz w:val="18"/>
                  <w:szCs w:val="18"/>
                  <w:u w:val="single" w:color="auto"/>
                  <w:color w:val="0000EE"/>
                </w:rPr>
                <w:t xml:space="preserve"> C</w:t>
              </w:r>
              <w:r>
                <w:rPr>
                  <w:rFonts w:ascii="Arial" w:cs="Arial" w:eastAsia="Arial" w:hAnsi="Arial"/>
                  <w:sz w:val="14"/>
                  <w:szCs w:val="14"/>
                  <w:u w:val="single" w:color="auto"/>
                  <w:color w:val="0000EE"/>
                </w:rPr>
                <w:t>ONTRACTS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860" w:type="dxa"/>
            <w:vAlign w:val="bottom"/>
            <w:gridSpan w:val="4"/>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L</w:t>
              </w:r>
              <w:r>
                <w:rPr>
                  <w:rFonts w:ascii="Arial" w:cs="Arial" w:eastAsia="Arial" w:hAnsi="Arial"/>
                  <w:sz w:val="14"/>
                  <w:szCs w:val="14"/>
                  <w:u w:val="single" w:color="auto"/>
                  <w:color w:val="0000EE"/>
                </w:rPr>
                <w:t>EGAL</w:t>
              </w:r>
              <w:r>
                <w:rPr>
                  <w:rFonts w:ascii="Arial" w:cs="Arial" w:eastAsia="Arial" w:hAnsi="Arial"/>
                  <w:sz w:val="18"/>
                  <w:szCs w:val="18"/>
                  <w:u w:val="single" w:color="auto"/>
                  <w:color w:val="0000EE"/>
                </w:rPr>
                <w:t xml:space="preserve"> M</w:t>
              </w:r>
              <w:r>
                <w:rPr>
                  <w:rFonts w:ascii="Arial" w:cs="Arial" w:eastAsia="Arial" w:hAnsi="Arial"/>
                  <w:sz w:val="14"/>
                  <w:szCs w:val="14"/>
                  <w:u w:val="single" w:color="auto"/>
                  <w:color w:val="0000EE"/>
                </w:rPr>
                <w:t>ATTERS</w:t>
              </w:r>
            </w:hyperlink>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S-19</w:t>
            </w:r>
          </w:p>
        </w:tc>
        <w:tc>
          <w:tcPr>
            <w:tcW w:w="5160" w:type="dxa"/>
            <w:vAlign w:val="bottom"/>
          </w:tcPr>
          <w:p>
            <w:pPr>
              <w:ind w:left="20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D</w:t>
              </w:r>
              <w:r>
                <w:rPr>
                  <w:rFonts w:ascii="Arial" w:cs="Arial" w:eastAsia="Arial" w:hAnsi="Arial"/>
                  <w:sz w:val="14"/>
                  <w:szCs w:val="14"/>
                  <w:u w:val="single" w:color="auto"/>
                  <w:color w:val="0000EE"/>
                </w:rPr>
                <w:t>ESCRIPTION OF</w:t>
              </w:r>
              <w:r>
                <w:rPr>
                  <w:rFonts w:ascii="Arial" w:cs="Arial" w:eastAsia="Arial" w:hAnsi="Arial"/>
                  <w:sz w:val="18"/>
                  <w:szCs w:val="18"/>
                  <w:u w:val="single" w:color="auto"/>
                  <w:color w:val="0000EE"/>
                </w:rPr>
                <w:t xml:space="preserve"> U</w:t>
              </w:r>
              <w:r>
                <w:rPr>
                  <w:rFonts w:ascii="Arial" w:cs="Arial" w:eastAsia="Arial" w:hAnsi="Arial"/>
                  <w:sz w:val="14"/>
                  <w:szCs w:val="14"/>
                  <w:u w:val="single" w:color="auto"/>
                  <w:color w:val="0000EE"/>
                </w:rPr>
                <w:t>NITS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860" w:type="dxa"/>
            <w:vAlign w:val="bottom"/>
            <w:gridSpan w:val="4"/>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E</w:t>
              </w:r>
              <w:r>
                <w:rPr>
                  <w:rFonts w:ascii="Arial" w:cs="Arial" w:eastAsia="Arial" w:hAnsi="Arial"/>
                  <w:sz w:val="14"/>
                  <w:szCs w:val="14"/>
                  <w:u w:val="single" w:color="auto"/>
                  <w:color w:val="0000EE"/>
                </w:rPr>
                <w:t>XPERTS</w:t>
              </w:r>
            </w:hyperlink>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S-19</w:t>
            </w:r>
          </w:p>
        </w:tc>
        <w:tc>
          <w:tcPr>
            <w:tcW w:w="5160" w:type="dxa"/>
            <w:vAlign w:val="bottom"/>
          </w:tcPr>
          <w:p>
            <w:pPr>
              <w:ind w:left="20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S</w:t>
              </w:r>
              <w:r>
                <w:rPr>
                  <w:rFonts w:ascii="Arial" w:cs="Arial" w:eastAsia="Arial" w:hAnsi="Arial"/>
                  <w:sz w:val="14"/>
                  <w:szCs w:val="14"/>
                  <w:u w:val="single" w:color="auto"/>
                  <w:color w:val="0000EE"/>
                </w:rPr>
                <w:t>ELLING</w:t>
              </w:r>
              <w:r>
                <w:rPr>
                  <w:rFonts w:ascii="Arial" w:cs="Arial" w:eastAsia="Arial" w:hAnsi="Arial"/>
                  <w:sz w:val="18"/>
                  <w:szCs w:val="18"/>
                  <w:u w:val="single" w:color="auto"/>
                  <w:color w:val="0000EE"/>
                </w:rPr>
                <w:t xml:space="preserve"> S</w:t>
              </w:r>
              <w:r>
                <w:rPr>
                  <w:rFonts w:ascii="Arial" w:cs="Arial" w:eastAsia="Arial" w:hAnsi="Arial"/>
                  <w:sz w:val="14"/>
                  <w:szCs w:val="14"/>
                  <w:u w:val="single" w:color="auto"/>
                  <w:color w:val="0000EE"/>
                </w:rPr>
                <w:t>HAREHOLDERS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60" w:type="dxa"/>
            <w:vAlign w:val="bottom"/>
          </w:tcPr>
          <w:p>
            <w:pPr>
              <w:ind w:left="20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P</w:t>
              </w:r>
              <w:r>
                <w:rPr>
                  <w:rFonts w:ascii="Arial" w:cs="Arial" w:eastAsia="Arial" w:hAnsi="Arial"/>
                  <w:sz w:val="14"/>
                  <w:szCs w:val="14"/>
                  <w:u w:val="single" w:color="auto"/>
                  <w:color w:val="0000EE"/>
                </w:rPr>
                <w:t>LAN OF</w:t>
              </w:r>
              <w:r>
                <w:rPr>
                  <w:rFonts w:ascii="Arial" w:cs="Arial" w:eastAsia="Arial" w:hAnsi="Arial"/>
                  <w:sz w:val="18"/>
                  <w:szCs w:val="18"/>
                  <w:u w:val="single" w:color="auto"/>
                  <w:color w:val="0000EE"/>
                </w:rPr>
                <w:t xml:space="preserve"> D</w:t>
              </w:r>
              <w:r>
                <w:rPr>
                  <w:rFonts w:ascii="Arial" w:cs="Arial" w:eastAsia="Arial" w:hAnsi="Arial"/>
                  <w:sz w:val="14"/>
                  <w:szCs w:val="14"/>
                  <w:u w:val="single" w:color="auto"/>
                  <w:color w:val="0000EE"/>
                </w:rPr>
                <w:t>ISTRIBUTION</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60" w:type="dxa"/>
            <w:vAlign w:val="bottom"/>
          </w:tcPr>
          <w:p>
            <w:pPr>
              <w:ind w:left="20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W</w:t>
              </w:r>
              <w:r>
                <w:rPr>
                  <w:rFonts w:ascii="Arial" w:cs="Arial" w:eastAsia="Arial" w:hAnsi="Arial"/>
                  <w:sz w:val="14"/>
                  <w:szCs w:val="14"/>
                  <w:u w:val="single" w:color="auto"/>
                  <w:color w:val="0000EE"/>
                </w:rPr>
                <w:t>HERE</w:t>
              </w:r>
              <w:r>
                <w:rPr>
                  <w:rFonts w:ascii="Arial" w:cs="Arial" w:eastAsia="Arial" w:hAnsi="Arial"/>
                  <w:sz w:val="18"/>
                  <w:szCs w:val="18"/>
                  <w:u w:val="single" w:color="auto"/>
                  <w:color w:val="0000EE"/>
                </w:rPr>
                <w:t xml:space="preserve"> Y</w:t>
              </w:r>
              <w:r>
                <w:rPr>
                  <w:rFonts w:ascii="Arial" w:cs="Arial" w:eastAsia="Arial" w:hAnsi="Arial"/>
                  <w:sz w:val="14"/>
                  <w:szCs w:val="14"/>
                  <w:u w:val="single" w:color="auto"/>
                  <w:color w:val="0000EE"/>
                </w:rPr>
                <w:t>OU</w:t>
              </w:r>
              <w:r>
                <w:rPr>
                  <w:rFonts w:ascii="Arial" w:cs="Arial" w:eastAsia="Arial" w:hAnsi="Arial"/>
                  <w:sz w:val="18"/>
                  <w:szCs w:val="18"/>
                  <w:u w:val="single" w:color="auto"/>
                  <w:color w:val="0000EE"/>
                </w:rPr>
                <w:t xml:space="preserve"> C</w:t>
              </w:r>
              <w:r>
                <w:rPr>
                  <w:rFonts w:ascii="Arial" w:cs="Arial" w:eastAsia="Arial" w:hAnsi="Arial"/>
                  <w:sz w:val="14"/>
                  <w:szCs w:val="14"/>
                  <w:u w:val="single" w:color="auto"/>
                  <w:color w:val="0000EE"/>
                </w:rPr>
                <w:t>AN</w:t>
              </w:r>
              <w:r>
                <w:rPr>
                  <w:rFonts w:ascii="Arial" w:cs="Arial" w:eastAsia="Arial" w:hAnsi="Arial"/>
                  <w:sz w:val="18"/>
                  <w:szCs w:val="18"/>
                  <w:u w:val="single" w:color="auto"/>
                  <w:color w:val="0000EE"/>
                </w:rPr>
                <w:t xml:space="preserve"> F</w:t>
              </w:r>
              <w:r>
                <w:rPr>
                  <w:rFonts w:ascii="Arial" w:cs="Arial" w:eastAsia="Arial" w:hAnsi="Arial"/>
                  <w:sz w:val="14"/>
                  <w:szCs w:val="14"/>
                  <w:u w:val="single" w:color="auto"/>
                  <w:color w:val="0000EE"/>
                </w:rPr>
                <w:t>IND</w:t>
              </w:r>
              <w:r>
                <w:rPr>
                  <w:rFonts w:ascii="Arial" w:cs="Arial" w:eastAsia="Arial" w:hAnsi="Arial"/>
                  <w:sz w:val="18"/>
                  <w:szCs w:val="18"/>
                  <w:u w:val="single" w:color="auto"/>
                  <w:color w:val="0000EE"/>
                </w:rPr>
                <w:t xml:space="preserve"> M</w:t>
              </w:r>
              <w:r>
                <w:rPr>
                  <w:rFonts w:ascii="Arial" w:cs="Arial" w:eastAsia="Arial" w:hAnsi="Arial"/>
                  <w:sz w:val="14"/>
                  <w:szCs w:val="14"/>
                  <w:u w:val="single" w:color="auto"/>
                  <w:color w:val="0000EE"/>
                </w:rPr>
                <w:t>ORE</w:t>
              </w:r>
              <w:r>
                <w:rPr>
                  <w:rFonts w:ascii="Arial" w:cs="Arial" w:eastAsia="Arial" w:hAnsi="Arial"/>
                  <w:sz w:val="18"/>
                  <w:szCs w:val="18"/>
                  <w:u w:val="single" w:color="auto"/>
                  <w:color w:val="0000EE"/>
                </w:rPr>
                <w:t xml:space="preserve"> I</w:t>
              </w:r>
              <w:r>
                <w:rPr>
                  <w:rFonts w:ascii="Arial" w:cs="Arial" w:eastAsia="Arial" w:hAnsi="Arial"/>
                  <w:sz w:val="14"/>
                  <w:szCs w:val="14"/>
                  <w:u w:val="single" w:color="auto"/>
                  <w:color w:val="0000EE"/>
                </w:rPr>
                <w:t>NFORMATION</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60" w:type="dxa"/>
            <w:vAlign w:val="bottom"/>
          </w:tcPr>
          <w:p>
            <w:pPr>
              <w:ind w:left="20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L</w:t>
              </w:r>
              <w:r>
                <w:rPr>
                  <w:rFonts w:ascii="Arial" w:cs="Arial" w:eastAsia="Arial" w:hAnsi="Arial"/>
                  <w:sz w:val="14"/>
                  <w:szCs w:val="14"/>
                  <w:u w:val="single" w:color="auto"/>
                  <w:color w:val="0000EE"/>
                </w:rPr>
                <w:t>EGAL</w:t>
              </w:r>
              <w:r>
                <w:rPr>
                  <w:rFonts w:ascii="Arial" w:cs="Arial" w:eastAsia="Arial" w:hAnsi="Arial"/>
                  <w:sz w:val="18"/>
                  <w:szCs w:val="18"/>
                  <w:u w:val="single" w:color="auto"/>
                  <w:color w:val="0000EE"/>
                </w:rPr>
                <w:t xml:space="preserve"> M</w:t>
              </w:r>
              <w:r>
                <w:rPr>
                  <w:rFonts w:ascii="Arial" w:cs="Arial" w:eastAsia="Arial" w:hAnsi="Arial"/>
                  <w:sz w:val="14"/>
                  <w:szCs w:val="14"/>
                  <w:u w:val="single" w:color="auto"/>
                  <w:color w:val="0000EE"/>
                </w:rPr>
                <w:t>ATTERS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160" w:type="dxa"/>
            <w:vAlign w:val="bottom"/>
          </w:tcPr>
          <w:p>
            <w:pPr>
              <w:ind w:left="20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E</w:t>
              </w:r>
              <w:r>
                <w:rPr>
                  <w:rFonts w:ascii="Arial" w:cs="Arial" w:eastAsia="Arial" w:hAnsi="Arial"/>
                  <w:sz w:val="14"/>
                  <w:szCs w:val="14"/>
                  <w:u w:val="single" w:color="auto"/>
                  <w:color w:val="0000EE"/>
                </w:rPr>
                <w:t>XPERTS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21</w:t>
            </w:r>
          </w:p>
        </w:tc>
      </w:tr>
    </w:tbl>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This document has two parts. The first part is this prospectus supplement, which describes the specific terms of this offering. The second part is the accompanying prospectus, which provides more general information, some of which may not apply to this offering. You should read the entire prospectus supplement, as well as the accompanying prospectus and the documents incorporated by reference that are described under “Where You Can Find More Information” in this prospectus supplement and the accompanying prospectus. In the event that the description of the offering in this prospectus supplement is inconsistent with the accompanying prospectus, you should rely on the information contained in this prospectus supplement.</w:t>
      </w:r>
    </w:p>
    <w:p>
      <w:pPr>
        <w:spacing w:after="0" w:line="161"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Fiserv, Inc., the selling shareholder, and the underwriters have not authorized any other person to provide you with different or additional information other than that contained or incorporated by reference in this prospectus supplement, the accompanying prospectus and any free writing prospectus that we have authorized for use in connection with this offering. The selling shareholder and the underwriters are not making an offer to sell these securities in any jurisdiction where the offer or sale is not permitted. You should not assume that the information contained in or incorporated by reference into this prospectus supplement, the accompanying prospectus and any free writing prospectus filed by us with the SEC is accurate as of any date other than its respective date. Our business, financial condition, liquidity, results of operations and prospects may have changed since those dates.</w:t>
      </w:r>
    </w:p>
    <w:p>
      <w:pPr>
        <w:spacing w:after="0" w:line="16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Unless otherwise indicated or unless the context requires otherwise, references in this prospectus supplement to “we,” “our,” “us” and “Fiserv” refer to Fiserv, Inc., a Wisconsin corporation, and its consolidated subsidiaries.</w:t>
      </w:r>
    </w:p>
    <w:p>
      <w:pPr>
        <w:spacing w:after="0" w:line="166" w:lineRule="exact"/>
        <w:rPr>
          <w:sz w:val="20"/>
          <w:szCs w:val="20"/>
          <w:color w:val="auto"/>
        </w:rPr>
      </w:pPr>
    </w:p>
    <w:p>
      <w:pPr>
        <w:ind w:left="120" w:right="120" w:firstLine="440"/>
        <w:spacing w:after="0" w:line="289" w:lineRule="auto"/>
        <w:rPr>
          <w:sz w:val="20"/>
          <w:szCs w:val="20"/>
          <w:color w:val="auto"/>
        </w:rPr>
      </w:pPr>
      <w:r>
        <w:rPr>
          <w:rFonts w:ascii="Arial" w:cs="Arial" w:eastAsia="Arial" w:hAnsi="Arial"/>
          <w:sz w:val="16"/>
          <w:szCs w:val="16"/>
          <w:b w:val="1"/>
          <w:bCs w:val="1"/>
          <w:color w:val="auto"/>
        </w:rPr>
        <w:t xml:space="preserve">PRIIPs Regulation/Prohibition of sales to EEA and UK retail investors – </w:t>
      </w:r>
      <w:r>
        <w:rPr>
          <w:rFonts w:ascii="Arial" w:cs="Arial" w:eastAsia="Arial" w:hAnsi="Arial"/>
          <w:sz w:val="16"/>
          <w:szCs w:val="16"/>
          <w:color w:val="auto"/>
        </w:rPr>
        <w:t>The shares are not intended to be offered, sold or otherwise made</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and should not be offered, sold or otherwise made available, to any retail investor in the European Economic Area (the “EEA”) or in the United Kingdom (“UK”).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shares or otherwise making them available to retail investors in the EEA or in the UK has been prepared and therefore offering or selling the shares or otherwise making them available to any retail investor in the EEA or in the UK may be unlawful under the PRIIPs Regulation.</w:t>
      </w:r>
    </w:p>
    <w:p>
      <w:pPr>
        <w:spacing w:after="0" w:line="170"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communication of this prospectus supplement, the accompanying prospectus, any related free writing prospectus and any other document or materials relating to the issue of the shares offered hereby is not being made, and such documents and/or materials have not been approved, by an authorized person for the purposes of section 21 of the United Kingdom’s Financial Services and Markets Act 2000 (as amended, the “FSMA”). Accordingly, such documents and/or materials are not being distributed to, and must not be passed on to, the general public in the United Kingdom. The communication of such documents and/or materials as a financial promotion is only being made to persons outside the United Kingdom and those persons in the United Kingdom who have professional experience in matters relating to investments who fall within the definition of investment professionals (as defined in Article 19(5) of the Financial Services and Markets Act 2000 (Financial Promotion) Order 2005 (as amended, the “Financial Promotion Order”)), or who fall within Article 49(2)(a) to (d) of the Financial Promotion Order (all such persons together being referred to as “relevant persons”). In the United Kingdom, the shares offered hereby are only available to, and any investment or investment activity to which this prospectus supplement, the accompanying prospectus, any related free writing prospectus or any other document or materials relating to the issue of the shares offered hereby relates will be engaged in only with, relevant persons. Any person in the United Kingdom that is not a relevant person should not act or rely on this prospectus supplement, the accompanying prospectus, any related free writing prospectus or any other document or materials relating to the issue of the shares offered hereby or any of their contents.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We file annual, quarterly and current reports, proxy statements and other information with the SEC. We have also filed with the SEC a registration statement on Form S-3, including exhibits, with respect to the shares offered by this prospectus supplement. This prospectus supplement and the accompanying prospectus are part of the registration statement, but do not contain all of the information included in the registration statement or</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exhibits. Our filings with the SEC are available to the public through the SEC’s Internet site at http://www.sec.gov.</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“incorporating by reference” specified documents that we file with the SEC, which means:</w:t>
      </w:r>
    </w:p>
    <w:p>
      <w:pPr>
        <w:spacing w:after="0" w:line="131"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 supplement and the accompanying 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information we file with the SEC after the date of this prospectus supplement will automatically update and supersede information included or incorporated by reference in this prospectus supplement and the accompanying prospectus.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Sections 13(a), 13(c), 14 or 15(d) of the Securities Exchange Act of 1934, as amended (the “Exchange Act”) after the date of this prospectus supplement and before the end of the offering of the securities pursuant to this prospectus supplement:</w:t>
      </w:r>
    </w:p>
    <w:p>
      <w:pPr>
        <w:spacing w:after="0" w:line="89"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w:t>
      </w:r>
      <w:hyperlink r:id="rId19">
        <w:r>
          <w:rPr>
            <w:rFonts w:ascii="Arial" w:cs="Arial" w:eastAsia="Arial" w:hAnsi="Arial"/>
            <w:sz w:val="18"/>
            <w:szCs w:val="18"/>
            <w:u w:val="single" w:color="auto"/>
            <w:color w:val="0000EE"/>
          </w:rPr>
          <w:t>March 31, 2020</w:t>
        </w:r>
      </w:hyperlink>
      <w:r>
        <w:rPr>
          <w:rFonts w:ascii="Arial" w:cs="Arial" w:eastAsia="Arial" w:hAnsi="Arial"/>
          <w:sz w:val="18"/>
          <w:szCs w:val="18"/>
          <w:color w:val="auto"/>
        </w:rPr>
        <w:t xml:space="preserve">, </w:t>
      </w:r>
      <w:hyperlink r:id="rId20">
        <w:r>
          <w:rPr>
            <w:rFonts w:ascii="Arial" w:cs="Arial" w:eastAsia="Arial" w:hAnsi="Arial"/>
            <w:sz w:val="18"/>
            <w:szCs w:val="18"/>
            <w:u w:val="single" w:color="auto"/>
            <w:color w:val="0000EE"/>
          </w:rPr>
          <w:t>June 30,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1">
        <w:r>
          <w:rPr>
            <w:rFonts w:ascii="Arial" w:cs="Arial" w:eastAsia="Arial" w:hAnsi="Arial"/>
            <w:sz w:val="18"/>
            <w:szCs w:val="18"/>
            <w:u w:val="single" w:color="auto"/>
            <w:color w:val="0000EE"/>
          </w:rPr>
          <w:t>September 30, 2020</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4"/>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as filed with the SEC on </w:t>
      </w:r>
      <w:hyperlink r:id="rId22">
        <w:r>
          <w:rPr>
            <w:rFonts w:ascii="Arial" w:cs="Arial" w:eastAsia="Arial" w:hAnsi="Arial"/>
            <w:sz w:val="18"/>
            <w:szCs w:val="18"/>
            <w:u w:val="single" w:color="auto"/>
            <w:color w:val="0000EE"/>
          </w:rPr>
          <w:t>June 10,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(only Exhibits 23.1 and 99.1), </w:t>
      </w:r>
      <w:hyperlink r:id="rId23">
        <w:r>
          <w:rPr>
            <w:rFonts w:ascii="Arial" w:cs="Arial" w:eastAsia="Arial" w:hAnsi="Arial"/>
            <w:sz w:val="18"/>
            <w:szCs w:val="18"/>
            <w:u w:val="single" w:color="auto"/>
            <w:color w:val="0000EE"/>
          </w:rPr>
          <w:t>July 29,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(only Exhibits 23.2, 99.4 and 99.5), </w:t>
      </w:r>
      <w:hyperlink r:id="rId24">
        <w:r>
          <w:rPr>
            <w:rFonts w:ascii="Arial" w:cs="Arial" w:eastAsia="Arial" w:hAnsi="Arial"/>
            <w:sz w:val="18"/>
            <w:szCs w:val="18"/>
            <w:u w:val="single" w:color="auto"/>
            <w:color w:val="0000EE"/>
          </w:rPr>
          <w:t>February 14, 2020</w:t>
        </w:r>
      </w:hyperlink>
      <w:r>
        <w:rPr>
          <w:rFonts w:ascii="Arial" w:cs="Arial" w:eastAsia="Arial" w:hAnsi="Arial"/>
          <w:sz w:val="18"/>
          <w:szCs w:val="18"/>
          <w:color w:val="auto"/>
        </w:rPr>
        <w:t xml:space="preserve">, </w:t>
      </w:r>
      <w:hyperlink r:id="rId25">
        <w:r>
          <w:rPr>
            <w:rFonts w:ascii="Arial" w:cs="Arial" w:eastAsia="Arial" w:hAnsi="Arial"/>
            <w:sz w:val="18"/>
            <w:szCs w:val="18"/>
            <w:u w:val="single" w:color="auto"/>
            <w:color w:val="0000EE"/>
          </w:rPr>
          <w:t>March 24, 2020</w:t>
        </w:r>
      </w:hyperlink>
      <w:r>
        <w:rPr>
          <w:rFonts w:ascii="Arial" w:cs="Arial" w:eastAsia="Arial" w:hAnsi="Arial"/>
          <w:sz w:val="18"/>
          <w:szCs w:val="18"/>
          <w:color w:val="auto"/>
        </w:rPr>
        <w:t xml:space="preserve">, </w:t>
      </w:r>
      <w:hyperlink r:id="rId26">
        <w:r>
          <w:rPr>
            <w:rFonts w:ascii="Arial" w:cs="Arial" w:eastAsia="Arial" w:hAnsi="Arial"/>
            <w:sz w:val="18"/>
            <w:szCs w:val="18"/>
            <w:u w:val="single" w:color="auto"/>
            <w:color w:val="0000EE"/>
          </w:rPr>
          <w:t>April 1, 2020</w:t>
        </w:r>
      </w:hyperlink>
      <w:r>
        <w:rPr>
          <w:rFonts w:ascii="Arial" w:cs="Arial" w:eastAsia="Arial" w:hAnsi="Arial"/>
          <w:sz w:val="18"/>
          <w:szCs w:val="18"/>
          <w:color w:val="auto"/>
        </w:rPr>
        <w:t xml:space="preserve">, </w:t>
      </w:r>
      <w:hyperlink r:id="rId27">
        <w:r>
          <w:rPr>
            <w:rFonts w:ascii="Arial" w:cs="Arial" w:eastAsia="Arial" w:hAnsi="Arial"/>
            <w:sz w:val="18"/>
            <w:szCs w:val="18"/>
            <w:u w:val="single" w:color="auto"/>
            <w:color w:val="0000EE"/>
          </w:rPr>
          <w:t>April 10, 2020</w:t>
        </w:r>
      </w:hyperlink>
      <w:r>
        <w:rPr>
          <w:rFonts w:ascii="Arial" w:cs="Arial" w:eastAsia="Arial" w:hAnsi="Arial"/>
          <w:sz w:val="18"/>
          <w:szCs w:val="18"/>
          <w:color w:val="auto"/>
        </w:rPr>
        <w:t xml:space="preserve">, </w:t>
      </w:r>
      <w:hyperlink r:id="rId28">
        <w:r>
          <w:rPr>
            <w:rFonts w:ascii="Arial" w:cs="Arial" w:eastAsia="Arial" w:hAnsi="Arial"/>
            <w:sz w:val="18"/>
            <w:szCs w:val="18"/>
            <w:u w:val="single" w:color="auto"/>
            <w:color w:val="0000EE"/>
          </w:rPr>
          <w:t>May 13, 2020</w:t>
        </w:r>
      </w:hyperlink>
      <w:r>
        <w:rPr>
          <w:rFonts w:ascii="Arial" w:cs="Arial" w:eastAsia="Arial" w:hAnsi="Arial"/>
          <w:sz w:val="18"/>
          <w:szCs w:val="18"/>
          <w:color w:val="auto"/>
        </w:rPr>
        <w:t xml:space="preserve">, </w:t>
      </w:r>
      <w:hyperlink r:id="rId29">
        <w:r>
          <w:rPr>
            <w:rFonts w:ascii="Arial" w:cs="Arial" w:eastAsia="Arial" w:hAnsi="Arial"/>
            <w:sz w:val="18"/>
            <w:szCs w:val="18"/>
            <w:u w:val="single" w:color="auto"/>
            <w:color w:val="0000EE"/>
          </w:rPr>
          <w:t>May 15, 2020</w:t>
        </w:r>
      </w:hyperlink>
      <w:r>
        <w:rPr>
          <w:rFonts w:ascii="Arial" w:cs="Arial" w:eastAsia="Arial" w:hAnsi="Arial"/>
          <w:sz w:val="18"/>
          <w:szCs w:val="18"/>
          <w:color w:val="auto"/>
        </w:rPr>
        <w:t xml:space="preserve">, </w:t>
      </w:r>
      <w:hyperlink r:id="rId30">
        <w:r>
          <w:rPr>
            <w:rFonts w:ascii="Arial" w:cs="Arial" w:eastAsia="Arial" w:hAnsi="Arial"/>
            <w:sz w:val="18"/>
            <w:szCs w:val="18"/>
            <w:u w:val="single" w:color="auto"/>
            <w:color w:val="0000EE"/>
          </w:rPr>
          <w:t>June 19, 2020</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EE"/>
          </w:rPr>
          <w:t>August 5,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2">
        <w:r>
          <w:rPr>
            <w:rFonts w:ascii="Arial" w:cs="Arial" w:eastAsia="Arial" w:hAnsi="Arial"/>
            <w:sz w:val="18"/>
            <w:szCs w:val="18"/>
            <w:u w:val="single" w:color="auto"/>
            <w:color w:val="0000EE"/>
          </w:rPr>
          <w:t>August 21,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r:id="rId33">
        <w:r>
          <w:rPr>
            <w:rFonts w:ascii="Arial" w:cs="Arial" w:eastAsia="Arial" w:hAnsi="Arial"/>
            <w:sz w:val="18"/>
            <w:szCs w:val="18"/>
            <w:u w:val="single" w:color="auto"/>
            <w:color w:val="0000EE"/>
          </w:rPr>
          <w:t>November 2,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as amended by the Current Report on Form 8-K/A as filed with the SEC on</w:t>
      </w:r>
      <w:r>
        <w:rPr>
          <w:rFonts w:ascii="Arial" w:cs="Arial" w:eastAsia="Arial" w:hAnsi="Arial"/>
          <w:sz w:val="18"/>
          <w:szCs w:val="18"/>
          <w:color w:val="0000EE"/>
        </w:rPr>
        <w:t xml:space="preserve"> </w:t>
      </w:r>
      <w:hyperlink r:id="rId34">
        <w:r>
          <w:rPr>
            <w:rFonts w:ascii="Arial" w:cs="Arial" w:eastAsia="Arial" w:hAnsi="Arial"/>
            <w:sz w:val="18"/>
            <w:szCs w:val="18"/>
            <w:u w:val="single" w:color="auto"/>
            <w:color w:val="0000EE"/>
          </w:rPr>
          <w:t>November 23, 2020</w:t>
        </w:r>
      </w:hyperlink>
      <w:r>
        <w:rPr>
          <w:rFonts w:ascii="Arial" w:cs="Arial" w:eastAsia="Arial" w:hAnsi="Arial"/>
          <w:sz w:val="18"/>
          <w:szCs w:val="18"/>
          <w:color w:val="000000"/>
        </w:rPr>
        <w:t>;</w:t>
      </w:r>
    </w:p>
    <w:p>
      <w:pPr>
        <w:spacing w:after="0" w:line="92" w:lineRule="exact"/>
        <w:rPr>
          <w:rFonts w:ascii="Arial" w:cs="Arial" w:eastAsia="Arial" w:hAnsi="Arial"/>
          <w:sz w:val="18"/>
          <w:szCs w:val="18"/>
          <w:color w:val="0000EE"/>
        </w:rPr>
      </w:pPr>
    </w:p>
    <w:p>
      <w:pPr>
        <w:ind w:left="1080" w:right="8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information in the Definitive Proxy Statement and the Supplement to Proxy Statement for our 2020 annual meeting filed with the SEC on </w:t>
      </w:r>
      <w:hyperlink r:id="rId35">
        <w:r>
          <w:rPr>
            <w:rFonts w:ascii="Arial" w:cs="Arial" w:eastAsia="Arial" w:hAnsi="Arial"/>
            <w:sz w:val="18"/>
            <w:szCs w:val="18"/>
            <w:u w:val="single" w:color="auto"/>
            <w:color w:val="0000EE"/>
          </w:rPr>
          <w:t>April 1,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6">
        <w:r>
          <w:rPr>
            <w:rFonts w:ascii="Arial" w:cs="Arial" w:eastAsia="Arial" w:hAnsi="Arial"/>
            <w:sz w:val="18"/>
            <w:szCs w:val="18"/>
            <w:u w:val="single" w:color="auto"/>
            <w:color w:val="0000EE"/>
          </w:rPr>
          <w:t>May 8, 2020</w:t>
        </w:r>
      </w:hyperlink>
      <w:r>
        <w:rPr>
          <w:rFonts w:ascii="Arial" w:cs="Arial" w:eastAsia="Arial" w:hAnsi="Arial"/>
          <w:sz w:val="18"/>
          <w:szCs w:val="18"/>
          <w:color w:val="auto"/>
        </w:rPr>
        <w:t xml:space="preserve">, respectively, that are incorporated by reference into our Annual Report on </w:t>
      </w:r>
      <w:hyperlink r:id="rId1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2019; and</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dated September 3, 1986, and any amendment or report updating that description.</w:t>
      </w:r>
    </w:p>
    <w:p>
      <w:pPr>
        <w:spacing w:after="0" w:line="170" w:lineRule="exact"/>
        <w:rPr>
          <w:rFonts w:ascii="Arial" w:cs="Arial" w:eastAsia="Arial" w:hAnsi="Arial"/>
          <w:sz w:val="18"/>
          <w:szCs w:val="18"/>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Notwithstanding the foregoing, documents or portions thereof containing information furnished under Items 2.02 and 7.01 of any Current Report on Form 8-K, including the related exhibits under Item 9.01, are not incorporated by reference into this prospectus supplement.</w:t>
      </w:r>
    </w:p>
    <w:p>
      <w:pPr>
        <w:spacing w:after="0" w:line="146"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You may request a copy of any of these filings, at no cost, by request directed to us at the following address or telephone number:</w:t>
      </w:r>
    </w:p>
    <w:p>
      <w:pPr>
        <w:spacing w:after="0" w:line="225"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Fiserv, Inc.</w:t>
      </w:r>
    </w:p>
    <w:p>
      <w:pPr>
        <w:spacing w:after="0" w:line="2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255 Fiserv Drive</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Brookfield, WI 53045</w:t>
      </w:r>
    </w:p>
    <w:p>
      <w:pPr>
        <w:spacing w:after="0" w:line="9" w:lineRule="exact"/>
        <w:rPr>
          <w:rFonts w:ascii="Arial" w:cs="Arial" w:eastAsia="Arial" w:hAnsi="Arial"/>
          <w:sz w:val="18"/>
          <w:szCs w:val="18"/>
          <w:color w:val="auto"/>
        </w:rPr>
      </w:pPr>
    </w:p>
    <w:p>
      <w:pPr>
        <w:ind w:left="5500" w:hanging="438"/>
        <w:spacing w:after="0"/>
        <w:tabs>
          <w:tab w:leader="none" w:pos="5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879-5000</w:t>
      </w:r>
    </w:p>
    <w:p>
      <w:pPr>
        <w:spacing w:after="0" w:line="9" w:lineRule="exact"/>
        <w:rPr>
          <w:rFonts w:ascii="Arial" w:cs="Arial" w:eastAsia="Arial" w:hAnsi="Arial"/>
          <w:sz w:val="18"/>
          <w:szCs w:val="18"/>
          <w:color w:val="auto"/>
        </w:rPr>
      </w:pPr>
    </w:p>
    <w:p>
      <w:pPr>
        <w:ind w:left="4900"/>
        <w:spacing w:after="0"/>
        <w:rPr>
          <w:rFonts w:ascii="Arial" w:cs="Arial" w:eastAsia="Arial" w:hAnsi="Arial"/>
          <w:sz w:val="18"/>
          <w:szCs w:val="18"/>
          <w:color w:val="auto"/>
        </w:rPr>
      </w:pPr>
      <w:r>
        <w:rPr>
          <w:rFonts w:ascii="Arial" w:cs="Arial" w:eastAsia="Arial" w:hAnsi="Arial"/>
          <w:sz w:val="18"/>
          <w:szCs w:val="18"/>
          <w:color w:val="auto"/>
        </w:rPr>
        <w:t>Attention: Secretary</w:t>
      </w:r>
    </w:p>
    <w:p>
      <w:pPr>
        <w:spacing w:after="0" w:line="211" w:lineRule="exact"/>
        <w:rPr>
          <w:rFonts w:ascii="Arial" w:cs="Arial" w:eastAsia="Arial" w:hAnsi="Arial"/>
          <w:sz w:val="18"/>
          <w:szCs w:val="18"/>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You can also find these filings on our website at www.fiserv.com. We are not incorporating the information on our website other than these filings into this prospectus supplement.</w:t>
      </w:r>
    </w:p>
    <w:p>
      <w:pPr>
        <w:spacing w:after="0" w:line="10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This prospectus supplement, the accompanying prospectus and the information incorporated by reference into this prospectus supplement and the accompanying prospectus contain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or similar expression, and can generally be identified as forward-looking because they include words such as “believes,” “anticipates,” “expects,” “could,” “should” or words of similar meaning. Statements that describe our future plans, objectives or goals are also forward-looking statements. The forward-looking statements included or incorporated by reference into this prospectus supplement and the accompanying prospectus involve significant risks and uncertainties, and a number of factors, both foreseen and unforeseen, could cause actual results to differ materially from our current expectations. The factors that may affect our results include, among others, the following, many of which are, and will be amplified by the COVID-19 pandemic: the duration and intensity of the COVID-19 pandemic; governmental and private sector responses to the COVID-19 pandemic and the impact of such responses on us; the impact of the COVID-19 pandemic on our employees, clients, vendors, operations and sales; the possibility that we may be unable to achieve expected synergies and operating efficiencies from the acquisition of First Data Corporation (“First Data”) within the expected time frames or at all or to successfully integrate the operations of First Data into our operations; such integration may be more difficult, time-consuming or costly than expected; profitability following the transaction may be lower than expected, including due to unexpected costs, charges or expenses resulting from the transaction; operating costs, customer loss and business disruption (including, without limitation, difficulties in maintaining relationships with employees, customers, clients or suppliers) may be greater than expected following the transaction; unforeseen risks relating to our liabilities or those of First Data may exist; our ability to meet expectations regarding the accounting and tax treatments of the transaction; our ability to compete effectively against new and existing competitors and to continue to introduce competitive new products and services on a timely, cost-effective basis; changes in customer demand for our products and services; the ability of our technology to keep pace with a rapidly evolving marketplace; the successful management of our merchant alliance program which involves several alliances not under our sole control; the impact of a security breach or operational failure on our business including disruptions caused by other participants in the global financial system; the failure of our vendors and merchants to satisfy their obligations; the successful management of credit and fraud risks in our business and merchant alliances; changes in local, regional, national and international economic or political conditions and the impact they may have on us and our customers; the effect of proposed and enacted legislative and regulatory actions affecting us or the financial services industry as a whole;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the impact of our strategic initiatives; our ability to attract and retain key personnel; volatility and disruptions in financial markets that may impact our ability to access preferred sources of financing and the terms on which we are able to obtain financing or increase our costs of borrowing; adverse impacts from currency exchange rates or currency controls; and other factors identified in our Annual Report on Form 10-K for the year ended December 31, 2019, our Quarterly Report on Form 10-Q for the quarter ended September 30, 2020 and in other documents that we file with the Securities and Exchange Commission. You should consider these factors carefully in evaluating forward-looking statements and are cautioned not to place undue reliance on such statements, which speak only as of the date of this prospectus supplement or the date of the incorporated document. We undertake no obligation to update forward-looking statements to reflect events or circumstances occurring after the date of this prospectus supplement.</w:t>
      </w:r>
    </w:p>
    <w:p>
      <w:pPr>
        <w:spacing w:after="0" w:line="3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42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i w:val="1"/>
          <w:iCs w:val="1"/>
          <w:color w:val="auto"/>
        </w:rPr>
        <w:t>This summary highlights information contained or incorporated by reference into this prospectus supplement and the accompanying prospectus. This summary may not contain all of the information that may be important to you. You should read this entire prospectus supplement, including the “Risk Factors” section beginning on page S-7 of this prospectus supplement, the accompanying prospectus, the risk factors discussed in our most recent Annual Report on Form 10-K and our most recent Quarterly Report on Form 10-Q and the other information incorporated by reference carefully before making a decision to invest in our common stock.</w:t>
      </w:r>
    </w:p>
    <w:p>
      <w:pPr>
        <w:spacing w:after="0" w:line="28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Company Overview</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Fiserv</w:t>
      </w:r>
    </w:p>
    <w:p>
      <w:pPr>
        <w:spacing w:after="0" w:line="121" w:lineRule="exact"/>
        <w:rPr>
          <w:sz w:val="20"/>
          <w:szCs w:val="20"/>
          <w:color w:val="auto"/>
        </w:rPr>
      </w:pPr>
    </w:p>
    <w:p>
      <w:pPr>
        <w:ind w:left="300" w:right="140" w:firstLine="426"/>
        <w:spacing w:after="0" w:line="290" w:lineRule="auto"/>
        <w:rPr>
          <w:sz w:val="20"/>
          <w:szCs w:val="20"/>
          <w:color w:val="auto"/>
        </w:rPr>
      </w:pPr>
      <w:r>
        <w:rPr>
          <w:rFonts w:ascii="Arial" w:cs="Arial" w:eastAsia="Arial" w:hAnsi="Arial"/>
          <w:sz w:val="16"/>
          <w:szCs w:val="16"/>
          <w:color w:val="auto"/>
        </w:rPr>
        <w:t>We are a leading global provider of payments and financial services technology solutions. We are publicly traded on the NASDAQ Global Select Market and part of the S&amp;P 500 Index. We serve clients around the globe, including banks, credit unions, other financial institutions and merchants. We aspire to move money and information in a way that moves the world by delivering superior value for our clients through leading technology, targeted innovation and excellence in everything we do. We achieve this through active portfolio management of our businesses, enhancing the overall value of our existing client relationships, improving operational effectiveness, being disciplined in our allocation of capital, and differentiating our products and services through innovation. Our long-term priorities are to (i) deliver integration value from the First Data acquisition; (ii) continue to build high-quality revenue while meeting our earnings goals; (iii) enhance client relationships with an emphasis on digital and payment solutions; and (iv) deliver innovation and integration which enables differentiated value for our clients.</w:t>
      </w:r>
    </w:p>
    <w:p>
      <w:pPr>
        <w:spacing w:after="0" w:line="165" w:lineRule="exact"/>
        <w:rPr>
          <w:sz w:val="20"/>
          <w:szCs w:val="20"/>
          <w:color w:val="auto"/>
        </w:rPr>
      </w:pPr>
    </w:p>
    <w:p>
      <w:pPr>
        <w:ind w:left="300" w:right="140" w:firstLine="426"/>
        <w:spacing w:after="0" w:line="286" w:lineRule="auto"/>
        <w:rPr>
          <w:sz w:val="20"/>
          <w:szCs w:val="20"/>
          <w:color w:val="auto"/>
        </w:rPr>
      </w:pPr>
      <w:r>
        <w:rPr>
          <w:rFonts w:ascii="Arial" w:cs="Arial" w:eastAsia="Arial" w:hAnsi="Arial"/>
          <w:sz w:val="17"/>
          <w:szCs w:val="17"/>
          <w:color w:val="auto"/>
        </w:rPr>
        <w:t>In 2019, we had approximately $10.2 billion in total revenue, $1.6 billion in operating income and $2.8 billion of net cash provided by operating activities from continuing operations. In the first nine months of 2020, we had approximately $11.0 billion in total revenue, $1.3 billion in operating income and $3.0 billion of net cash provided by operating activities from continuing operations.</w:t>
      </w:r>
    </w:p>
    <w:p>
      <w:pPr>
        <w:spacing w:after="0" w:line="165"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On July 29, 2019, we acquired First Data (the “merger”), a global leader in commerce-enabling technology and solutions for merchants, financial institutions and card issuers. Effective in the first quarter of 2020, we realigned our reportable segments to correspond with changes to our operating model to reflect our new management structure and organizational responsibilities following the acquisition of First Data. Our new reportable segments are: Merchant Acceptance (“Acceptance”), Financial Technology (“Fintech”) and Payments and Network (“Payments”).</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Our principal executive offices are located at 255 Fiserv Drive, Brookfield, WI 53045, and our telephone number is (262) 879-5000.</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Acceptance</w:t>
      </w:r>
    </w:p>
    <w:p>
      <w:pPr>
        <w:spacing w:after="0" w:line="121" w:lineRule="exact"/>
        <w:rPr>
          <w:sz w:val="20"/>
          <w:szCs w:val="20"/>
          <w:color w:val="auto"/>
        </w:rPr>
      </w:pPr>
    </w:p>
    <w:p>
      <w:pPr>
        <w:ind w:left="300" w:right="80" w:firstLine="426"/>
        <w:spacing w:after="0" w:line="254" w:lineRule="auto"/>
        <w:rPr>
          <w:sz w:val="20"/>
          <w:szCs w:val="20"/>
          <w:color w:val="auto"/>
        </w:rPr>
      </w:pPr>
      <w:r>
        <w:rPr>
          <w:rFonts w:ascii="Arial" w:cs="Arial" w:eastAsia="Arial" w:hAnsi="Arial"/>
          <w:sz w:val="18"/>
          <w:szCs w:val="18"/>
          <w:color w:val="auto"/>
        </w:rPr>
        <w:t>The businesses in our Acceptance segment provide a wide range of products and services to merchants around the world, including point-of-sale (“POS”) merchant acquiring and e-commerce services, mobile payment services, security and fraud protection products, and our cloud-based Clover</w:t>
      </w:r>
      <w:r>
        <w:rPr>
          <w:rFonts w:ascii="Arial" w:cs="Arial" w:eastAsia="Arial" w:hAnsi="Arial"/>
          <w:sz w:val="15"/>
          <w:szCs w:val="15"/>
          <w:color w:val="auto"/>
        </w:rPr>
        <w:t>®</w:t>
      </w:r>
      <w:r>
        <w:rPr>
          <w:rFonts w:ascii="Arial" w:cs="Arial" w:eastAsia="Arial" w:hAnsi="Arial"/>
          <w:sz w:val="18"/>
          <w:szCs w:val="18"/>
          <w:color w:val="auto"/>
        </w:rPr>
        <w:t xml:space="preserve"> POS platform, which includes a marketplace for proprietary and third-party business applications. The products and services in the global Acceptance businesses are distributed through a variety of channels, including through direct sales teams, strategic partnerships with indirect non-bank sales forces, independent software vendors, and bank and non-bank partners in the form of joint venture alliances, revenue sharing alliances and referral agreements. Many merchants, financial institutions and distribution partners within the Acceptance segment are also customers of our other segments.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20"/>
          </w:cols>
          <w:pgMar w:left="32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420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Fintech</w:t>
      </w:r>
    </w:p>
    <w:p>
      <w:pPr>
        <w:spacing w:after="0" w:line="121" w:lineRule="exact"/>
        <w:rPr>
          <w:sz w:val="20"/>
          <w:szCs w:val="20"/>
          <w:color w:val="auto"/>
        </w:rPr>
      </w:pPr>
    </w:p>
    <w:p>
      <w:pPr>
        <w:ind w:left="300" w:right="40" w:firstLine="426"/>
        <w:spacing w:after="0" w:line="291" w:lineRule="auto"/>
        <w:rPr>
          <w:sz w:val="20"/>
          <w:szCs w:val="20"/>
          <w:color w:val="auto"/>
        </w:rPr>
      </w:pPr>
      <w:r>
        <w:rPr>
          <w:rFonts w:ascii="Arial" w:cs="Arial" w:eastAsia="Arial" w:hAnsi="Arial"/>
          <w:sz w:val="16"/>
          <w:szCs w:val="16"/>
          <w:color w:val="auto"/>
        </w:rPr>
        <w:t>The businesses in our Fintech segment provide financial institutions around the world with the technology solutions they need to run their operations, including an institution’s general ledger and central information files and products and services that enable financial institutions to process customer deposit and loan accounts. As a complement to the core account processing functionality, the businesses in the global Fintech segment also provide digital banking, financial and risk management, cash management, professional services and consulting, item processing and source capture, and other products and services that support numerous types of financial transactions. In addition, some of the businesses in the Fintech segment provide products or services to corporate clients to facilitate the management of financial processes and transactions. Many of the products and services offered in the Fintech segment are integrated with solutions from our other segments.</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Payments</w:t>
      </w:r>
    </w:p>
    <w:p>
      <w:pPr>
        <w:spacing w:after="0" w:line="121" w:lineRule="exact"/>
        <w:rPr>
          <w:sz w:val="20"/>
          <w:szCs w:val="20"/>
          <w:color w:val="auto"/>
        </w:rPr>
      </w:pPr>
    </w:p>
    <w:p>
      <w:pPr>
        <w:ind w:left="300" w:firstLine="426"/>
        <w:spacing w:after="0" w:line="293" w:lineRule="auto"/>
        <w:rPr>
          <w:sz w:val="20"/>
          <w:szCs w:val="20"/>
          <w:color w:val="auto"/>
        </w:rPr>
      </w:pPr>
      <w:r>
        <w:rPr>
          <w:rFonts w:ascii="Arial" w:cs="Arial" w:eastAsia="Arial" w:hAnsi="Arial"/>
          <w:sz w:val="16"/>
          <w:szCs w:val="16"/>
          <w:color w:val="auto"/>
        </w:rPr>
        <w:t>The businesses in our Payments segment provide financial institutions and corporate clients around the world with the products and services required to process digital payment transactions. This includes card transactions such as debit, credit and prepaid card processing and services, a range of network services, security and fraud protection products, card production and print services. In addition, the Payments segment businesses offer non-card digital payment software and services, including bill payment, account-to-account transfers, person-to-person payments, electronic billing, and security and fraud protection products. Clients of the global Payments segment businesses reflect a wide range of industries, including merchants, distribution partners and financial institution customers in our other segments.</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and Other</w:t>
      </w:r>
    </w:p>
    <w:p>
      <w:pPr>
        <w:spacing w:after="0" w:line="121" w:lineRule="exact"/>
        <w:rPr>
          <w:sz w:val="20"/>
          <w:szCs w:val="20"/>
          <w:color w:val="auto"/>
        </w:rPr>
      </w:pPr>
    </w:p>
    <w:p>
      <w:pPr>
        <w:ind w:left="300" w:right="40" w:firstLine="426"/>
        <w:spacing w:after="0" w:line="275" w:lineRule="auto"/>
        <w:rPr>
          <w:sz w:val="20"/>
          <w:szCs w:val="20"/>
          <w:color w:val="auto"/>
        </w:rPr>
      </w:pPr>
      <w:r>
        <w:rPr>
          <w:rFonts w:ascii="Arial" w:cs="Arial" w:eastAsia="Arial" w:hAnsi="Arial"/>
          <w:sz w:val="17"/>
          <w:szCs w:val="17"/>
          <w:color w:val="auto"/>
        </w:rPr>
        <w:t>Corporate and Other supports the reporting segments above, and consists of amortization of acquisition-related intangible assets, unallocated corporate expenses and other activities that are not considered when management evaluates segment performance, such as gains on sales of businesses, costs associated with acquisition and divestiture activity, and our Output Solutions postage reimbursements. Corporate and Other also includes the historical results of our Investment Services business, of which we sold a 60% controlling interest in February 2020, as well as certain transition services revenue associated with various dispositions.</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Shareholder Agreement and Registration Rights Agreement</w:t>
      </w:r>
    </w:p>
    <w:p>
      <w:pPr>
        <w:spacing w:after="0" w:line="121" w:lineRule="exact"/>
        <w:rPr>
          <w:sz w:val="20"/>
          <w:szCs w:val="20"/>
          <w:color w:val="auto"/>
        </w:rPr>
      </w:pPr>
    </w:p>
    <w:p>
      <w:pPr>
        <w:jc w:val="both"/>
        <w:ind w:left="300" w:right="220" w:firstLine="426"/>
        <w:spacing w:after="0" w:line="263" w:lineRule="auto"/>
        <w:rPr>
          <w:sz w:val="20"/>
          <w:szCs w:val="20"/>
          <w:color w:val="auto"/>
        </w:rPr>
      </w:pPr>
      <w:r>
        <w:rPr>
          <w:rFonts w:ascii="Arial" w:cs="Arial" w:eastAsia="Arial" w:hAnsi="Arial"/>
          <w:sz w:val="18"/>
          <w:szCs w:val="18"/>
          <w:color w:val="auto"/>
        </w:rPr>
        <w:t>Simultaneously with the execution of the merger agreement relating to the First Data acquisition, we entered into a shareholder agreement (the “Shareholder Agreement”) and registration rights agreement (the “Registration Rights Agreement”) with New Omaha Holdings L.P. (“New Omaha”).</w:t>
      </w:r>
    </w:p>
    <w:p>
      <w:pPr>
        <w:spacing w:after="0" w:line="184" w:lineRule="exact"/>
        <w:rPr>
          <w:sz w:val="20"/>
          <w:szCs w:val="20"/>
          <w:color w:val="auto"/>
        </w:rPr>
      </w:pPr>
    </w:p>
    <w:p>
      <w:pPr>
        <w:jc w:val="both"/>
        <w:ind w:left="300" w:right="100" w:firstLine="426"/>
        <w:spacing w:after="0" w:line="301" w:lineRule="auto"/>
        <w:rPr>
          <w:sz w:val="20"/>
          <w:szCs w:val="20"/>
          <w:color w:val="auto"/>
        </w:rPr>
      </w:pPr>
      <w:r>
        <w:rPr>
          <w:rFonts w:ascii="Arial" w:cs="Arial" w:eastAsia="Arial" w:hAnsi="Arial"/>
          <w:sz w:val="16"/>
          <w:szCs w:val="16"/>
          <w:color w:val="auto"/>
        </w:rPr>
        <w:t>Pursuant to the Shareholder Agreement, New Omaha is permitted to transfer shares of common stock (A) in open market transactions under Rule 144 under the Securities Act of 1933, as amended (the “Securities Act”), (B) in privately negotiated transactions, or (C) via public offerings, and, with respect to each of (A), (B) and (C), subject to certain volume and other limitations. The Shareholder Agreement will terminate when the aggregate ownership percentage of shares of our common stock held by New Omaha and certain of its affiliates falls below 3%.</w:t>
      </w:r>
    </w:p>
    <w:p>
      <w:pPr>
        <w:spacing w:after="0" w:line="157" w:lineRule="exact"/>
        <w:rPr>
          <w:sz w:val="20"/>
          <w:szCs w:val="20"/>
          <w:color w:val="auto"/>
        </w:rPr>
      </w:pPr>
    </w:p>
    <w:p>
      <w:pPr>
        <w:jc w:val="both"/>
        <w:ind w:left="300" w:right="360" w:firstLine="426"/>
        <w:spacing w:after="0" w:line="263" w:lineRule="auto"/>
        <w:rPr>
          <w:sz w:val="20"/>
          <w:szCs w:val="20"/>
          <w:color w:val="auto"/>
        </w:rPr>
      </w:pPr>
      <w:r>
        <w:rPr>
          <w:rFonts w:ascii="Arial" w:cs="Arial" w:eastAsia="Arial" w:hAnsi="Arial"/>
          <w:sz w:val="18"/>
          <w:szCs w:val="18"/>
          <w:color w:val="auto"/>
        </w:rPr>
        <w:t>Pursuant to the Registration Rights Agreement, New Omaha is entitled to certain shelf registration rights, demand registration rights and piggyback registration rights with respect to shares of common stock it acquired in the merger, in each case, subject to certain limitations. The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00"/>
          </w:cols>
          <w:pgMar w:left="320" w:top="459" w:right="6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048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a:extLst>
                        <a:ext uri="{28A0092B-C50C-407E-A947-70E740481C1C}"/>
                      </a:extLst>
                    </a:blip>
                    <a:srcRect/>
                    <a:stretch>
                      <a:fillRect/>
                    </a:stretch>
                  </pic:blipFill>
                  <pic:spPr bwMode="auto">
                    <a:xfrm>
                      <a:off x="0" y="0"/>
                      <a:ext cx="6998970" cy="57048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00"/>
        <w:spacing w:after="0" w:line="308" w:lineRule="auto"/>
        <w:rPr>
          <w:sz w:val="20"/>
          <w:szCs w:val="20"/>
          <w:color w:val="auto"/>
        </w:rPr>
      </w:pPr>
      <w:r>
        <w:rPr>
          <w:rFonts w:ascii="Arial" w:cs="Arial" w:eastAsia="Arial" w:hAnsi="Arial"/>
          <w:sz w:val="17"/>
          <w:szCs w:val="17"/>
          <w:color w:val="auto"/>
        </w:rPr>
        <w:t>will terminate when the aggregate ownership percentage of the issued and outstanding shares of our common stock held by New Omaha and its affiliate transferees falls below 2% and such shares may be freely sold without restriction or limitation pursuant to Rule 144.</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Share Repurchase</w:t>
      </w:r>
    </w:p>
    <w:p>
      <w:pPr>
        <w:spacing w:after="0" w:line="121" w:lineRule="exact"/>
        <w:rPr>
          <w:sz w:val="20"/>
          <w:szCs w:val="20"/>
          <w:color w:val="auto"/>
        </w:rPr>
      </w:pPr>
    </w:p>
    <w:p>
      <w:pPr>
        <w:ind w:left="300" w:right="200" w:firstLine="426"/>
        <w:spacing w:after="0" w:line="263" w:lineRule="auto"/>
        <w:rPr>
          <w:sz w:val="20"/>
          <w:szCs w:val="20"/>
          <w:color w:val="auto"/>
        </w:rPr>
      </w:pPr>
      <w:r>
        <w:rPr>
          <w:rFonts w:ascii="Arial" w:cs="Arial" w:eastAsia="Arial" w:hAnsi="Arial"/>
          <w:sz w:val="18"/>
          <w:szCs w:val="18"/>
          <w:color w:val="auto"/>
        </w:rPr>
        <w:t>On November 18, 2020, our Board of Directors authorized us to repurchase 60 million shares of our common stock. The authorization is in addition to the shares remaining available under our existing repurchase authorizations. As of September 30, 2020, we had approximately 7.5 million shares remaining under our existing repurchase authorizations.</w:t>
      </w:r>
    </w:p>
    <w:p>
      <w:pPr>
        <w:spacing w:after="0" w:line="184" w:lineRule="exact"/>
        <w:rPr>
          <w:sz w:val="20"/>
          <w:szCs w:val="20"/>
          <w:color w:val="auto"/>
        </w:rPr>
      </w:pPr>
    </w:p>
    <w:p>
      <w:pPr>
        <w:ind w:left="300" w:firstLine="426"/>
        <w:spacing w:after="0" w:line="279" w:lineRule="auto"/>
        <w:rPr>
          <w:sz w:val="20"/>
          <w:szCs w:val="20"/>
          <w:color w:val="auto"/>
        </w:rPr>
      </w:pPr>
      <w:r>
        <w:rPr>
          <w:rFonts w:ascii="Arial" w:cs="Arial" w:eastAsia="Arial" w:hAnsi="Arial"/>
          <w:sz w:val="17"/>
          <w:szCs w:val="17"/>
          <w:color w:val="auto"/>
        </w:rPr>
        <w:t>Subject to the completion of this offering, we have agreed to repurchase from the underwriters 1,817,520 shares of our common stock that are subject to this offering at a price per share equal to the price per share to be paid by the underwriters to the selling shareholder in the offering. We refer to this repurchase as the “share repurchase” herein. We intend to fund the share repurchase with cash on hand. The repurchased shares will be cancelled and no longer outstanding following the completion of the share repurchase.</w:t>
      </w:r>
    </w:p>
    <w:p>
      <w:pPr>
        <w:spacing w:after="0" w:line="171" w:lineRule="exact"/>
        <w:rPr>
          <w:sz w:val="20"/>
          <w:szCs w:val="20"/>
          <w:color w:val="auto"/>
        </w:rPr>
      </w:pPr>
    </w:p>
    <w:p>
      <w:pPr>
        <w:ind w:left="300" w:right="120" w:firstLine="426"/>
        <w:spacing w:after="0" w:line="277" w:lineRule="auto"/>
        <w:rPr>
          <w:sz w:val="20"/>
          <w:szCs w:val="20"/>
          <w:color w:val="auto"/>
        </w:rPr>
      </w:pPr>
      <w:r>
        <w:rPr>
          <w:rFonts w:ascii="Arial" w:cs="Arial" w:eastAsia="Arial" w:hAnsi="Arial"/>
          <w:sz w:val="18"/>
          <w:szCs w:val="18"/>
          <w:color w:val="auto"/>
        </w:rPr>
        <w:t>Nothing in this prospectus supplement should be construed as an offer to sell, or the solicitation of an offer to buy, any of our common stock subject to the share repurchase.</w:t>
      </w: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Recent Market Conditions</w:t>
      </w:r>
    </w:p>
    <w:p>
      <w:pPr>
        <w:spacing w:after="0" w:line="229" w:lineRule="exact"/>
        <w:rPr>
          <w:sz w:val="20"/>
          <w:szCs w:val="20"/>
          <w:color w:val="auto"/>
        </w:rPr>
      </w:pPr>
    </w:p>
    <w:p>
      <w:pPr>
        <w:ind w:left="300" w:right="100" w:firstLine="426"/>
        <w:spacing w:after="0" w:line="273" w:lineRule="auto"/>
        <w:rPr>
          <w:sz w:val="20"/>
          <w:szCs w:val="20"/>
          <w:color w:val="auto"/>
        </w:rPr>
      </w:pPr>
      <w:r>
        <w:rPr>
          <w:rFonts w:ascii="Arial" w:cs="Arial" w:eastAsia="Arial" w:hAnsi="Arial"/>
          <w:sz w:val="17"/>
          <w:szCs w:val="17"/>
          <w:color w:val="auto"/>
        </w:rPr>
        <w:t>In December 2019, a novel strain of coronavirus (“COVID-19”) was identified and has since continued to spread and negatively impact the economy of the United States and other countries around the world. In March 2020, the World Health Organization recognized the COVID-19 outbreak as a pandemic. In response to the COVID-19 pandemic, the governments of many countries, states, cities and other geographic regions have taken actions to prevent the spread of COVID-19, such as imposing travel restrictions and bans, quarantines, social distancing guidelines, shelter-in-place or lock-down orders and other similar limitations. Accordingly, the COVID-19 pandemic has adversely impacted global economic activity and has contributed to significant volatility in financial markets during 2020.</w:t>
      </w:r>
    </w:p>
    <w:p>
      <w:pPr>
        <w:spacing w:after="0" w:line="178" w:lineRule="exact"/>
        <w:rPr>
          <w:sz w:val="20"/>
          <w:szCs w:val="20"/>
          <w:color w:val="auto"/>
        </w:rPr>
      </w:pPr>
    </w:p>
    <w:p>
      <w:pPr>
        <w:ind w:left="300" w:right="40" w:firstLine="426"/>
        <w:spacing w:after="0" w:line="293" w:lineRule="auto"/>
        <w:rPr>
          <w:sz w:val="20"/>
          <w:szCs w:val="20"/>
          <w:color w:val="auto"/>
        </w:rPr>
      </w:pPr>
      <w:r>
        <w:rPr>
          <w:rFonts w:ascii="Arial" w:cs="Arial" w:eastAsia="Arial" w:hAnsi="Arial"/>
          <w:sz w:val="16"/>
          <w:szCs w:val="16"/>
          <w:color w:val="auto"/>
        </w:rPr>
        <w:t>Our operating performance is subject to global economic and market conditions, as well as their impacts on levels of consumer spending. As a result of the COVID-19 pandemic and the related decline in global economic activity, we have experienced a significant decrease in payments volume and transactions that has negatively impacted our merchant acquiring and payment-related businesses, which earn transaction-based fees, as well as modest declines in other businesses. Merchant acquiring and payment volumes began to recover in May 2020 and continued to improve into July 2020, with stabilized growth rates thereafter. While these recent business trends demonstrated positive momentum, the uncertainty caused by the pandemic creates an economic environment where our future financial results remain difficult to anticipate.</w:t>
      </w:r>
    </w:p>
    <w:p>
      <w:pPr>
        <w:spacing w:after="0" w:line="164" w:lineRule="exact"/>
        <w:rPr>
          <w:sz w:val="20"/>
          <w:szCs w:val="20"/>
          <w:color w:val="auto"/>
        </w:rPr>
      </w:pPr>
    </w:p>
    <w:p>
      <w:pPr>
        <w:ind w:left="300" w:right="40" w:firstLine="426"/>
        <w:spacing w:after="0" w:line="273" w:lineRule="auto"/>
        <w:rPr>
          <w:sz w:val="20"/>
          <w:szCs w:val="20"/>
          <w:color w:val="auto"/>
        </w:rPr>
      </w:pPr>
      <w:r>
        <w:rPr>
          <w:rFonts w:ascii="Arial" w:cs="Arial" w:eastAsia="Arial" w:hAnsi="Arial"/>
          <w:sz w:val="17"/>
          <w:szCs w:val="17"/>
          <w:color w:val="auto"/>
        </w:rPr>
        <w:t>In response to the COVID-19 pandemic, we have taken several actions since the onset of the pandemic to protect the health, safety and well-being of our employees while maintaining business continuity. These actions include, among others, requiring a majority of our employees to work remotely, limiting or suspending non-essential travel, suspending all non-essential visitors to our facilities, disinfecting facilities and workspaces extensively and frequently, providing personal protective equipment to associates and requiring employees who must be present at our facilities to adhere to a variety of safety protocols. In addition, we have expanded paid time-off for employees impacted by COVID-19, provided increased pay for certain employees involved in critical infrastructure who could not work remotely, and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481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a:extLst>
                        <a:ext uri="{28A0092B-C50C-407E-A947-70E740481C1C}"/>
                      </a:extLst>
                    </a:blip>
                    <a:srcRect/>
                    <a:stretch>
                      <a:fillRect/>
                    </a:stretch>
                  </pic:blipFill>
                  <pic:spPr bwMode="auto">
                    <a:xfrm>
                      <a:off x="0" y="0"/>
                      <a:ext cx="6998970" cy="2481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20"/>
        <w:spacing w:after="0" w:line="263" w:lineRule="auto"/>
        <w:rPr>
          <w:sz w:val="20"/>
          <w:szCs w:val="20"/>
          <w:color w:val="auto"/>
        </w:rPr>
      </w:pPr>
      <w:r>
        <w:rPr>
          <w:rFonts w:ascii="Arial" w:cs="Arial" w:eastAsia="Arial" w:hAnsi="Arial"/>
          <w:sz w:val="18"/>
          <w:szCs w:val="18"/>
          <w:color w:val="auto"/>
        </w:rPr>
        <w:t>expanded our Fiserv Cares program to benefit employees in need around the world. We expect to continue such safety measures for the foreseeable future and may take further actions, or adapt these existing policies, as government authorities may require or recommend or as we may determine to be in the best interest of our employees, clients and vendors.</w:t>
      </w:r>
    </w:p>
    <w:p>
      <w:pPr>
        <w:spacing w:after="0" w:line="184" w:lineRule="exact"/>
        <w:rPr>
          <w:sz w:val="20"/>
          <w:szCs w:val="20"/>
          <w:color w:val="auto"/>
        </w:rPr>
      </w:pPr>
    </w:p>
    <w:p>
      <w:pPr>
        <w:ind w:left="300" w:firstLine="426"/>
        <w:spacing w:after="0" w:line="253" w:lineRule="auto"/>
        <w:rPr>
          <w:sz w:val="20"/>
          <w:szCs w:val="20"/>
          <w:color w:val="auto"/>
        </w:rPr>
      </w:pPr>
      <w:r>
        <w:rPr>
          <w:rFonts w:ascii="Arial" w:cs="Arial" w:eastAsia="Arial" w:hAnsi="Arial"/>
          <w:sz w:val="18"/>
          <w:szCs w:val="18"/>
          <w:color w:val="auto"/>
        </w:rPr>
        <w:t>We have also taken several actions to manage discretionary costs including, among others, limiting third-party spending and the temporary suspension of certain employee-related benefits, including company matching contributions to the Fiserv 401(k) Savings Plan as well as the discount on shares purchased under the Fiserv, Inc. Amended and Restated Employee Stock Purchase Plan for the remainder of 2020. In addition, we are reassessing and deferring certain capital expenditures that were originally planned for 2020. We will continue to monitor and assess developments related to COVID-19 and implement appropriate actions to minimize the risk to our operations of any material adverse developments. Ultimately, the extent of the impact of the COVID-19 pandemic on our future operational and financial performance will depend on, among other matters, the duration and intensity of the COVID-19 pandemic; governmental and private sector responses to the pandemic and the impact of such responses on us; and the impact of the pandemic on our employees, clients, vendors, operations and sales, all of which are uncertain and cannot be predicted.</w:t>
      </w:r>
    </w:p>
    <w:p>
      <w:pPr>
        <w:spacing w:after="0" w:line="196" w:lineRule="exact"/>
        <w:rPr>
          <w:sz w:val="20"/>
          <w:szCs w:val="20"/>
          <w:color w:val="auto"/>
        </w:rPr>
      </w:pPr>
    </w:p>
    <w:p>
      <w:pPr>
        <w:ind w:left="300" w:right="220" w:firstLine="426"/>
        <w:spacing w:after="0" w:line="277" w:lineRule="auto"/>
        <w:rPr>
          <w:sz w:val="20"/>
          <w:szCs w:val="20"/>
          <w:color w:val="auto"/>
        </w:rPr>
      </w:pPr>
      <w:r>
        <w:rPr>
          <w:rFonts w:ascii="Arial" w:cs="Arial" w:eastAsia="Arial" w:hAnsi="Arial"/>
          <w:sz w:val="18"/>
          <w:szCs w:val="18"/>
          <w:color w:val="auto"/>
        </w:rPr>
        <w:t>See “Risk Factors” beginning on page S-7 of this prospectus supplement and the risk factors incorporated by reference into this prospectus supplement and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20"/>
          </w:cols>
          <w:pgMar w:left="320" w:top="459"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88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7">
                      <a:extLst>
                        <a:ext uri="{28A0092B-C50C-407E-A947-70E740481C1C}"/>
                      </a:extLst>
                    </a:blip>
                    <a:srcRect/>
                    <a:stretch>
                      <a:fillRect/>
                    </a:stretch>
                  </pic:blipFill>
                  <pic:spPr bwMode="auto">
                    <a:xfrm>
                      <a:off x="0" y="0"/>
                      <a:ext cx="6998970" cy="56788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300" w:right="200" w:firstLine="426"/>
        <w:spacing w:after="0" w:line="263" w:lineRule="auto"/>
        <w:rPr>
          <w:sz w:val="20"/>
          <w:szCs w:val="20"/>
          <w:color w:val="auto"/>
        </w:rPr>
      </w:pPr>
      <w:r>
        <w:rPr>
          <w:rFonts w:ascii="Arial" w:cs="Arial" w:eastAsia="Arial" w:hAnsi="Arial"/>
          <w:sz w:val="18"/>
          <w:szCs w:val="18"/>
          <w:i w:val="1"/>
          <w:iCs w:val="1"/>
          <w:color w:val="auto"/>
        </w:rPr>
        <w:t>This summary of the offering highlights some of the information contained in this prospectus supplement. The summary may not contain all of the information that is important to you. You should carefully read the information contained and incorporated by reference in this prospectus supplement in order to understand the offering.</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040" w:type="dxa"/>
            <w:vAlign w:val="bottom"/>
          </w:tcPr>
          <w:p>
            <w:pPr>
              <w:ind w:left="180"/>
              <w:spacing w:after="0"/>
              <w:rPr>
                <w:sz w:val="20"/>
                <w:szCs w:val="20"/>
                <w:color w:val="auto"/>
              </w:rPr>
            </w:pPr>
            <w:r>
              <w:rPr>
                <w:rFonts w:ascii="Arial" w:cs="Arial" w:eastAsia="Arial" w:hAnsi="Arial"/>
                <w:sz w:val="18"/>
                <w:szCs w:val="18"/>
                <w:color w:val="auto"/>
              </w:rPr>
              <w:t>Selling Shareholder</w:t>
            </w:r>
          </w:p>
        </w:tc>
        <w:tc>
          <w:tcPr>
            <w:tcW w:w="6980" w:type="dxa"/>
            <w:vAlign w:val="bottom"/>
          </w:tcPr>
          <w:p>
            <w:pPr>
              <w:ind w:left="180"/>
              <w:spacing w:after="0"/>
              <w:rPr>
                <w:sz w:val="20"/>
                <w:szCs w:val="20"/>
                <w:color w:val="auto"/>
              </w:rPr>
            </w:pPr>
            <w:r>
              <w:rPr>
                <w:rFonts w:ascii="Arial" w:cs="Arial" w:eastAsia="Arial" w:hAnsi="Arial"/>
                <w:sz w:val="18"/>
                <w:szCs w:val="18"/>
                <w:color w:val="auto"/>
              </w:rPr>
              <w:t>New Omaha Holdings L.P.</w:t>
            </w:r>
          </w:p>
        </w:tc>
      </w:tr>
      <w:tr>
        <w:trPr>
          <w:trHeight w:val="472"/>
        </w:trPr>
        <w:tc>
          <w:tcPr>
            <w:tcW w:w="4040" w:type="dxa"/>
            <w:vAlign w:val="bottom"/>
          </w:tcPr>
          <w:p>
            <w:pPr>
              <w:ind w:left="180"/>
              <w:spacing w:after="0"/>
              <w:rPr>
                <w:sz w:val="20"/>
                <w:szCs w:val="20"/>
                <w:color w:val="auto"/>
              </w:rPr>
            </w:pPr>
            <w:r>
              <w:rPr>
                <w:rFonts w:ascii="Arial" w:cs="Arial" w:eastAsia="Arial" w:hAnsi="Arial"/>
                <w:sz w:val="18"/>
                <w:szCs w:val="18"/>
                <w:color w:val="auto"/>
                <w:w w:val="94"/>
              </w:rPr>
              <w:t>Common Stock Offered by the Selling Shareholder</w:t>
            </w:r>
          </w:p>
        </w:tc>
        <w:tc>
          <w:tcPr>
            <w:tcW w:w="6980" w:type="dxa"/>
            <w:vAlign w:val="bottom"/>
          </w:tcPr>
          <w:p>
            <w:pPr>
              <w:ind w:left="180"/>
              <w:spacing w:after="0"/>
              <w:rPr>
                <w:sz w:val="20"/>
                <w:szCs w:val="20"/>
                <w:color w:val="auto"/>
              </w:rPr>
            </w:pPr>
            <w:r>
              <w:rPr>
                <w:rFonts w:ascii="Arial" w:cs="Arial" w:eastAsia="Arial" w:hAnsi="Arial"/>
                <w:sz w:val="18"/>
                <w:szCs w:val="18"/>
                <w:color w:val="auto"/>
              </w:rPr>
              <w:t>17,500,000 shares of Fiserv common stock, par value $0.01 per share.</w:t>
            </w:r>
          </w:p>
        </w:tc>
      </w:tr>
      <w:tr>
        <w:trPr>
          <w:trHeight w:val="458"/>
        </w:trPr>
        <w:tc>
          <w:tcPr>
            <w:tcW w:w="4040" w:type="dxa"/>
            <w:vAlign w:val="bottom"/>
          </w:tcPr>
          <w:p>
            <w:pPr>
              <w:ind w:left="180"/>
              <w:spacing w:after="0"/>
              <w:rPr>
                <w:sz w:val="20"/>
                <w:szCs w:val="20"/>
                <w:color w:val="auto"/>
              </w:rPr>
            </w:pPr>
            <w:r>
              <w:rPr>
                <w:rFonts w:ascii="Arial" w:cs="Arial" w:eastAsia="Arial" w:hAnsi="Arial"/>
                <w:sz w:val="18"/>
                <w:szCs w:val="18"/>
                <w:color w:val="auto"/>
                <w:w w:val="96"/>
              </w:rPr>
              <w:t>Option to Purchase Additional Shares of Common</w:t>
            </w:r>
          </w:p>
        </w:tc>
        <w:tc>
          <w:tcPr>
            <w:tcW w:w="6980" w:type="dxa"/>
            <w:vAlign w:val="bottom"/>
          </w:tcPr>
          <w:p>
            <w:pPr>
              <w:ind w:left="180"/>
              <w:spacing w:after="0"/>
              <w:rPr>
                <w:sz w:val="20"/>
                <w:szCs w:val="20"/>
                <w:color w:val="auto"/>
              </w:rPr>
            </w:pPr>
            <w:r>
              <w:rPr>
                <w:rFonts w:ascii="Arial" w:cs="Arial" w:eastAsia="Arial" w:hAnsi="Arial"/>
                <w:sz w:val="18"/>
                <w:szCs w:val="18"/>
                <w:color w:val="auto"/>
                <w:w w:val="97"/>
              </w:rPr>
              <w:t>The selling shareholder has granted the underwriters an option, exercisable for 30 days</w:t>
            </w:r>
          </w:p>
        </w:tc>
      </w:tr>
      <w:tr>
        <w:trPr>
          <w:trHeight w:val="216"/>
        </w:trPr>
        <w:tc>
          <w:tcPr>
            <w:tcW w:w="4040" w:type="dxa"/>
            <w:vAlign w:val="bottom"/>
          </w:tcPr>
          <w:p>
            <w:pPr>
              <w:ind w:left="260"/>
              <w:spacing w:after="0"/>
              <w:rPr>
                <w:sz w:val="20"/>
                <w:szCs w:val="20"/>
                <w:color w:val="auto"/>
              </w:rPr>
            </w:pPr>
            <w:r>
              <w:rPr>
                <w:rFonts w:ascii="Arial" w:cs="Arial" w:eastAsia="Arial" w:hAnsi="Arial"/>
                <w:sz w:val="18"/>
                <w:szCs w:val="18"/>
                <w:color w:val="auto"/>
              </w:rPr>
              <w:t>Stock from the Selling Shareholder</w:t>
            </w:r>
          </w:p>
        </w:tc>
        <w:tc>
          <w:tcPr>
            <w:tcW w:w="6980" w:type="dxa"/>
            <w:vAlign w:val="bottom"/>
          </w:tcPr>
          <w:p>
            <w:pPr>
              <w:ind w:left="180"/>
              <w:spacing w:after="0"/>
              <w:rPr>
                <w:sz w:val="20"/>
                <w:szCs w:val="20"/>
                <w:color w:val="auto"/>
              </w:rPr>
            </w:pPr>
            <w:r>
              <w:rPr>
                <w:rFonts w:ascii="Arial" w:cs="Arial" w:eastAsia="Arial" w:hAnsi="Arial"/>
                <w:sz w:val="18"/>
                <w:szCs w:val="18"/>
                <w:color w:val="auto"/>
                <w:w w:val="93"/>
              </w:rPr>
              <w:t>after the date of this prospectus supplement, to purchase up to 2,625,000 additional shares</w:t>
            </w:r>
          </w:p>
        </w:tc>
      </w:tr>
      <w:tr>
        <w:trPr>
          <w:trHeight w:val="216"/>
        </w:trPr>
        <w:tc>
          <w:tcPr>
            <w:tcW w:w="404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w w:val="95"/>
              </w:rPr>
              <w:t>of Fiserv common stock, par value $0.01 per share, from the selling shareholder, solely to</w:t>
            </w:r>
          </w:p>
        </w:tc>
      </w:tr>
      <w:tr>
        <w:trPr>
          <w:trHeight w:val="230"/>
        </w:trPr>
        <w:tc>
          <w:tcPr>
            <w:tcW w:w="4040" w:type="dxa"/>
            <w:vAlign w:val="bottom"/>
          </w:tcPr>
          <w:p>
            <w:pPr>
              <w:spacing w:after="0"/>
              <w:rPr>
                <w:sz w:val="20"/>
                <w:szCs w:val="20"/>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cover over-allotments, if any.</w:t>
            </w:r>
          </w:p>
        </w:tc>
      </w:tr>
      <w:tr>
        <w:trPr>
          <w:trHeight w:val="459"/>
        </w:trPr>
        <w:tc>
          <w:tcPr>
            <w:tcW w:w="4040" w:type="dxa"/>
            <w:vAlign w:val="bottom"/>
          </w:tcPr>
          <w:p>
            <w:pPr>
              <w:ind w:left="180"/>
              <w:spacing w:after="0"/>
              <w:rPr>
                <w:sz w:val="20"/>
                <w:szCs w:val="20"/>
                <w:color w:val="auto"/>
              </w:rPr>
            </w:pPr>
            <w:r>
              <w:rPr>
                <w:rFonts w:ascii="Arial" w:cs="Arial" w:eastAsia="Arial" w:hAnsi="Arial"/>
                <w:sz w:val="18"/>
                <w:szCs w:val="18"/>
                <w:color w:val="auto"/>
              </w:rPr>
              <w:t>Common Stock Outstanding</w:t>
            </w:r>
          </w:p>
        </w:tc>
        <w:tc>
          <w:tcPr>
            <w:tcW w:w="6980" w:type="dxa"/>
            <w:vAlign w:val="bottom"/>
          </w:tcPr>
          <w:p>
            <w:pPr>
              <w:ind w:left="180"/>
              <w:spacing w:after="0"/>
              <w:rPr>
                <w:sz w:val="20"/>
                <w:szCs w:val="20"/>
                <w:color w:val="auto"/>
              </w:rPr>
            </w:pPr>
            <w:r>
              <w:rPr>
                <w:rFonts w:ascii="Arial" w:cs="Arial" w:eastAsia="Arial" w:hAnsi="Arial"/>
                <w:sz w:val="18"/>
                <w:szCs w:val="18"/>
                <w:color w:val="auto"/>
              </w:rPr>
              <w:t>670,437,918 shares as of October 23, 2020</w:t>
            </w:r>
          </w:p>
        </w:tc>
      </w:tr>
      <w:tr>
        <w:trPr>
          <w:trHeight w:val="458"/>
        </w:trPr>
        <w:tc>
          <w:tcPr>
            <w:tcW w:w="4040" w:type="dxa"/>
            <w:vAlign w:val="bottom"/>
          </w:tcPr>
          <w:p>
            <w:pPr>
              <w:ind w:left="180"/>
              <w:spacing w:after="0"/>
              <w:rPr>
                <w:sz w:val="20"/>
                <w:szCs w:val="20"/>
                <w:color w:val="auto"/>
              </w:rPr>
            </w:pPr>
            <w:r>
              <w:rPr>
                <w:rFonts w:ascii="Arial" w:cs="Arial" w:eastAsia="Arial" w:hAnsi="Arial"/>
                <w:sz w:val="18"/>
                <w:szCs w:val="18"/>
                <w:color w:val="auto"/>
              </w:rPr>
              <w:t>Listing</w:t>
            </w:r>
          </w:p>
        </w:tc>
        <w:tc>
          <w:tcPr>
            <w:tcW w:w="6980" w:type="dxa"/>
            <w:vAlign w:val="bottom"/>
          </w:tcPr>
          <w:p>
            <w:pPr>
              <w:ind w:left="180"/>
              <w:spacing w:after="0"/>
              <w:rPr>
                <w:sz w:val="20"/>
                <w:szCs w:val="20"/>
                <w:color w:val="auto"/>
              </w:rPr>
            </w:pPr>
            <w:r>
              <w:rPr>
                <w:rFonts w:ascii="Arial" w:cs="Arial" w:eastAsia="Arial" w:hAnsi="Arial"/>
                <w:sz w:val="18"/>
                <w:szCs w:val="18"/>
                <w:color w:val="auto"/>
                <w:w w:val="96"/>
              </w:rPr>
              <w:t>Our common stock is listed on the Nasdaq Global Select Market under the ticker symbol</w:t>
            </w:r>
          </w:p>
        </w:tc>
      </w:tr>
      <w:tr>
        <w:trPr>
          <w:trHeight w:val="230"/>
        </w:trPr>
        <w:tc>
          <w:tcPr>
            <w:tcW w:w="4040" w:type="dxa"/>
            <w:vAlign w:val="bottom"/>
          </w:tcPr>
          <w:p>
            <w:pPr>
              <w:spacing w:after="0"/>
              <w:rPr>
                <w:sz w:val="20"/>
                <w:szCs w:val="20"/>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“FISV.”</w:t>
            </w:r>
          </w:p>
        </w:tc>
      </w:tr>
      <w:tr>
        <w:trPr>
          <w:trHeight w:val="445"/>
        </w:trPr>
        <w:tc>
          <w:tcPr>
            <w:tcW w:w="404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6980" w:type="dxa"/>
            <w:vAlign w:val="bottom"/>
          </w:tcPr>
          <w:p>
            <w:pPr>
              <w:ind w:left="180"/>
              <w:spacing w:after="0"/>
              <w:rPr>
                <w:sz w:val="20"/>
                <w:szCs w:val="20"/>
                <w:color w:val="auto"/>
              </w:rPr>
            </w:pPr>
            <w:r>
              <w:rPr>
                <w:rFonts w:ascii="Arial" w:cs="Arial" w:eastAsia="Arial" w:hAnsi="Arial"/>
                <w:sz w:val="18"/>
                <w:szCs w:val="18"/>
                <w:color w:val="auto"/>
              </w:rPr>
              <w:t>We will not receive any proceeds as a result of the sale of the shares by the selling</w:t>
            </w:r>
          </w:p>
        </w:tc>
      </w:tr>
      <w:tr>
        <w:trPr>
          <w:trHeight w:val="230"/>
        </w:trPr>
        <w:tc>
          <w:tcPr>
            <w:tcW w:w="4040" w:type="dxa"/>
            <w:vAlign w:val="bottom"/>
          </w:tcPr>
          <w:p>
            <w:pPr>
              <w:spacing w:after="0"/>
              <w:rPr>
                <w:sz w:val="20"/>
                <w:szCs w:val="20"/>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shareholder.</w:t>
            </w:r>
          </w:p>
        </w:tc>
      </w:tr>
      <w:tr>
        <w:trPr>
          <w:trHeight w:val="445"/>
        </w:trPr>
        <w:tc>
          <w:tcPr>
            <w:tcW w:w="4040" w:type="dxa"/>
            <w:vAlign w:val="bottom"/>
          </w:tcPr>
          <w:p>
            <w:pPr>
              <w:ind w:left="180"/>
              <w:spacing w:after="0"/>
              <w:rPr>
                <w:sz w:val="20"/>
                <w:szCs w:val="20"/>
                <w:color w:val="auto"/>
              </w:rPr>
            </w:pPr>
            <w:r>
              <w:rPr>
                <w:rFonts w:ascii="Arial" w:cs="Arial" w:eastAsia="Arial" w:hAnsi="Arial"/>
                <w:sz w:val="18"/>
                <w:szCs w:val="18"/>
                <w:color w:val="auto"/>
              </w:rPr>
              <w:t>Share Repurchase</w:t>
            </w:r>
          </w:p>
        </w:tc>
        <w:tc>
          <w:tcPr>
            <w:tcW w:w="6980" w:type="dxa"/>
            <w:vAlign w:val="bottom"/>
          </w:tcPr>
          <w:p>
            <w:pPr>
              <w:ind w:left="180"/>
              <w:spacing w:after="0"/>
              <w:rPr>
                <w:sz w:val="20"/>
                <w:szCs w:val="20"/>
                <w:color w:val="auto"/>
              </w:rPr>
            </w:pPr>
            <w:r>
              <w:rPr>
                <w:rFonts w:ascii="Arial" w:cs="Arial" w:eastAsia="Arial" w:hAnsi="Arial"/>
                <w:sz w:val="18"/>
                <w:szCs w:val="18"/>
                <w:color w:val="auto"/>
              </w:rPr>
              <w:t>Subject to the completion of this offering, we have agreed to repurchase from the</w:t>
            </w:r>
          </w:p>
        </w:tc>
      </w:tr>
      <w:tr>
        <w:trPr>
          <w:trHeight w:val="216"/>
        </w:trPr>
        <w:tc>
          <w:tcPr>
            <w:tcW w:w="404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w w:val="97"/>
              </w:rPr>
              <w:t>underwriters 1,817,520 shares of our common stock that are subject to this offering at a</w:t>
            </w:r>
          </w:p>
        </w:tc>
      </w:tr>
      <w:tr>
        <w:trPr>
          <w:trHeight w:val="216"/>
        </w:trPr>
        <w:tc>
          <w:tcPr>
            <w:tcW w:w="404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w w:val="97"/>
              </w:rPr>
              <w:t>price per share equal to the price per share to be paid by the underwriters to the selling</w:t>
            </w:r>
          </w:p>
        </w:tc>
      </w:tr>
      <w:tr>
        <w:trPr>
          <w:trHeight w:val="230"/>
        </w:trPr>
        <w:tc>
          <w:tcPr>
            <w:tcW w:w="4040" w:type="dxa"/>
            <w:vAlign w:val="bottom"/>
          </w:tcPr>
          <w:p>
            <w:pPr>
              <w:spacing w:after="0"/>
              <w:rPr>
                <w:sz w:val="20"/>
                <w:szCs w:val="20"/>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w w:val="98"/>
              </w:rPr>
              <w:t>shareholder in the offering. We intend to fund the share repurchase with cash on hand.</w:t>
            </w:r>
          </w:p>
        </w:tc>
      </w:tr>
      <w:tr>
        <w:trPr>
          <w:trHeight w:val="445"/>
        </w:trPr>
        <w:tc>
          <w:tcPr>
            <w:tcW w:w="4040" w:type="dxa"/>
            <w:vAlign w:val="bottom"/>
          </w:tcPr>
          <w:p>
            <w:pPr>
              <w:ind w:left="180"/>
              <w:spacing w:after="0"/>
              <w:rPr>
                <w:sz w:val="20"/>
                <w:szCs w:val="20"/>
                <w:color w:val="auto"/>
              </w:rPr>
            </w:pPr>
            <w:r>
              <w:rPr>
                <w:rFonts w:ascii="Arial" w:cs="Arial" w:eastAsia="Arial" w:hAnsi="Arial"/>
                <w:sz w:val="18"/>
                <w:szCs w:val="18"/>
                <w:color w:val="auto"/>
              </w:rPr>
              <w:t>Lock-Up Agreements</w:t>
            </w:r>
          </w:p>
        </w:tc>
        <w:tc>
          <w:tcPr>
            <w:tcW w:w="6980" w:type="dxa"/>
            <w:vAlign w:val="bottom"/>
          </w:tcPr>
          <w:p>
            <w:pPr>
              <w:ind w:left="180"/>
              <w:spacing w:after="0"/>
              <w:rPr>
                <w:sz w:val="20"/>
                <w:szCs w:val="20"/>
                <w:color w:val="auto"/>
              </w:rPr>
            </w:pPr>
            <w:r>
              <w:rPr>
                <w:rFonts w:ascii="Arial" w:cs="Arial" w:eastAsia="Arial" w:hAnsi="Arial"/>
                <w:sz w:val="18"/>
                <w:szCs w:val="18"/>
                <w:color w:val="auto"/>
                <w:w w:val="96"/>
              </w:rPr>
              <w:t>In connection with this offering, we and the selling shareholder will agree that, subject to</w:t>
            </w:r>
          </w:p>
        </w:tc>
      </w:tr>
      <w:tr>
        <w:trPr>
          <w:trHeight w:val="216"/>
        </w:trPr>
        <w:tc>
          <w:tcPr>
            <w:tcW w:w="404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w w:val="93"/>
              </w:rPr>
              <w:t>certain exceptions, the disposition of, or hedging with respect to, the shares of our common</w:t>
            </w:r>
          </w:p>
        </w:tc>
      </w:tr>
      <w:tr>
        <w:trPr>
          <w:trHeight w:val="216"/>
        </w:trPr>
        <w:tc>
          <w:tcPr>
            <w:tcW w:w="404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w w:val="94"/>
              </w:rPr>
              <w:t>stock or securities convertible into or exchangeable for shares of our common stock, by us</w:t>
            </w:r>
          </w:p>
        </w:tc>
      </w:tr>
      <w:tr>
        <w:trPr>
          <w:trHeight w:val="216"/>
        </w:trPr>
        <w:tc>
          <w:tcPr>
            <w:tcW w:w="404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w w:val="97"/>
              </w:rPr>
              <w:t>and the selling shareholder, will be restricted during the period ending 30 days after the</w:t>
            </w:r>
          </w:p>
        </w:tc>
      </w:tr>
      <w:tr>
        <w:trPr>
          <w:trHeight w:val="216"/>
        </w:trPr>
        <w:tc>
          <w:tcPr>
            <w:tcW w:w="404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date of this prospectus supplement, except with the prior written consent of the</w:t>
            </w:r>
          </w:p>
        </w:tc>
      </w:tr>
      <w:tr>
        <w:trPr>
          <w:trHeight w:val="230"/>
        </w:trPr>
        <w:tc>
          <w:tcPr>
            <w:tcW w:w="4040" w:type="dxa"/>
            <w:vAlign w:val="bottom"/>
          </w:tcPr>
          <w:p>
            <w:pPr>
              <w:spacing w:after="0"/>
              <w:rPr>
                <w:sz w:val="20"/>
                <w:szCs w:val="20"/>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underwriters. See “Underwriting” for a description of these lock-up agreements.</w:t>
            </w:r>
          </w:p>
        </w:tc>
      </w:tr>
      <w:tr>
        <w:trPr>
          <w:trHeight w:val="445"/>
        </w:trPr>
        <w:tc>
          <w:tcPr>
            <w:tcW w:w="4040" w:type="dxa"/>
            <w:vAlign w:val="bottom"/>
          </w:tcPr>
          <w:p>
            <w:pPr>
              <w:ind w:left="180"/>
              <w:spacing w:after="0"/>
              <w:rPr>
                <w:sz w:val="20"/>
                <w:szCs w:val="20"/>
                <w:color w:val="auto"/>
              </w:rPr>
            </w:pPr>
            <w:r>
              <w:rPr>
                <w:rFonts w:ascii="Arial" w:cs="Arial" w:eastAsia="Arial" w:hAnsi="Arial"/>
                <w:sz w:val="18"/>
                <w:szCs w:val="18"/>
                <w:color w:val="auto"/>
              </w:rPr>
              <w:t>Dividends</w:t>
            </w:r>
          </w:p>
        </w:tc>
        <w:tc>
          <w:tcPr>
            <w:tcW w:w="6980" w:type="dxa"/>
            <w:vAlign w:val="bottom"/>
          </w:tcPr>
          <w:p>
            <w:pPr>
              <w:ind w:left="180"/>
              <w:spacing w:after="0"/>
              <w:rPr>
                <w:sz w:val="20"/>
                <w:szCs w:val="20"/>
                <w:color w:val="auto"/>
              </w:rPr>
            </w:pPr>
            <w:r>
              <w:rPr>
                <w:rFonts w:ascii="Arial" w:cs="Arial" w:eastAsia="Arial" w:hAnsi="Arial"/>
                <w:sz w:val="18"/>
                <w:szCs w:val="18"/>
                <w:color w:val="auto"/>
              </w:rPr>
              <w:t>Subject to the prior rights of the holders of any shares of our preferred stock that are</w:t>
            </w:r>
          </w:p>
        </w:tc>
      </w:tr>
      <w:tr>
        <w:trPr>
          <w:trHeight w:val="216"/>
        </w:trPr>
        <w:tc>
          <w:tcPr>
            <w:tcW w:w="404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w w:val="95"/>
              </w:rPr>
              <w:t>outstanding, our board of directors may at its discretion declare and pay dividends on our</w:t>
            </w:r>
          </w:p>
        </w:tc>
      </w:tr>
      <w:tr>
        <w:trPr>
          <w:trHeight w:val="230"/>
        </w:trPr>
        <w:tc>
          <w:tcPr>
            <w:tcW w:w="4040" w:type="dxa"/>
            <w:vAlign w:val="bottom"/>
          </w:tcPr>
          <w:p>
            <w:pPr>
              <w:spacing w:after="0"/>
              <w:rPr>
                <w:sz w:val="20"/>
                <w:szCs w:val="20"/>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w w:val="94"/>
              </w:rPr>
              <w:t>common stock out of our earnings or assets legally available for the payment of dividends.</w:t>
            </w:r>
          </w:p>
        </w:tc>
      </w:tr>
      <w:tr>
        <w:trPr>
          <w:trHeight w:val="240"/>
        </w:trPr>
        <w:tc>
          <w:tcPr>
            <w:tcW w:w="4040" w:type="dxa"/>
            <w:vAlign w:val="bottom"/>
            <w:tcBorders>
              <w:bottom w:val="single" w:sz="8" w:color="auto"/>
            </w:tcBorders>
          </w:tcPr>
          <w:p>
            <w:pPr>
              <w:spacing w:after="0"/>
              <w:rPr>
                <w:sz w:val="20"/>
                <w:szCs w:val="20"/>
                <w:color w:val="auto"/>
              </w:rPr>
            </w:pPr>
          </w:p>
        </w:tc>
        <w:tc>
          <w:tcPr>
            <w:tcW w:w="6980" w:type="dxa"/>
            <w:vAlign w:val="bottom"/>
            <w:tcBorders>
              <w:bottom w:val="single" w:sz="8" w:color="auto"/>
            </w:tcBorders>
          </w:tcPr>
          <w:p>
            <w:pPr>
              <w:spacing w:after="0"/>
              <w:rPr>
                <w:sz w:val="20"/>
                <w:szCs w:val="20"/>
                <w:color w:val="auto"/>
              </w:rPr>
            </w:pPr>
          </w:p>
        </w:tc>
      </w:tr>
      <w:tr>
        <w:trPr>
          <w:trHeight w:val="604"/>
        </w:trPr>
        <w:tc>
          <w:tcPr>
            <w:tcW w:w="4040" w:type="dxa"/>
            <w:vAlign w:val="bottom"/>
          </w:tcPr>
          <w:p>
            <w:pPr>
              <w:spacing w:after="0"/>
              <w:rPr>
                <w:sz w:val="24"/>
                <w:szCs w:val="24"/>
                <w:color w:val="auto"/>
              </w:rPr>
            </w:pPr>
          </w:p>
        </w:tc>
        <w:tc>
          <w:tcPr>
            <w:tcW w:w="6980" w:type="dxa"/>
            <w:vAlign w:val="bottom"/>
          </w:tcPr>
          <w:p>
            <w:pPr>
              <w:ind w:left="134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3904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9">
                      <a:extLst>
                        <a:ext uri="{28A0092B-C50C-407E-A947-70E740481C1C}"/>
                      </a:extLst>
                    </a:blip>
                    <a:srcRect/>
                    <a:stretch>
                      <a:fillRect/>
                    </a:stretch>
                  </pic:blipFill>
                  <pic:spPr bwMode="auto">
                    <a:xfrm>
                      <a:off x="0" y="0"/>
                      <a:ext cx="6998970" cy="3904615"/>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Investment in our common stock involves risks. You should carefully consider the information set forth in the section of this prospectus supplement entitled “Risk Factors” on page S-7, as well as other information included in or incorporated by reference into this prospectus supplement and the accompanying prospectus, before deciding whether to invest in our common stock.</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1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Conflicts of Interest</w:t>
      </w:r>
    </w:p>
    <w:p>
      <w:pPr>
        <w:spacing w:after="0" w:line="20" w:lineRule="exact"/>
        <w:rPr>
          <w:sz w:val="20"/>
          <w:szCs w:val="20"/>
          <w:color w:val="auto"/>
        </w:rPr>
      </w:pPr>
      <w:r>
        <w:rPr>
          <w:sz w:val="20"/>
          <w:szCs w:val="20"/>
          <w:color w:val="auto"/>
        </w:rPr>
        <w:br w:type="column"/>
      </w:r>
    </w:p>
    <w:p>
      <w:pPr>
        <w:ind w:right="40"/>
        <w:spacing w:after="0" w:line="287" w:lineRule="auto"/>
        <w:rPr>
          <w:sz w:val="20"/>
          <w:szCs w:val="20"/>
          <w:color w:val="auto"/>
        </w:rPr>
      </w:pPr>
      <w:r>
        <w:rPr>
          <w:rFonts w:ascii="Arial" w:cs="Arial" w:eastAsia="Arial" w:hAnsi="Arial"/>
          <w:sz w:val="16"/>
          <w:szCs w:val="16"/>
          <w:color w:val="auto"/>
        </w:rPr>
        <w:t>Affiliates of Kohlberg Kravis Roberts &amp; Co. L.P., or KKR, beneficially own (through investment in New Omaha) in excess of 10% of our issued and outstanding common stock. Because KKR Capital Markets LLC, an affiliate of KKR, is an underwriter in this offering and its affiliates beneficially own in excess of 10% of our issued and outstanding common stock, KKR Capital Markets LLC is deemed to have a “conflict of interest” under FINRA Rule 5121, or Rule 5121, of the Financial Industry Regulatory Authority, Inc., or FINRA. In addition, affiliates of KKR Capital Markets LLC hold limited partnership interests in New Omaha Holdings L.P., the selling shareholder in this offering, and therefore KKR Capital Markets LLC would also be deemed to have a “conflict of interest” under Rule 5121 because such affiliates of KKR Capital Markets LLC are receiving in the aggregate more than 5% of the net offering proceeds from this offering. Because of these relationships, the offering will be conducted in accordance with Rule 5121.</w:t>
      </w:r>
    </w:p>
    <w:p>
      <w:pPr>
        <w:spacing w:after="0" w:line="195"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4340" w:right="20"/>
        <w:spacing w:after="0" w:line="255" w:lineRule="auto"/>
        <w:rPr>
          <w:sz w:val="20"/>
          <w:szCs w:val="20"/>
          <w:color w:val="auto"/>
        </w:rPr>
      </w:pPr>
      <w:r>
        <w:rPr>
          <w:rFonts w:ascii="Arial" w:cs="Arial" w:eastAsia="Arial" w:hAnsi="Arial"/>
          <w:sz w:val="18"/>
          <w:szCs w:val="18"/>
          <w:color w:val="auto"/>
        </w:rPr>
        <w:t>Pursuant to that rule, the appointment of a “qualified independent underwriter” is not required in connection with this offering because a bona fide public market exists in the shares, as that term is defined in the rule. To comply with Rule 5121, KKR Capital Markets LLC will not confirm sales of the securities to any account over which it exercises discretionary authority without the specific written approval of the account holder. See “Underwriting (Conflicts of Interest).”</w:t>
      </w:r>
    </w:p>
    <w:p>
      <w:pPr>
        <w:sectPr>
          <w:pgSz w:w="11900" w:h="16838" w:orient="portrait"/>
          <w:cols w:equalWidth="0" w:num="1">
            <w:col w:w="10940"/>
          </w:cols>
          <w:pgMar w:left="320" w:top="459"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S-6</w:t>
      </w:r>
    </w:p>
    <w:p>
      <w:pPr>
        <w:sectPr>
          <w:pgSz w:w="11900" w:h="16838" w:orient="portrait"/>
          <w:cols w:equalWidth="0" w:num="1">
            <w:col w:w="10940"/>
          </w:cols>
          <w:pgMar w:left="320" w:top="459" w:right="6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33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1">
                      <a:extLst>
                        <a:ext uri="{28A0092B-C50C-407E-A947-70E740481C1C}"/>
                      </a:extLst>
                    </a:blip>
                    <a:srcRect/>
                    <a:stretch>
                      <a:fillRect/>
                    </a:stretch>
                  </pic:blipFill>
                  <pic:spPr bwMode="auto">
                    <a:xfrm>
                      <a:off x="0" y="0"/>
                      <a:ext cx="6998970" cy="52330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Fiserv Consolidated Financial Information</w:t>
      </w:r>
    </w:p>
    <w:p>
      <w:pPr>
        <w:spacing w:after="0" w:line="229"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 xml:space="preserve">The summary consolidated financial information below was derived from our consolidated financial statements. The information set forth below is qualified in its entirety by, and should be read in conjunction with, our “Management’s Discussion and Analysis of Financial Condition and Results of Operations” and our consolidated financial statements and related notes incorporated by reference into this prospectus supplement and the accompanying prospectus. The financial results presented below have been affected by the First Data and other acquisitions, dispositions, transactional gains recorded by our unconsolidated affiliates, debt financing activities, foreign currency fluctuations, and by the Tax Cuts and Jobs Act enacted in December 2017. In addition, effective January 1, 2018, we adopted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its related amendments using the modified retrospective transition approach applied to all contracts. Under this transition approach, prior period amounts have not been restated.</w:t>
      </w:r>
    </w:p>
    <w:p>
      <w:pPr>
        <w:spacing w:after="0" w:line="19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360" w:type="dxa"/>
            <w:vAlign w:val="bottom"/>
          </w:tcPr>
          <w:p>
            <w:pPr>
              <w:spacing w:after="0"/>
              <w:rPr>
                <w:sz w:val="14"/>
                <w:szCs w:val="14"/>
                <w:color w:val="auto"/>
              </w:rPr>
            </w:pPr>
          </w:p>
        </w:tc>
        <w:tc>
          <w:tcPr>
            <w:tcW w:w="254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360" w:type="dxa"/>
            <w:vAlign w:val="bottom"/>
          </w:tcPr>
          <w:p>
            <w:pPr>
              <w:spacing w:after="0"/>
              <w:rPr>
                <w:sz w:val="14"/>
                <w:szCs w:val="14"/>
                <w:color w:val="auto"/>
              </w:rPr>
            </w:pPr>
          </w:p>
        </w:tc>
        <w:tc>
          <w:tcPr>
            <w:tcW w:w="25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7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0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(audited)</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1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Total revenue</w:t>
            </w:r>
          </w:p>
        </w:tc>
        <w:tc>
          <w:tcPr>
            <w:tcW w:w="1780" w:type="dxa"/>
            <w:vAlign w:val="bottom"/>
            <w:gridSpan w:val="2"/>
          </w:tcPr>
          <w:p>
            <w:pPr>
              <w:jc w:val="right"/>
              <w:ind w:right="104"/>
              <w:spacing w:after="0"/>
              <w:rPr>
                <w:sz w:val="20"/>
                <w:szCs w:val="20"/>
                <w:color w:val="auto"/>
              </w:rPr>
            </w:pPr>
            <w:r>
              <w:rPr>
                <w:rFonts w:ascii="Arial" w:cs="Arial" w:eastAsia="Arial" w:hAnsi="Arial"/>
                <w:sz w:val="18"/>
                <w:szCs w:val="18"/>
                <w:color w:val="auto"/>
              </w:rPr>
              <w:t>$11,020</w:t>
            </w:r>
          </w:p>
        </w:tc>
        <w:tc>
          <w:tcPr>
            <w:tcW w:w="760" w:type="dxa"/>
            <w:vAlign w:val="bottom"/>
          </w:tcPr>
          <w:p>
            <w:pPr>
              <w:jc w:val="right"/>
              <w:spacing w:after="0"/>
              <w:rPr>
                <w:sz w:val="20"/>
                <w:szCs w:val="20"/>
                <w:color w:val="auto"/>
              </w:rPr>
            </w:pPr>
            <w:r>
              <w:rPr>
                <w:rFonts w:ascii="Arial" w:cs="Arial" w:eastAsia="Arial" w:hAnsi="Arial"/>
                <w:sz w:val="18"/>
                <w:szCs w:val="18"/>
                <w:color w:val="auto"/>
              </w:rPr>
              <w:t>$ 6,142</w:t>
            </w:r>
          </w:p>
        </w:tc>
        <w:tc>
          <w:tcPr>
            <w:tcW w:w="1140" w:type="dxa"/>
            <w:vAlign w:val="bottom"/>
            <w:gridSpan w:val="2"/>
          </w:tcPr>
          <w:p>
            <w:pPr>
              <w:jc w:val="right"/>
              <w:ind w:right="102"/>
              <w:spacing w:after="0"/>
              <w:rPr>
                <w:sz w:val="20"/>
                <w:szCs w:val="20"/>
                <w:color w:val="auto"/>
              </w:rPr>
            </w:pPr>
            <w:r>
              <w:rPr>
                <w:rFonts w:ascii="Arial" w:cs="Arial" w:eastAsia="Arial" w:hAnsi="Arial"/>
                <w:sz w:val="18"/>
                <w:szCs w:val="18"/>
                <w:color w:val="auto"/>
              </w:rPr>
              <w:t>$10,187</w:t>
            </w:r>
          </w:p>
        </w:tc>
        <w:tc>
          <w:tcPr>
            <w:tcW w:w="940" w:type="dxa"/>
            <w:vAlign w:val="bottom"/>
          </w:tcPr>
          <w:p>
            <w:pPr>
              <w:jc w:val="right"/>
              <w:ind w:right="95"/>
              <w:spacing w:after="0"/>
              <w:rPr>
                <w:sz w:val="20"/>
                <w:szCs w:val="20"/>
                <w:color w:val="auto"/>
              </w:rPr>
            </w:pPr>
            <w:r>
              <w:rPr>
                <w:rFonts w:ascii="Arial" w:cs="Arial" w:eastAsia="Arial" w:hAnsi="Arial"/>
                <w:sz w:val="18"/>
                <w:szCs w:val="18"/>
                <w:color w:val="auto"/>
              </w:rPr>
              <w:t>$ 5,823</w:t>
            </w:r>
          </w:p>
        </w:tc>
        <w:tc>
          <w:tcPr>
            <w:tcW w:w="760" w:type="dxa"/>
            <w:vAlign w:val="bottom"/>
          </w:tcPr>
          <w:p>
            <w:pPr>
              <w:jc w:val="right"/>
              <w:spacing w:after="0"/>
              <w:rPr>
                <w:sz w:val="20"/>
                <w:szCs w:val="20"/>
                <w:color w:val="auto"/>
              </w:rPr>
            </w:pPr>
            <w:r>
              <w:rPr>
                <w:rFonts w:ascii="Arial" w:cs="Arial" w:eastAsia="Arial" w:hAnsi="Arial"/>
                <w:sz w:val="18"/>
                <w:szCs w:val="18"/>
                <w:color w:val="auto"/>
              </w:rPr>
              <w:t>$ 5,696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7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1,336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1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1,609</w:t>
            </w: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1,753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780" w:type="dxa"/>
            <w:vAlign w:val="bottom"/>
            <w:gridSpan w:val="2"/>
          </w:tcPr>
          <w:p>
            <w:pPr>
              <w:jc w:val="right"/>
              <w:ind w:right="104"/>
              <w:spacing w:after="0"/>
              <w:rPr>
                <w:sz w:val="20"/>
                <w:szCs w:val="20"/>
                <w:color w:val="auto"/>
              </w:rPr>
            </w:pPr>
            <w:r>
              <w:rPr>
                <w:rFonts w:ascii="Arial" w:cs="Arial" w:eastAsia="Arial" w:hAnsi="Arial"/>
                <w:sz w:val="18"/>
                <w:szCs w:val="18"/>
                <w:color w:val="auto"/>
              </w:rPr>
              <w:t>662</w:t>
            </w:r>
          </w:p>
        </w:tc>
        <w:tc>
          <w:tcPr>
            <w:tcW w:w="760" w:type="dxa"/>
            <w:vAlign w:val="bottom"/>
          </w:tcPr>
          <w:p>
            <w:pPr>
              <w:jc w:val="right"/>
              <w:spacing w:after="0"/>
              <w:rPr>
                <w:sz w:val="20"/>
                <w:szCs w:val="20"/>
                <w:color w:val="auto"/>
              </w:rPr>
            </w:pPr>
            <w:r>
              <w:rPr>
                <w:rFonts w:ascii="Arial" w:cs="Arial" w:eastAsia="Arial" w:hAnsi="Arial"/>
                <w:sz w:val="18"/>
                <w:szCs w:val="18"/>
                <w:color w:val="auto"/>
              </w:rPr>
              <w:t>673</w:t>
            </w:r>
          </w:p>
        </w:tc>
        <w:tc>
          <w:tcPr>
            <w:tcW w:w="1140" w:type="dxa"/>
            <w:vAlign w:val="bottom"/>
            <w:gridSpan w:val="2"/>
          </w:tcPr>
          <w:p>
            <w:pPr>
              <w:jc w:val="right"/>
              <w:ind w:right="102"/>
              <w:spacing w:after="0"/>
              <w:rPr>
                <w:sz w:val="20"/>
                <w:szCs w:val="20"/>
                <w:color w:val="auto"/>
              </w:rPr>
            </w:pPr>
            <w:r>
              <w:rPr>
                <w:rFonts w:ascii="Arial" w:cs="Arial" w:eastAsia="Arial" w:hAnsi="Arial"/>
                <w:sz w:val="18"/>
                <w:szCs w:val="18"/>
                <w:color w:val="auto"/>
              </w:rPr>
              <w:t>914</w:t>
            </w:r>
          </w:p>
        </w:tc>
        <w:tc>
          <w:tcPr>
            <w:tcW w:w="940" w:type="dxa"/>
            <w:vAlign w:val="bottom"/>
          </w:tcPr>
          <w:p>
            <w:pPr>
              <w:jc w:val="right"/>
              <w:ind w:right="95"/>
              <w:spacing w:after="0"/>
              <w:rPr>
                <w:sz w:val="20"/>
                <w:szCs w:val="20"/>
                <w:color w:val="auto"/>
              </w:rPr>
            </w:pPr>
            <w:r>
              <w:rPr>
                <w:rFonts w:ascii="Arial" w:cs="Arial" w:eastAsia="Arial" w:hAnsi="Arial"/>
                <w:sz w:val="18"/>
                <w:szCs w:val="18"/>
                <w:color w:val="auto"/>
              </w:rPr>
              <w:t>1,187</w:t>
            </w:r>
          </w:p>
        </w:tc>
        <w:tc>
          <w:tcPr>
            <w:tcW w:w="760" w:type="dxa"/>
            <w:vAlign w:val="bottom"/>
          </w:tcPr>
          <w:p>
            <w:pPr>
              <w:jc w:val="right"/>
              <w:spacing w:after="0"/>
              <w:rPr>
                <w:sz w:val="20"/>
                <w:szCs w:val="20"/>
                <w:color w:val="auto"/>
              </w:rPr>
            </w:pPr>
            <w:r>
              <w:rPr>
                <w:rFonts w:ascii="Arial" w:cs="Arial" w:eastAsia="Arial" w:hAnsi="Arial"/>
                <w:sz w:val="18"/>
                <w:szCs w:val="18"/>
                <w:color w:val="auto"/>
              </w:rPr>
              <w:t>1,232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10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04"/>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Net income attributable to Fiserv, Inc.</w:t>
            </w:r>
          </w:p>
        </w:tc>
        <w:tc>
          <w:tcPr>
            <w:tcW w:w="1780" w:type="dxa"/>
            <w:vAlign w:val="bottom"/>
            <w:gridSpan w:val="2"/>
          </w:tcPr>
          <w:p>
            <w:pPr>
              <w:jc w:val="right"/>
              <w:ind w:right="104"/>
              <w:spacing w:after="0"/>
              <w:rPr>
                <w:sz w:val="20"/>
                <w:szCs w:val="20"/>
                <w:color w:val="auto"/>
              </w:rPr>
            </w:pPr>
            <w:r>
              <w:rPr>
                <w:rFonts w:ascii="Arial" w:cs="Arial" w:eastAsia="Arial" w:hAnsi="Arial"/>
                <w:sz w:val="18"/>
                <w:szCs w:val="18"/>
                <w:color w:val="auto"/>
              </w:rPr>
              <w:t>658</w:t>
            </w:r>
          </w:p>
        </w:tc>
        <w:tc>
          <w:tcPr>
            <w:tcW w:w="760" w:type="dxa"/>
            <w:vAlign w:val="bottom"/>
          </w:tcPr>
          <w:p>
            <w:pPr>
              <w:jc w:val="right"/>
              <w:spacing w:after="0"/>
              <w:rPr>
                <w:sz w:val="20"/>
                <w:szCs w:val="20"/>
                <w:color w:val="auto"/>
              </w:rPr>
            </w:pPr>
            <w:r>
              <w:rPr>
                <w:rFonts w:ascii="Arial" w:cs="Arial" w:eastAsia="Arial" w:hAnsi="Arial"/>
                <w:sz w:val="18"/>
                <w:szCs w:val="18"/>
                <w:color w:val="auto"/>
              </w:rPr>
              <w:t>646</w:t>
            </w:r>
          </w:p>
        </w:tc>
        <w:tc>
          <w:tcPr>
            <w:tcW w:w="1140" w:type="dxa"/>
            <w:vAlign w:val="bottom"/>
            <w:gridSpan w:val="2"/>
          </w:tcPr>
          <w:p>
            <w:pPr>
              <w:jc w:val="right"/>
              <w:ind w:right="102"/>
              <w:spacing w:after="0"/>
              <w:rPr>
                <w:sz w:val="20"/>
                <w:szCs w:val="20"/>
                <w:color w:val="auto"/>
              </w:rPr>
            </w:pPr>
            <w:r>
              <w:rPr>
                <w:rFonts w:ascii="Arial" w:cs="Arial" w:eastAsia="Arial" w:hAnsi="Arial"/>
                <w:sz w:val="18"/>
                <w:szCs w:val="18"/>
                <w:color w:val="auto"/>
              </w:rPr>
              <w:t>893</w:t>
            </w:r>
          </w:p>
        </w:tc>
        <w:tc>
          <w:tcPr>
            <w:tcW w:w="940" w:type="dxa"/>
            <w:vAlign w:val="bottom"/>
          </w:tcPr>
          <w:p>
            <w:pPr>
              <w:jc w:val="right"/>
              <w:ind w:right="95"/>
              <w:spacing w:after="0"/>
              <w:rPr>
                <w:sz w:val="20"/>
                <w:szCs w:val="20"/>
                <w:color w:val="auto"/>
              </w:rPr>
            </w:pPr>
            <w:r>
              <w:rPr>
                <w:rFonts w:ascii="Arial" w:cs="Arial" w:eastAsia="Arial" w:hAnsi="Arial"/>
                <w:sz w:val="18"/>
                <w:szCs w:val="18"/>
                <w:color w:val="auto"/>
              </w:rPr>
              <w:t>1,187</w:t>
            </w:r>
          </w:p>
        </w:tc>
        <w:tc>
          <w:tcPr>
            <w:tcW w:w="760" w:type="dxa"/>
            <w:vAlign w:val="bottom"/>
          </w:tcPr>
          <w:p>
            <w:pPr>
              <w:jc w:val="right"/>
              <w:spacing w:after="0"/>
              <w:rPr>
                <w:sz w:val="20"/>
                <w:szCs w:val="20"/>
                <w:color w:val="auto"/>
              </w:rPr>
            </w:pPr>
            <w:r>
              <w:rPr>
                <w:rFonts w:ascii="Arial" w:cs="Arial" w:eastAsia="Arial" w:hAnsi="Arial"/>
                <w:sz w:val="18"/>
                <w:szCs w:val="18"/>
                <w:color w:val="auto"/>
              </w:rPr>
              <w:t>1,246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720" w:right="260" w:hanging="422"/>
        <w:spacing w:after="0" w:line="286" w:lineRule="auto"/>
        <w:tabs>
          <w:tab w:leader="none" w:pos="720" w:val="left"/>
        </w:tabs>
        <w:numPr>
          <w:ilvl w:val="0"/>
          <w:numId w:val="6"/>
        </w:numPr>
        <w:rPr>
          <w:rFonts w:ascii="Arial" w:cs="Arial" w:eastAsia="Arial" w:hAnsi="Arial"/>
          <w:sz w:val="14"/>
          <w:szCs w:val="14"/>
          <w:color w:val="auto"/>
        </w:rPr>
      </w:pPr>
      <w:r>
        <w:rPr>
          <w:rFonts w:ascii="Arial" w:cs="Arial" w:eastAsia="Arial" w:hAnsi="Arial"/>
          <w:sz w:val="17"/>
          <w:szCs w:val="17"/>
          <w:color w:val="auto"/>
        </w:rPr>
        <w:t>The unaudited interim period financial information for the nine months ended September 30, 2020 and 2019, in our opinion, includes all adjustments, which are normal and recurring in nature, necessary for a fair presentation for the periods shown. Results for the nine months ended September 30, 2020 are not necessarily indicative of results to be expected for the full fiscal year.</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As of September 30,</w:t>
            </w:r>
          </w:p>
        </w:tc>
        <w:tc>
          <w:tcPr>
            <w:tcW w:w="760" w:type="dxa"/>
            <w:vAlign w:val="bottom"/>
          </w:tcPr>
          <w:p>
            <w:pPr>
              <w:spacing w:after="0"/>
              <w:rPr>
                <w:sz w:val="14"/>
                <w:szCs w:val="14"/>
                <w:color w:val="auto"/>
              </w:rPr>
            </w:pPr>
          </w:p>
        </w:tc>
        <w:tc>
          <w:tcPr>
            <w:tcW w:w="2000" w:type="dxa"/>
            <w:vAlign w:val="bottom"/>
            <w:gridSpan w:val="3"/>
          </w:tcPr>
          <w:p>
            <w:pPr>
              <w:ind w:left="3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9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96"/>
              <w:spacing w:after="0" w:line="142" w:lineRule="exact"/>
              <w:rPr>
                <w:sz w:val="20"/>
                <w:szCs w:val="20"/>
                <w:color w:val="auto"/>
              </w:rPr>
            </w:pPr>
            <w:r>
              <w:rPr>
                <w:rFonts w:ascii="Arial" w:cs="Arial" w:eastAsia="Arial" w:hAnsi="Arial"/>
                <w:sz w:val="14"/>
                <w:szCs w:val="14"/>
                <w:b w:val="1"/>
                <w:bCs w:val="1"/>
                <w:color w:val="auto"/>
                <w:w w:val="89"/>
              </w:rPr>
              <w:t>2020</w:t>
            </w:r>
          </w:p>
        </w:tc>
        <w:tc>
          <w:tcPr>
            <w:tcW w:w="7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2019</w:t>
            </w:r>
          </w:p>
        </w:tc>
        <w:tc>
          <w:tcPr>
            <w:tcW w:w="130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80" w:type="dxa"/>
            <w:vAlign w:val="bottom"/>
            <w:vMerge w:val="continue"/>
          </w:tcPr>
          <w:p>
            <w:pPr>
              <w:spacing w:after="0"/>
              <w:rPr>
                <w:sz w:val="12"/>
                <w:szCs w:val="12"/>
                <w:color w:val="auto"/>
              </w:rPr>
            </w:pPr>
          </w:p>
        </w:tc>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96"/>
              <w:spacing w:after="0" w:line="142" w:lineRule="exact"/>
              <w:rPr>
                <w:sz w:val="20"/>
                <w:szCs w:val="20"/>
                <w:color w:val="auto"/>
              </w:rPr>
            </w:pPr>
            <w:r>
              <w:rPr>
                <w:rFonts w:ascii="Arial" w:cs="Arial" w:eastAsia="Arial" w:hAnsi="Arial"/>
                <w:sz w:val="14"/>
                <w:szCs w:val="14"/>
                <w:b w:val="1"/>
                <w:bCs w:val="1"/>
                <w:color w:val="auto"/>
                <w:w w:val="94"/>
              </w:rPr>
              <w:t>(unaudited)</w:t>
            </w: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00" w:type="dxa"/>
            <w:vAlign w:val="bottom"/>
          </w:tcPr>
          <w:p>
            <w:pPr>
              <w:jc w:val="right"/>
              <w:ind w:right="616"/>
              <w:spacing w:after="0" w:line="142" w:lineRule="exact"/>
              <w:rPr>
                <w:sz w:val="20"/>
                <w:szCs w:val="20"/>
                <w:color w:val="auto"/>
              </w:rPr>
            </w:pPr>
            <w:r>
              <w:rPr>
                <w:rFonts w:ascii="Arial" w:cs="Arial" w:eastAsia="Arial" w:hAnsi="Arial"/>
                <w:sz w:val="14"/>
                <w:szCs w:val="14"/>
                <w:b w:val="1"/>
                <w:bCs w:val="1"/>
                <w:color w:val="auto"/>
                <w:w w:val="98"/>
              </w:rPr>
              <w:t>(audited)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1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   893</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   415</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77,539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Total debt</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21,259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21,899</w:t>
            </w:r>
          </w:p>
        </w:tc>
        <w:tc>
          <w:tcPr>
            <w:tcW w:w="1300" w:type="dxa"/>
            <w:vAlign w:val="bottom"/>
          </w:tcPr>
          <w:p>
            <w:pPr>
              <w:jc w:val="right"/>
              <w:spacing w:after="0"/>
              <w:rPr>
                <w:sz w:val="20"/>
                <w:szCs w:val="20"/>
                <w:color w:val="auto"/>
              </w:rPr>
            </w:pPr>
            <w:r>
              <w:rPr>
                <w:rFonts w:ascii="Arial" w:cs="Arial" w:eastAsia="Arial" w:hAnsi="Arial"/>
                <w:sz w:val="18"/>
                <w:szCs w:val="18"/>
                <w:color w:val="auto"/>
              </w:rPr>
              <w:t>5,959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Fiserv, Inc. shareholders’ equity</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32,979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720" w:right="80" w:hanging="422"/>
        <w:spacing w:after="0" w:line="263" w:lineRule="auto"/>
        <w:tabs>
          <w:tab w:leader="none" w:pos="720" w:val="left"/>
        </w:tabs>
        <w:numPr>
          <w:ilvl w:val="0"/>
          <w:numId w:val="7"/>
        </w:numPr>
        <w:rPr>
          <w:rFonts w:ascii="Arial" w:cs="Arial" w:eastAsia="Arial" w:hAnsi="Arial"/>
          <w:sz w:val="15"/>
          <w:szCs w:val="15"/>
          <w:color w:val="auto"/>
        </w:rPr>
      </w:pPr>
      <w:r>
        <w:rPr>
          <w:rFonts w:ascii="Arial" w:cs="Arial" w:eastAsia="Arial" w:hAnsi="Arial"/>
          <w:sz w:val="18"/>
          <w:szCs w:val="18"/>
          <w:color w:val="auto"/>
        </w:rPr>
        <w:t>The unaudited interim period financial information as of September 30, 2020, in our opinion, includes all adjustments, which are normal and recurring in nature, necessary for a fair presentation for the period shown. Amounts as of September 30, 2020 are not necessarily indicative of amounts to be expected at the end of the fiscal year.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i w:val="1"/>
          <w:iCs w:val="1"/>
          <w:color w:val="auto"/>
        </w:rPr>
        <w:t>Investing in our common stock involves risks. Before investing, you should carefully consider the factors set forth below and the information included elsewhere in this prospectus supplement, the accompanying prospectus and the risk factors discussed in our most recent Annual Report on Form 10-K and our most recent Quarterly Report on Form 10-Q and the other documents we file with the SEC that are incorporated by reference herein and therein. See “Where You Can Find More Information” in this prospectus supplement and the accompanying prospectus. We also urge you to consider carefully the factors set forth under the heading “Forward-Looking Statements” in this prospectus supplement.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Fiserv’s Business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See “Risk Factors” in our Annual Report on Form 10-K for the year ended December 31, 2019 and our Quarterly Report on Form 10-Q for the fiscal quarter ended September 30, 2020, for a discussion of certain risks related to Fiserv’s business, including with respect to the COVID-19 pandemic. See “Where You Can Find More Information.”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Future Sales Shares of Common Stock by New Omaha</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New Omaha may sell a substantial amount of our common stock and these sales or expectations of these sales could cause the market price of our common stock to fall.</w:t>
      </w:r>
    </w:p>
    <w:p>
      <w:pPr>
        <w:spacing w:after="0" w:line="62"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After completion of this offering, New Omaha will own approximately 13.1% (or 12.7% if the underwriters’ option to purchase up to 2,625,000 additional shares of common stock from the selling shareholder is exercised in full) of our outstanding shares of common stock based on shares outstanding as of October 23, 2020, which does not include any issuances or repurchases after such date, including the share repurchase. New Omaha is subject to a number of transfer restrictions described under the section entitled “Summary—Shareholder Agreement and Registration Rights Agreement” in this prospectus supplement. As the three-month anniversary of the effective time of the merger has passed as of the date of this prospectus supplement, New Omaha may sell its shares subject to certain limitations contained in the Shareholder Agreement. Under the Registration Rights Agreement, we have granted New Omaha registration rights, which permit, among others, underwritten offerings such as this offering. The Registration Rights Agreement will terminate when the aggregate ownership percentage of the issued and outstanding shares of our common stock held by New Omaha and its affiliate transferees falls below 2% and such shares may be freely sold without restrictions. The market price of our common stock could drop significantly if New Omaha sells its remaining shares or is perceived by the market as intending to sell such shares.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will not receive any proceeds as a result of the sale of the shares by the selling shareholder described in this prospectus supplement and the accompanying prospectus.</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SELLING SHAREHOLDER</w:t>
      </w:r>
    </w:p>
    <w:p>
      <w:pPr>
        <w:spacing w:after="0" w:line="229"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In connection with the First Data acquisition, we issued 110,425,667 shares of our common stock to New Omaha. New Omaha is selling 17,500,000 shares (or 20,125,000 shares if the underwriters’ option to purchase up to 2,625,000 additional shares of common stock from New Omaha is exercised in full) of our common stock in this offering pursuant to the terms of the Shareholder Agreement and Registration Rights Agreement.</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(i) the number of shares of and percentage of our common stock that New Omaha beneficially owned before this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offering, (ii) the number of shares of our common stock to be sold in this offering by New Omaha and (iii) the number of shares of and percentage of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common stock that will be beneficially owned by New Omaha after this offering. The number of shares of our common stock outstanding as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October 23, 2020 was 670,437,918. The information contained in the table below in respect of New Omaha has been obtained from New Omaha and has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been independently verified by us.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440" w:type="dxa"/>
            <w:vAlign w:val="bottom"/>
            <w:gridSpan w:val="4"/>
            <w:vMerge w:val="restart"/>
          </w:tcPr>
          <w:p>
            <w:pPr>
              <w:jc w:val="center"/>
              <w:ind w:right="520"/>
              <w:spacing w:after="0"/>
              <w:rPr>
                <w:sz w:val="20"/>
                <w:szCs w:val="20"/>
                <w:color w:val="auto"/>
              </w:rPr>
            </w:pPr>
            <w:r>
              <w:rPr>
                <w:rFonts w:ascii="Arial" w:cs="Arial" w:eastAsia="Arial" w:hAnsi="Arial"/>
                <w:sz w:val="14"/>
                <w:szCs w:val="14"/>
                <w:b w:val="1"/>
                <w:bCs w:val="1"/>
                <w:color w:val="auto"/>
                <w:w w:val="91"/>
              </w:rPr>
              <w:t>Shares Beneficially Owned</w:t>
            </w: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Shares to be</w:t>
            </w:r>
          </w:p>
        </w:tc>
        <w:tc>
          <w:tcPr>
            <w:tcW w:w="22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Shares Beneficially</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Sold in the</w:t>
            </w:r>
          </w:p>
        </w:tc>
        <w:tc>
          <w:tcPr>
            <w:tcW w:w="22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Owned After the</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244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6"/>
              </w:rPr>
              <w:t>Prior to the Offering</w:t>
            </w: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Offering</w:t>
            </w:r>
          </w:p>
        </w:tc>
        <w:tc>
          <w:tcPr>
            <w:tcW w:w="22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32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Number</w:t>
            </w:r>
          </w:p>
        </w:tc>
        <w:tc>
          <w:tcPr>
            <w:tcW w:w="6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Percent</w:t>
            </w:r>
            <w:r>
              <w:rPr>
                <w:rFonts w:ascii="Arial" w:cs="Arial" w:eastAsia="Arial" w:hAnsi="Arial"/>
                <w:sz w:val="12"/>
                <w:szCs w:val="12"/>
                <w:b w:val="1"/>
                <w:bCs w:val="1"/>
                <w:color w:val="auto"/>
                <w:w w:val="90"/>
              </w:rPr>
              <w:t>(1)</w:t>
            </w:r>
          </w:p>
        </w:tc>
        <w:tc>
          <w:tcPr>
            <w:tcW w:w="50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Number</w:t>
            </w:r>
            <w:r>
              <w:rPr>
                <w:rFonts w:ascii="Arial" w:cs="Arial" w:eastAsia="Arial" w:hAnsi="Arial"/>
                <w:sz w:val="12"/>
                <w:szCs w:val="12"/>
                <w:b w:val="1"/>
                <w:bCs w:val="1"/>
                <w:color w:val="auto"/>
                <w:w w:val="97"/>
              </w:rPr>
              <w:t>(2)</w:t>
            </w:r>
          </w:p>
        </w:tc>
        <w:tc>
          <w:tcPr>
            <w:tcW w:w="360" w:type="dxa"/>
            <w:vAlign w:val="bottom"/>
          </w:tcPr>
          <w:p>
            <w:pPr>
              <w:spacing w:after="0"/>
              <w:rPr>
                <w:sz w:val="12"/>
                <w:szCs w:val="12"/>
                <w:color w:val="auto"/>
              </w:rPr>
            </w:pPr>
          </w:p>
        </w:tc>
        <w:tc>
          <w:tcPr>
            <w:tcW w:w="124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Number</w:t>
            </w:r>
            <w:r>
              <w:rPr>
                <w:rFonts w:ascii="Arial" w:cs="Arial" w:eastAsia="Arial" w:hAnsi="Arial"/>
                <w:sz w:val="12"/>
                <w:szCs w:val="12"/>
                <w:b w:val="1"/>
                <w:bCs w:val="1"/>
                <w:color w:val="auto"/>
              </w:rPr>
              <w:t>(2)</w:t>
            </w:r>
          </w:p>
        </w:tc>
        <w:tc>
          <w:tcPr>
            <w:tcW w:w="7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Percent</w:t>
            </w:r>
            <w:r>
              <w:rPr>
                <w:rFonts w:ascii="Arial" w:cs="Arial" w:eastAsia="Arial" w:hAnsi="Arial"/>
                <w:sz w:val="12"/>
                <w:szCs w:val="12"/>
                <w:b w:val="1"/>
                <w:bCs w:val="1"/>
                <w:color w:val="auto"/>
                <w:w w:val="89"/>
              </w:rPr>
              <w:t>(1)(2)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Selling Shareholder:</w:t>
            </w:r>
          </w:p>
        </w:tc>
        <w:tc>
          <w:tcPr>
            <w:tcW w:w="9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New Omaha Holdings L.P.</w:t>
            </w:r>
            <w:r>
              <w:rPr>
                <w:rFonts w:ascii="Arial" w:cs="Arial" w:eastAsia="Arial" w:hAnsi="Arial"/>
                <w:sz w:val="15"/>
                <w:szCs w:val="15"/>
                <w:color w:val="auto"/>
              </w:rPr>
              <w:t>(3)</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105,425,667</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15.7%</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17,500,000</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87,925,667</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40" w:hanging="424"/>
        <w:spacing w:after="0" w:line="342" w:lineRule="auto"/>
        <w:tabs>
          <w:tab w:leader="none" w:pos="540" w:val="left"/>
        </w:tabs>
        <w:numPr>
          <w:ilvl w:val="0"/>
          <w:numId w:val="8"/>
        </w:numPr>
        <w:rPr>
          <w:rFonts w:ascii="Arial" w:cs="Arial" w:eastAsia="Arial" w:hAnsi="Arial"/>
          <w:sz w:val="13"/>
          <w:szCs w:val="13"/>
          <w:color w:val="auto"/>
        </w:rPr>
      </w:pPr>
      <w:r>
        <w:rPr>
          <w:rFonts w:ascii="Arial" w:cs="Arial" w:eastAsia="Arial" w:hAnsi="Arial"/>
          <w:sz w:val="16"/>
          <w:szCs w:val="16"/>
          <w:color w:val="auto"/>
        </w:rPr>
        <w:t>For purposes of this table, information as to the percentage of shares beneficially owned is calculated based on 670,437,918 shares of our common stock outstanding as of October 23, 2020 and does not include any issuances or repurchases after such date, including the share repurchase.</w:t>
      </w:r>
    </w:p>
    <w:p>
      <w:pPr>
        <w:spacing w:after="0" w:line="29" w:lineRule="exact"/>
        <w:rPr>
          <w:rFonts w:ascii="Arial" w:cs="Arial" w:eastAsia="Arial" w:hAnsi="Arial"/>
          <w:sz w:val="13"/>
          <w:szCs w:val="13"/>
          <w:color w:val="auto"/>
        </w:rPr>
      </w:pPr>
    </w:p>
    <w:p>
      <w:pPr>
        <w:ind w:left="540" w:right="20" w:hanging="424"/>
        <w:spacing w:after="0" w:line="263" w:lineRule="auto"/>
        <w:tabs>
          <w:tab w:leader="none" w:pos="540" w:val="left"/>
        </w:tabs>
        <w:numPr>
          <w:ilvl w:val="0"/>
          <w:numId w:val="8"/>
        </w:numPr>
        <w:rPr>
          <w:rFonts w:ascii="Arial" w:cs="Arial" w:eastAsia="Arial" w:hAnsi="Arial"/>
          <w:sz w:val="15"/>
          <w:szCs w:val="15"/>
          <w:color w:val="auto"/>
        </w:rPr>
      </w:pPr>
      <w:r>
        <w:rPr>
          <w:rFonts w:ascii="Arial" w:cs="Arial" w:eastAsia="Arial" w:hAnsi="Arial"/>
          <w:sz w:val="18"/>
          <w:szCs w:val="18"/>
          <w:color w:val="auto"/>
        </w:rPr>
        <w:t>If the underwriters exercise their option to purchase up to 2,625,000 additional shares of our common stock from the selling shareholder in full, 20,125,000 shares will be sold in the offering, and the selling shareholder will beneficially own 85,300,667 shares, or 12.7%, of our common stock following the completion of this offering.</w:t>
      </w:r>
    </w:p>
    <w:p>
      <w:pPr>
        <w:spacing w:after="0" w:line="89" w:lineRule="exact"/>
        <w:rPr>
          <w:rFonts w:ascii="Arial" w:cs="Arial" w:eastAsia="Arial" w:hAnsi="Arial"/>
          <w:sz w:val="15"/>
          <w:szCs w:val="15"/>
          <w:color w:val="auto"/>
        </w:rPr>
      </w:pPr>
    </w:p>
    <w:p>
      <w:pPr>
        <w:ind w:left="540" w:right="40" w:hanging="424"/>
        <w:spacing w:after="0" w:line="270" w:lineRule="auto"/>
        <w:tabs>
          <w:tab w:leader="none" w:pos="540" w:val="left"/>
        </w:tabs>
        <w:numPr>
          <w:ilvl w:val="0"/>
          <w:numId w:val="8"/>
        </w:numPr>
        <w:rPr>
          <w:rFonts w:ascii="Arial" w:cs="Arial" w:eastAsia="Arial" w:hAnsi="Arial"/>
          <w:sz w:val="14"/>
          <w:szCs w:val="14"/>
          <w:color w:val="auto"/>
        </w:rPr>
      </w:pPr>
      <w:r>
        <w:rPr>
          <w:rFonts w:ascii="Arial" w:cs="Arial" w:eastAsia="Arial" w:hAnsi="Arial"/>
          <w:sz w:val="17"/>
          <w:szCs w:val="17"/>
          <w:color w:val="auto"/>
        </w:rPr>
        <w:t>Each of New Omaha Holdings LLC (as the sole general partner of New Omaha Holdings L.P.); KKR 2006 Fund L.P. (as the sole member of New Omaha Holdings LLC); KKR Associates 2006 L.P. (as the general partner of KKR 2006 Fund L.P.); KKR 2006 GP LLC (as the general partner of KKR Associates 2006 L.P.); KKR Group Partnership L.P. (as the designated member of KKR 2006 GP LLC); KKR Group Holdings Corp. (as the general partner of KKR Group Partnership L.P.); KKR &amp; Co. Inc. (as the sole shareholder of KKR Group Holdings Corp.); KKR Management LLP (as the Series I preferred stockholder of KKR &amp; Co. Inc.); and Messrs. Henry R. Kravis and George R. Roberts (as the founding partners of KKR Management LLP) may be deemed to be the beneficial owner of any securities beneficially owned by New Omaha Holdings L.P. The principal business address for all such persons other than Mr. Roberts is c/o Kohlberg Kravis Roberts &amp; Co. L.P., 9 West 57th Street, Suite 4200, New York, NY 10019. The principal business address for Mr. Roberts is c/o Kohlberg Kravis Roberts &amp; Co. L.P., 2800 Sand Hill Road, Suite 200, Menlo Park, CA 94025.</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NON-U.S. HOLDERS OF COMMON STOCK</w:t>
      </w:r>
    </w:p>
    <w:p>
      <w:pPr>
        <w:spacing w:after="0" w:line="21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This section summarizes certain United States federal income and estate tax consequences of the ownership and disposition of our common stock by a non-U.S. holder. You are a non-U.S. holder if you are, for United States federal income tax purposes:</w:t>
      </w:r>
    </w:p>
    <w:p>
      <w:pPr>
        <w:spacing w:after="0" w:line="76"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estate or trust that in either case is not subject to United States federal income tax on a net income basis on income or gain from our common stock.</w:t>
      </w:r>
    </w:p>
    <w:p>
      <w:pPr>
        <w:spacing w:after="0" w:line="170"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This section does not consider the specific facts and circumstances that may be relevant to a particular non-U.S. holder and does not address the treatment of a non-U.S. holder under the laws of any state, local or foreign taxing jurisdiction. This section is based on the tax laws of the United States, including the Internal Revenue Code of 1986, as amended (the “Code”), existing and proposed regulations, and administrative and judicial interpretations, all as currently in effect. These authorities are subject to change, possibly on a retroactive basis.</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an entity or arrangement that is treated as a partnership for United States federal income tax purposes holds the common stock, the United States federal income tax treatment of a partner will generally depend on the status of the partner and the tax treatment of the partnership. A partner in a partnership holding the common stock should consult its tax advisor with regard to the United States federal income tax treatment of an investment in the common stock.</w:t>
      </w:r>
    </w:p>
    <w:p>
      <w:pPr>
        <w:spacing w:after="0" w:line="227" w:lineRule="exact"/>
        <w:rPr>
          <w:sz w:val="20"/>
          <w:szCs w:val="20"/>
          <w:color w:val="auto"/>
        </w:rPr>
      </w:pPr>
    </w:p>
    <w:p>
      <w:pPr>
        <w:ind w:left="280" w:right="200"/>
        <w:spacing w:after="0" w:line="342" w:lineRule="auto"/>
        <w:rPr>
          <w:sz w:val="20"/>
          <w:szCs w:val="20"/>
          <w:color w:val="auto"/>
        </w:rPr>
      </w:pPr>
      <w:r>
        <w:rPr>
          <w:rFonts w:ascii="Arial" w:cs="Arial" w:eastAsia="Arial" w:hAnsi="Arial"/>
          <w:sz w:val="16"/>
          <w:szCs w:val="16"/>
          <w:i w:val="1"/>
          <w:iCs w:val="1"/>
          <w:color w:val="auto"/>
        </w:rPr>
        <w:t>You should consult a tax advisor regarding the United States federal tax consequences of acquiring, holding and disposing of common stock in your particular circumstances, as well as any tax consequences that may arise under the laws of any state, local or foreign taxing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-332105</wp:posOffset>
            </wp:positionV>
            <wp:extent cx="7003415" cy="291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6">
                      <a:extLst>
                        <a:ext uri="{28A0092B-C50C-407E-A947-70E740481C1C}"/>
                      </a:extLst>
                    </a:blip>
                    <a:srcRect/>
                    <a:stretch>
                      <a:fillRect/>
                    </a:stretch>
                  </pic:blipFill>
                  <pic:spPr bwMode="auto">
                    <a:xfrm>
                      <a:off x="0" y="0"/>
                      <a:ext cx="7003415" cy="291465"/>
                    </a:xfrm>
                    <a:prstGeom prst="rect">
                      <a:avLst/>
                    </a:prstGeom>
                    <a:noFill/>
                  </pic:spPr>
                </pic:pic>
              </a:graphicData>
            </a:graphic>
          </wp:anchor>
        </w:drawing>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we make a distribution of cash or other property (other than certain distributions of our stock) in respect of our common stock, the distribution generally will be treated as a dividend to the extent of our current or accumulated earnings and profits, as determined under United States federal income tax principles. Any portion of a distribution that exceeds our current and accumulated earnings and profits will generally be treated first as a tax-free return of capital, on a share-by-share basis, to the extent of your tax basis in our common stock (and will reduce your basis in such common stock, but not below zero), and, to the extent such portion exceeds your tax basis in our common stock, the excess will be treated as gain from the taxable disposition of the common stock, the tax treatment of which is discussed below under “Gain on Disposition of Common Stock”.</w:t>
      </w:r>
    </w:p>
    <w:p>
      <w:pPr>
        <w:spacing w:after="0" w:line="164"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Except as described below, if you are a non-U.S. holder of common stock, dividends paid to you are subject to withholding of United States federal income tax at a 30% rate or at a lower rate if you are eligible for the benefits of an income tax treaty that provides for a lower rate. Even if you are eligible for a lower treaty rate, we and other payors will generally be required to withhold at a 30% rate (rather than the lower treaty rate) on dividend payments to you, unless you have furnished to us or another payor:</w:t>
      </w:r>
    </w:p>
    <w:p>
      <w:pPr>
        <w:spacing w:after="0" w:line="92" w:lineRule="exact"/>
        <w:rPr>
          <w:sz w:val="20"/>
          <w:szCs w:val="20"/>
          <w:color w:val="auto"/>
        </w:rPr>
      </w:pPr>
    </w:p>
    <w:p>
      <w:pPr>
        <w:ind w:left="1080" w:right="260" w:hanging="424"/>
        <w:spacing w:after="0" w:line="308"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valid Internal Revenue Service (“IRS”) Form W-8 or an acceptable substitute form upon which you certify, under penalties of perjury, your status as a non-United States person and your entitlement to the lower treaty rate with respect to such payments, or</w:t>
      </w:r>
    </w:p>
    <w:p>
      <w:pPr>
        <w:spacing w:after="0" w:line="51" w:lineRule="exact"/>
        <w:rPr>
          <w:rFonts w:ascii="Arial" w:cs="Arial" w:eastAsia="Arial" w:hAnsi="Arial"/>
          <w:sz w:val="17"/>
          <w:szCs w:val="17"/>
          <w:color w:val="auto"/>
        </w:rPr>
      </w:pPr>
    </w:p>
    <w:p>
      <w:pPr>
        <w:jc w:val="both"/>
        <w:ind w:left="1080" w:right="36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case of payments made outside the United States to an offshore account (generally, an account maintained by you at an office or branch of a bank or other financial institution at any location outside the United States), other documentary evidence establishing your entitlement to the lower treaty rate in accordance with U.S. Treasury regulations.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If you are eligible for a reduced rate of United States withholding tax under a tax treaty, you may obtain a refund of any amounts withheld in excess of that rate by filing a refund claim with the United States IRS.</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If dividends paid to you are “effectively connected” with your conduct of a trade or business within the United States, and, if required by a tax treaty, the dividends are attributable to a permanent establishment that you maintain in the United States, we and other payors generally are not required to withhold tax from the dividends, provided that you have furnished to us or another payor a valid IRS Form W-8ECI or an acceptable substitute form upon which you certify, under penalties of perjury, that:</w:t>
      </w:r>
    </w:p>
    <w:p>
      <w:pPr>
        <w:spacing w:after="0" w:line="92"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 are a non-United States person, and</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dividends are effectively connected with your conduct of a trade or business within the United States and are includible in your gross income.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“Effectively connected” dividends are taxed at rates applicable to United States citizens, resident aliens and domestic United States corporations.</w:t>
      </w:r>
    </w:p>
    <w:p>
      <w:pPr>
        <w:spacing w:after="0" w:line="248"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If you are a corporate non-U.S. holder, “effectively connected” dividends that you receive may, under certain circumstances, be subject to an additional “branch profits tax” at a 30% rate or at a lower rate if you are eligible for the benefits of an income tax treaty that provides for a lower rate.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If you are a non-U.S. holder, you generally will not be subject to United States federal income tax on gain that you recognize on a sale or other disposition of our common stock unless:</w:t>
      </w:r>
    </w:p>
    <w:p>
      <w:pPr>
        <w:spacing w:after="0" w:line="76" w:lineRule="exact"/>
        <w:rPr>
          <w:sz w:val="20"/>
          <w:szCs w:val="20"/>
          <w:color w:val="auto"/>
        </w:rPr>
      </w:pPr>
    </w:p>
    <w:p>
      <w:pPr>
        <w:jc w:val="both"/>
        <w:ind w:left="1080" w:right="6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trade or business in the United States, and the gain is attributable to a permanent establishment that you maintain in the United States, if that is required by an applicable income tax treaty as a condition for subjecting you to United States taxation on a net income basis,</w:t>
      </w:r>
    </w:p>
    <w:p>
      <w:pPr>
        <w:spacing w:after="0" w:line="89"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are an individual, you hold the common stock as a capital asset, you are present in the United States for 183 or more days in the taxable year of the disposition and certain other conditions exist, or</w:t>
      </w:r>
    </w:p>
    <w:p>
      <w:pPr>
        <w:spacing w:after="0" w:line="75" w:lineRule="exact"/>
        <w:rPr>
          <w:rFonts w:ascii="Arial" w:cs="Arial" w:eastAsia="Arial" w:hAnsi="Arial"/>
          <w:sz w:val="18"/>
          <w:szCs w:val="18"/>
          <w:color w:val="auto"/>
        </w:rPr>
      </w:pPr>
    </w:p>
    <w:p>
      <w:pPr>
        <w:ind w:left="1080" w:right="100" w:hanging="424"/>
        <w:spacing w:after="0" w:line="275"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(as described below), at any time within the five-year period preceding the disposition or your holding period, whichever period is shorter, you are not eligible for a treaty exemption, and either (i) our common stock is not regularly traded on an established securities market during the calendar year in which the sale or other disposition occurs or (ii) you owned or are deemed to have owned, at any time within the five-year period preceding the disposition or your holding period, whichever period is shorter, more than 5% of our common stock.</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If you are a non-U.S. holder and the gain from the taxable disposition of shares of our common stock is effectively connected with your conduct of a trade or business in the United States (and, if required by a tax treaty, the gain is attributable to a permanent establishment that you maintain in the United States), you will be subject to tax on the net gain derived from the disposition at rates applicable to United States citizens, resident aliens and domestic United States corporations. If you are a corporate non-U.S. holder, “effectively connected” gains that you recognize may also, under certain circumstances, be subject to an additional “branch profits tax” at a 30% rate or at a lower rate if you are eligible for the benefits of an income tax treaty that provides for a lower rate. If you are an individual non-U.S. holder described in the second bullet point immediately above, you will be subject to a flat 30% tax (unless an applicable income tax treaty provides otherwise) on the gain derived from the disposition, which may be offset by United States source capital losses, even though you are not considered a resident of the United States.</w:t>
      </w:r>
    </w:p>
    <w:p>
      <w:pPr>
        <w:spacing w:after="0" w:line="17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will be a United States real property holding corporation at any time that the fair market value of our “United States real property interests,” as defined in the Code and applicable Treasury regulations, equals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exceeds 50% of the aggregate fair market value of our worldwide real property interests and our other assets used or held for use in a trade or business (all as determined for the United States federal income tax purposes). We believe that we are not, and do not anticipate becoming in the foreseeable future, a United States real property holding corporation.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FATCA Withholding</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Pursuant to sections 1471 through 1474 of the Code, commonly known as the Foreign Account Tax Compliance Act (“FATCA”), a 30% withholding tax (“FATCA withholding”) may be imposed on certain payments to you or to certain foreign financial institutions, investment funds and other non-U.S. persons receiving payments on your behalf if you or such persons fail to comply with certain information reporting requirements. Payments of dividends that you receive in respect of our common stock could be affected by this withholding if you are subject to the FATCA information reporting requirements and fail to comply with them or if you hold common stock through a non-U.S. person (e.g., a foreign bank or broker) that fails to comply with these requirements (even if payments to you would not otherwise have been subject to FATCA withholding). Foreign financial institutions located in jurisdictions that have an intergovernmental agreement with the United States with respect to FATCA may be subject to different rules. You should consult your own tax advisors regarding the relevant U.S. law and other official guidance on FATCA withholding.</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Federal Estate Taxes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Common stock held by a non-U.S. holder at the time of death will be included in the non-U.S. holder’s gross estate for United States federal estate tax purposes, unless an applicable estate tax treaty provides otherwise.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120" w:right="300" w:firstLine="440"/>
        <w:spacing w:after="0" w:line="287" w:lineRule="auto"/>
        <w:rPr>
          <w:sz w:val="20"/>
          <w:szCs w:val="20"/>
          <w:color w:val="auto"/>
        </w:rPr>
      </w:pPr>
      <w:r>
        <w:rPr>
          <w:rFonts w:ascii="Arial" w:cs="Arial" w:eastAsia="Arial" w:hAnsi="Arial"/>
          <w:sz w:val="16"/>
          <w:szCs w:val="16"/>
          <w:color w:val="auto"/>
        </w:rPr>
        <w:t>If you are a non-U.S. holder, we and other payors are required to report payments of dividends on IRS Form 1042-S even if the payments are exempt from withholding. You are otherwise generally exempt from backup withholding and information reporting requirements with respect to dividend payments and the payment of the proceeds from the sale of common stock effected at a United States office of a broker provided that either</w:t>
      </w:r>
    </w:p>
    <w:p>
      <w:pPr>
        <w:spacing w:after="0" w:line="2" w:lineRule="exact"/>
        <w:rPr>
          <w:sz w:val="20"/>
          <w:szCs w:val="20"/>
          <w:color w:val="auto"/>
        </w:rPr>
      </w:pPr>
    </w:p>
    <w:p>
      <w:pPr>
        <w:ind w:left="120" w:right="60" w:hanging="4"/>
        <w:spacing w:after="0" w:line="255"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payor or broker does not have actual knowledge or reason to know that you are a United States person and you have furnished a valid IRS Form W-8 or other documentation upon which the payor or broker may rely to treat the payments as made to a non-United States person, or (ii) you otherwise establish an exemption.</w:t>
      </w:r>
    </w:p>
    <w:p>
      <w:pPr>
        <w:spacing w:after="0" w:line="190"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Payment of the proceeds from the sale of common stock effected at a foreign office of a broker generally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connections with the United States.</w:t>
      </w:r>
    </w:p>
    <w:p>
      <w:pPr>
        <w:spacing w:after="0" w:line="15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Amounts withheld under the backup withholding rules are not additional taxes and may be refunded or credited against your United States federal income tax liability, provided the required information is timely furnished to the IRS.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Under the terms and subject to the conditions contained in an underwriting agreement, dated December 9, 2020, the selling shareholder has agreed to sell to the underwriters the number of shares of common stock listed next to their respective names in the following table:</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9540" w:type="dxa"/>
            <w:vAlign w:val="bottom"/>
            <w:vMerge w:val="restart"/>
          </w:tcPr>
          <w:p>
            <w:pPr>
              <w:spacing w:after="0"/>
              <w:rPr>
                <w:sz w:val="14"/>
                <w:szCs w:val="14"/>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9540" w:type="dxa"/>
            <w:vAlign w:val="bottom"/>
            <w:vMerge w:val="continue"/>
          </w:tcPr>
          <w:p>
            <w:pPr>
              <w:spacing w:after="0"/>
              <w:rPr>
                <w:sz w:val="15"/>
                <w:szCs w:val="15"/>
                <w:color w:val="auto"/>
              </w:rPr>
            </w:pPr>
          </w:p>
        </w:tc>
        <w:tc>
          <w:tcPr>
            <w:tcW w:w="112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203"/>
        </w:trPr>
        <w:tc>
          <w:tcPr>
            <w:tcW w:w="9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KKR Capital Markets LLC</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5,250,000</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2,231,250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1,881,250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875,000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Truist Securities, Inc.</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875,000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481,250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BMO Capital Markets Corp.</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481,250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481,250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HSBC Securities (USA) Inc.</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481,250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SPC Capital Markets LLC</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481,250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Keefe, Bruyette &amp; Woods, Inc.</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WR Securities, LLC</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KeyBanc Capital Markets Inc.</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Loop Capital Markets LLC</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43,750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Guzman &amp; Company</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Tigress Financial Partners LLC</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43,750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Roberts &amp; Ryan Investments, Inc.</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17,500,000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80" w:firstLine="440"/>
        <w:spacing w:after="0" w:line="308" w:lineRule="auto"/>
        <w:rPr>
          <w:sz w:val="20"/>
          <w:szCs w:val="20"/>
          <w:color w:val="auto"/>
        </w:rPr>
      </w:pPr>
      <w:r>
        <w:rPr>
          <w:rFonts w:ascii="Arial" w:cs="Arial" w:eastAsia="Arial" w:hAnsi="Arial"/>
          <w:sz w:val="17"/>
          <w:szCs w:val="17"/>
          <w:color w:val="auto"/>
        </w:rPr>
        <w:t>The underwriting agreement provides that the underwriters are obligated to purchase all shares of common stock in the offering if any are purchased, other than the shares covered by the option described below unless and until this option is exercised.</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underwriters propose initially to offer the shares of common stock directly to the public at the public offering price set forth below.</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underwriters have an option to buy up to an additional 2,625,000 shares from the selling shareholder to cover sales by the underwriters of a greater number of shares than the total number set forth in the table above. They may exercise that option for 30 days from the date of this prospectus supplement, solely to cover over-allotments, if any. If any shares are purchased pursuant to this option, the underwriters will severally purchase shares in approximately the same proportion as set forth in the table above.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the selling shareholder. These amounts are shown assuming no exercise and full exercise of the underwriters’ option to purchase up to an additional 2,625,000 shares of common stock, as indicated below.</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Total</w:t>
            </w: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0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No Exercise</w:t>
            </w:r>
          </w:p>
        </w:tc>
        <w:tc>
          <w:tcPr>
            <w:tcW w:w="2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Full Exercise</w:t>
            </w:r>
          </w:p>
        </w:tc>
        <w:tc>
          <w:tcPr>
            <w:tcW w:w="80" w:type="dxa"/>
            <w:vAlign w:val="bottom"/>
          </w:tcPr>
          <w:p>
            <w:pPr>
              <w:spacing w:after="0"/>
              <w:rPr>
                <w:sz w:val="12"/>
                <w:szCs w:val="12"/>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r>
              <w:rPr>
                <w:rFonts w:ascii="Arial" w:cs="Arial" w:eastAsia="Arial" w:hAnsi="Arial"/>
                <w:sz w:val="15"/>
                <w:szCs w:val="15"/>
                <w:color w:val="auto"/>
              </w:rPr>
              <w:t>(1)</w:t>
            </w:r>
          </w:p>
        </w:tc>
        <w:tc>
          <w:tcPr>
            <w:tcW w:w="17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112.00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1,956,437,660.80</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2,250,437,660.80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1.96</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30,737,660.80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35,882,660.80</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Proceeds to selling shareholder, before expenses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110.04</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1,925,700,000.00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2,214,555,000.00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60" w:hanging="424"/>
        <w:spacing w:after="0" w:line="263" w:lineRule="auto"/>
        <w:tabs>
          <w:tab w:leader="none" w:pos="540" w:val="left"/>
        </w:tabs>
        <w:numPr>
          <w:ilvl w:val="0"/>
          <w:numId w:val="14"/>
        </w:numPr>
        <w:rPr>
          <w:rFonts w:ascii="Arial" w:cs="Arial" w:eastAsia="Arial" w:hAnsi="Arial"/>
          <w:sz w:val="15"/>
          <w:szCs w:val="15"/>
          <w:color w:val="auto"/>
        </w:rPr>
      </w:pPr>
      <w:r>
        <w:rPr>
          <w:rFonts w:ascii="Arial" w:cs="Arial" w:eastAsia="Arial" w:hAnsi="Arial"/>
          <w:sz w:val="18"/>
          <w:szCs w:val="18"/>
          <w:color w:val="auto"/>
        </w:rPr>
        <w:t>The total public offering price reflects the sale of 17,500,000 shares of our common stock at the per share public offering price and our repurchase of 1,817,520 shares of our common stock from the underwriters at a price of $110.04 per share. The underwriters will not be entitled to any underwriting discounts or commission in respect of the shares to be repurchased by us.</w:t>
      </w:r>
    </w:p>
    <w:p>
      <w:pPr>
        <w:spacing w:after="0" w:line="184"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Any shares sold by the underwriters to securities dealers may be sold at a discount of up to $1.176 per share from the public offering price. After the initial offering of the shares, the underwriters may change the offering price and other selling terms. The offering of the shares by the underwriters is subject to receipt and acceptance and subject to the underwriters’ right to reject any order in whole or in part.</w:t>
      </w:r>
    </w:p>
    <w:p>
      <w:pPr>
        <w:spacing w:after="0" w:line="16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estimate that our out of pocket expenses (excluding the underwriting discounts) for this offering will be approximately $600,000 and will be payable by us. We and the selling shareholder have agreed to indemnify the underwriters against certain liabilities under the Securities Act or contribute to payments which the underwriters may be required to make in respect of those liabilities.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Stock Market 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shares are listed on the Nasdaq Global Select Market under the ticker symbol “FISV.”</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Until the distribution of the shares is completed, SEC rules may limit the underwriters from bidding for and purchasing our common stock. However, the underwriters may engage in transactions that stabilize the price of the common stock, such as bids or purchases to peg, fix or maintain that price.</w:t>
      </w:r>
    </w:p>
    <w:p>
      <w:pPr>
        <w:spacing w:after="0" w:line="184"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In connection with the offering, the underwriters may purchase and sell our common stock in the open market. These transactions may include short sales, purchases on the open market to cover positions created by short sales and stabilizing transactions.</w:t>
      </w:r>
    </w:p>
    <w:p>
      <w:pPr>
        <w:spacing w:after="0" w:line="146"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Short sales involve the sale by the underwriters of a greater number of shares than it is required to purchase in the offering.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Similar to other purchase transactions, the underwriters’ purchases to cover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Neither we nor the underwriters make any representation or prediction as to the direction or magnitude of any effect that the transactions described above may have on the price of our common stock. In addition, neither we nor the underwriters make any representation that the underwriters will engage in these transactions or that these transactions, once commenced, will not be discontinued without notice.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and the selling shareholder will agree, for 30 days after the date of this prospectus supplement, without first obtaining the written consent of the underwriters, not to directly or indirectly, subject to certain exceptions:</w:t>
      </w:r>
    </w:p>
    <w:p>
      <w:pPr>
        <w:spacing w:after="0" w:line="76" w:lineRule="exact"/>
        <w:rPr>
          <w:sz w:val="20"/>
          <w:szCs w:val="20"/>
          <w:color w:val="auto"/>
        </w:rPr>
      </w:pPr>
    </w:p>
    <w:p>
      <w:pPr>
        <w:ind w:left="1080" w:right="14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offer, sell, contract to sell or otherwise dispose of, (or enter into any transaction which is designed to, or might reasonably be expected to, result in the disposition of) any shares of our common stock or any securities convertible into, or exercisable or exchangeable for our common stock;</w:t>
      </w:r>
    </w:p>
    <w:p>
      <w:pPr>
        <w:spacing w:after="0" w:line="89"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publicly file or participate in the public filing of a registration statement with the SEC in respect of, or establish or increase a put equivalent position or liquidate or decrease a call equivalent position within the meaning of Section 16 of the Exchange Act, and related rules and regulations, any shares of our common stock or any securities convertible into, or exercisable or exchangeable for our common stock; or</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publicly announce an intention to effect any such transaction.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The underwriters and their respective affiliates are full-service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underwriters and their respective affiliates have engaged in, and may in the future engage in, investment banking and other commercial dealings in the ordinary course of business with us or our affiliates. They have received, or may in the future receive, customary fees and commissions for these transactions. Certain of the underwriters and their affiliates hold portions of our outstanding debt (including loans).</w:t>
      </w:r>
    </w:p>
    <w:p>
      <w:pPr>
        <w:spacing w:after="0" w:line="19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addition, in the ordinary course of their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investments and securities activities may involve securities and/or instruments of ours or our affiliates. The underwriters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Affiliates of Kohlberg Kravis Roberts &amp; Co. L.P., or KKR, beneficially own (through investment in New Omaha) in excess of 10% of our issued and outstanding common stock. Because KKR Capital Markets LLC, an affiliate of KKR, is an underwriter in this offering and its affiliates beneficially own in excess of 10% of our issued and outstanding common stock, KKR Capital Markets LLC is deemed to have a “conflict of interest” under FINRA Rule 5121, or Rule 5121, of the Financial Industry Regulatory Authority, Inc., or FINRA. In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addition, affiliates of KKR Capital Markets LLC hold limited partnership interests in New Omaha Holdings L.P., the selling shareholder in this offering, and therefore KKR Capital Markets LLC would also be deemed to have a “conflict of interest” under Rule 5121 because such affiliates of KKR Capital Markets LLC are receiving in the aggregate more than 5% of the net offering proceeds from this offering. Because of these relationships, the offering will be conducted in accordance with Rule 5121. Pursuant to that rule, the appointment of a “qualified independent underwriter” is not required in connection with this offering because a bona fide public market exists in the shares, as that term is defined in the rule. To comply with Rule 5121, KKR Capital Markets LLC will not confirm sales of the securities to any account over which it exercises discretionary authority without the specific written approval of the account holder.</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shares are being offered for sale in the United States and in jurisdictions outside the United States, subject to applicable law.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Canadian Investors</w:t>
      </w:r>
    </w:p>
    <w:p>
      <w:pPr>
        <w:spacing w:after="0" w:line="117" w:lineRule="exact"/>
        <w:rPr>
          <w:sz w:val="20"/>
          <w:szCs w:val="20"/>
          <w:color w:val="auto"/>
        </w:rPr>
      </w:pPr>
    </w:p>
    <w:p>
      <w:pPr>
        <w:ind w:left="120" w:right="360" w:firstLine="440"/>
        <w:spacing w:after="0" w:line="301" w:lineRule="auto"/>
        <w:rPr>
          <w:sz w:val="20"/>
          <w:szCs w:val="20"/>
          <w:color w:val="auto"/>
        </w:rPr>
      </w:pPr>
      <w:r>
        <w:rPr>
          <w:rFonts w:ascii="Arial" w:cs="Arial" w:eastAsia="Arial" w:hAnsi="Arial"/>
          <w:sz w:val="16"/>
          <w:szCs w:val="16"/>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shares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Prohibition of Sales to EEA and UK Retail Investors</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Each underwriter has represented and agreed that it has not offered, sold or otherwise made available and will not offer, sell or otherwise make available any shares to any retail investor in the EEA or in the UK. For the purposes of this provision:</w:t>
      </w:r>
    </w:p>
    <w:p>
      <w:pPr>
        <w:spacing w:after="0" w:line="197"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expression “retail investor” means a person who is one (or more) of the following:</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retail client as defined in point (11) of Article 4(1) of MiFID II; or</w:t>
      </w:r>
    </w:p>
    <w:p>
      <w:pPr>
        <w:spacing w:after="0" w:line="130" w:lineRule="exact"/>
        <w:rPr>
          <w:rFonts w:ascii="Arial" w:cs="Arial" w:eastAsia="Arial" w:hAnsi="Arial"/>
          <w:sz w:val="18"/>
          <w:szCs w:val="18"/>
          <w:color w:val="auto"/>
        </w:rPr>
      </w:pPr>
    </w:p>
    <w:p>
      <w:pPr>
        <w:ind w:left="1540" w:right="380" w:hanging="439"/>
        <w:spacing w:after="0" w:line="277" w:lineRule="auto"/>
        <w:tabs>
          <w:tab w:leader="none" w:pos="15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customer within the meaning of the Insurance Distribution Directive, where that customer would not qualify as a professional client as defined in point (10) of Article 4(1) of MiFID II; or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not a qualified investor as defined in the Prospectus Regulation; and</w:t>
      </w:r>
    </w:p>
    <w:p>
      <w:pPr>
        <w:spacing w:after="0" w:line="252"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expression “offer” includes the communication in any form and by any means of sufficient information on the terms of the offer and the shares to be offered so as to enable an investor to decide to purchase or subscribe for the shares.</w:t>
      </w:r>
    </w:p>
    <w:p>
      <w:pPr>
        <w:spacing w:after="0" w:line="170"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Consequently no key information document required by the PRIIPs Regulation for offering or selling the shares or otherwise making them available to retail investors in the EEA or in the UK has been prepared and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080"/>
          </w:cols>
          <w:pgMar w:left="32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therefore offering or selling the shares or otherwise making them available to any retail investor in the EEA or in the UK may be unlawful under the PRIIPs Regulation.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United Kingdom Investors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540" w:right="80" w:hanging="424"/>
        <w:spacing w:after="0" w:line="311"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does not apply to Fiserv and the selling shareholder named in this prospectus supplement; and</w:t>
      </w:r>
    </w:p>
    <w:p>
      <w:pPr>
        <w:spacing w:after="0" w:line="54" w:lineRule="exact"/>
        <w:rPr>
          <w:rFonts w:ascii="Arial" w:cs="Arial" w:eastAsia="Arial" w:hAnsi="Arial"/>
          <w:sz w:val="16"/>
          <w:szCs w:val="16"/>
          <w:color w:val="auto"/>
        </w:rPr>
      </w:pPr>
    </w:p>
    <w:p>
      <w:pPr>
        <w:ind w:left="540" w:right="20" w:hanging="424"/>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Hong Kong Investors</w:t>
      </w:r>
    </w:p>
    <w:p>
      <w:pPr>
        <w:spacing w:after="0" w:line="117"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Each underwriter (i) has not offered or sold and will not offer or sell in Hong Kong, by means of any document, any shares other than (a) to “professional investors” as defined in the Securities and Futures Ordinance (Cap. 571) of Hong Kong (the “SFO”)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and (ii) has not issued or had in its possession for the purposes of issue, and will not issue or have in its possession for the purposes of issue, whether in Hong Kong or elsewhere, any advertisement, invitation or document relating to the shares, which is directed at, or the contents of which are likely to be accessed or read by, the public of Hong Kong (except if permitted to do so under the securities laws of Hong Kong) other than with respect to the shares which are or are intended to be disposed of only to persons outside Hong Kong or only to “professional investors” as defined in the SFO and any rules made under that Ordinance.</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Japan Investors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Singapore Investors</w:t>
      </w:r>
    </w:p>
    <w:p>
      <w:pPr>
        <w:spacing w:after="0" w:line="117" w:lineRule="exact"/>
        <w:rPr>
          <w:sz w:val="20"/>
          <w:szCs w:val="20"/>
          <w:color w:val="auto"/>
        </w:rPr>
      </w:pPr>
    </w:p>
    <w:p>
      <w:pPr>
        <w:ind w:left="120" w:right="140" w:firstLine="440"/>
        <w:spacing w:after="0" w:line="290" w:lineRule="auto"/>
        <w:rPr>
          <w:sz w:val="20"/>
          <w:szCs w:val="20"/>
          <w:color w:val="auto"/>
        </w:rPr>
      </w:pPr>
      <w:r>
        <w:rPr>
          <w:rFonts w:ascii="Arial" w:cs="Arial" w:eastAsia="Arial" w:hAnsi="Arial"/>
          <w:sz w:val="16"/>
          <w:szCs w:val="16"/>
          <w:color w:val="auto"/>
        </w:rPr>
        <w:t>Neither this prospectus supplement nor the accompanying prospectus have been registered as a prospectus with the Monetary Authority of Singapore. Accordingly, each underwriter has not offered or sold any shares or caused such shares to be made the subject of an invitation for subscription or purchase and will not offer or sell such shares or cause such shares to be made the subject of an invitation for subscription or purchase, and has not circulated or distributed, nor will it circulate or distribute, this prospectus supplement, the accompanying prospectus or any other document or material in connection with the offer or sale, or invitation for subscription or purchase, of such shares,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17" w:lineRule="exact"/>
        <w:rPr>
          <w:sz w:val="20"/>
          <w:szCs w:val="20"/>
          <w:color w:val="auto"/>
        </w:rPr>
      </w:pPr>
    </w:p>
    <w:p>
      <w:pPr>
        <w:ind w:left="120" w:right="80" w:firstLine="436"/>
        <w:spacing w:after="0" w:line="277" w:lineRule="auto"/>
        <w:tabs>
          <w:tab w:leader="none" w:pos="8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0" w:lineRule="exact"/>
        <w:rPr>
          <w:rFonts w:ascii="Arial" w:cs="Arial" w:eastAsia="Arial" w:hAnsi="Arial"/>
          <w:sz w:val="18"/>
          <w:szCs w:val="18"/>
          <w:color w:val="auto"/>
        </w:rPr>
      </w:pPr>
    </w:p>
    <w:p>
      <w:pPr>
        <w:ind w:left="120" w:right="160" w:firstLine="436"/>
        <w:spacing w:after="0" w:line="259"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87" w:lineRule="exact"/>
        <w:rPr>
          <w:sz w:val="20"/>
          <w:szCs w:val="20"/>
          <w:color w:val="auto"/>
        </w:rPr>
      </w:pPr>
    </w:p>
    <w:p>
      <w:pPr>
        <w:ind w:left="120" w:right="320" w:firstLine="436"/>
        <w:spacing w:after="0" w:line="277"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SFA or to a relevant person (as defined in Section 275(2) of the SFA), or to any person arising from an offer referred to in Section 275(1A), or Section 276(4)(i)(B) of the SFA;</w:t>
      </w:r>
    </w:p>
    <w:p>
      <w:pPr>
        <w:spacing w:after="0" w:line="170" w:lineRule="exact"/>
        <w:rPr>
          <w:rFonts w:ascii="Arial" w:cs="Arial" w:eastAsia="Arial" w:hAnsi="Arial"/>
          <w:sz w:val="18"/>
          <w:szCs w:val="18"/>
          <w:color w:val="auto"/>
        </w:rPr>
      </w:pPr>
    </w:p>
    <w:p>
      <w:pPr>
        <w:ind w:left="820" w:hanging="2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4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Solely for the purposes of its obligations pursuant to sections 309B(1)(a) and 309B(1)(c) of the SFA, Fiserv has determined, and hereby notifies all relevant persons (as defined in Section 309A of the SFA)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Switzerland Investors</w:t>
      </w:r>
    </w:p>
    <w:p>
      <w:pPr>
        <w:spacing w:after="0" w:line="11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This document is not intended to constitute an offer or solicitation to purchase or invest in the shares described herein. The shares may not be publicly offered, sold or advertised, directly or indirectly, in, into or from Switzerland and will not be listed on the SIX Swiss Exchange or on any other exchange or regulated trading facility in Switzerland. Neither this document nor any other offering or marketing material relating to the shares constitutes a prospectus as such term is understood pursuant to article 652a or article 1156 of the Swiss Code of Obligations, and neither this document nor any other offering or marketing material relating to the shares may be publicly distributed or otherwise made publicly available in Switzerland.</w:t>
      </w:r>
    </w:p>
    <w:p>
      <w:pPr>
        <w:spacing w:after="0" w:line="161" w:lineRule="exact"/>
        <w:rPr>
          <w:sz w:val="20"/>
          <w:szCs w:val="20"/>
          <w:color w:val="auto"/>
        </w:rPr>
      </w:pPr>
    </w:p>
    <w:p>
      <w:pPr>
        <w:jc w:val="both"/>
        <w:ind w:left="120" w:right="240" w:firstLine="440"/>
        <w:spacing w:after="0" w:line="311" w:lineRule="auto"/>
        <w:rPr>
          <w:sz w:val="20"/>
          <w:szCs w:val="20"/>
          <w:color w:val="auto"/>
        </w:rPr>
      </w:pPr>
      <w:r>
        <w:rPr>
          <w:rFonts w:ascii="Arial" w:cs="Arial" w:eastAsia="Arial" w:hAnsi="Arial"/>
          <w:sz w:val="16"/>
          <w:szCs w:val="16"/>
          <w:color w:val="auto"/>
        </w:rPr>
        <w:t>Neither this document nor any other offering or marketing material relating to the offering, Fiserv or the shares has been or will be filed with or approved by any Swiss regulatory authority. The shares are not subject to the supervision of any Swiss regulatory authority, e.g., the Swiss Financial Markets Supervisory Authority FINMA, and investors in the shares will not benefit from protection or supervision by such authority</w:t>
      </w:r>
      <w:r>
        <w:rPr>
          <w:rFonts w:ascii="Arial" w:cs="Arial" w:eastAsia="Arial" w:hAnsi="Arial"/>
          <w:sz w:val="16"/>
          <w:szCs w:val="16"/>
          <w:i w:val="1"/>
          <w:iCs w:val="1"/>
          <w:color w:val="auto"/>
        </w:rPr>
        <w: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Taiwan Investors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 an offer within the meaning of the Securities and Exchange Act of Taiwan that require a registration or approval of the Financial Supervisory Commission of Taiwan. No person or entity in Taiwan has been authorized to offer, sell, give advice regarding or otherwise intermediate the offering and sale of the shares in Taiwan.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Certain legal matters in connection with the securities to be offered by this prospectus supplement will be passed upon for us by Sullivan &amp; Cromwell LLP, New York, New York and with respect to matters of Wisconsin law, by Lynn S. McCreary, our Chief Legal Officer. As of the date hereof, Ms. McCreary beneficially owned shares of Fiserv common stock representing less than 1% of the total outstanding shares of Fiserv common stock. Certain legal matters will be passed upon for the underwriters by Davis Polk &amp; Wardwell LLP, New York, New York.</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Fiserv</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consolidated financial statements of Fiserv, Inc. incorporated into this prospectus supplement by reference from Fiserv, Inc.’s Annual Report on Form 10-K for the year ended December 31, 2019, and the effectiveness of Fiserv, Inc.’s internal control over financial reporting, have been audited by Deloitte &amp; Touche LLP, an independent registered public accounting firm, as stated in their reports, which are incorporated by reference herein (which reports (1) express an unqualified opinion on the financial statements and include explanatory paragraphs regarding the company’s adoption of new accounting standards and (2) express an unqualified opinion on the effectiveness of internal control over financial reporting). Such consolidated financial statements have been so incorporated in reliance upon the reports of such firm given upon their authority as experts in accounting and auditing.</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First Data</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consolidated financial statements and schedule of First Data Corporation as of December 31, 2018 and 2017, and for each of the three years in the period ended December 31, 2018, included in Fiserv, Inc.’s Current Report on Form 8-K, filed June 10, 2019 and incorporated by reference into this prospectus supplement and the accompanying prospectus, have been audited by Ernst &amp; Young LLP, an independent registered public accounting firm, as set forth in their report thereon, included therein, and incorporated by reference herein. Such consolidated financial statements and schedule have been incorporated by reference herein in reliance on such report given on the authority of such firm as experts in accounting and auditing.</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634365</wp:posOffset>
            </wp:positionV>
            <wp:extent cx="1474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171450</wp:posOffset>
            </wp:positionV>
            <wp:extent cx="617220" cy="308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9">
                      <a:extLst>
                        <a:ext uri="{28A0092B-C50C-407E-A947-70E740481C1C}"/>
                      </a:extLst>
                    </a:blip>
                    <a:srcRect/>
                    <a:stretch>
                      <a:fillRect/>
                    </a:stretch>
                  </pic:blipFill>
                  <pic:spPr bwMode="auto">
                    <a:xfrm>
                      <a:off x="0" y="0"/>
                      <a:ext cx="6172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Debt Securities, Common Stock, Preferred Stock, Depositary Shares,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Warrants, Purchase Contracts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74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may offer and sell from time to time securities in one or more offerings in amounts, at prices and on terms that we will determine at the time of the offering. This prospectus provides you with a general description of the securities we may offer.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offer and sell the following securities:</w:t>
      </w:r>
    </w:p>
    <w:p>
      <w:pPr>
        <w:spacing w:after="0" w:line="131"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senior debt securities, which may be convertible into our common stock or other securities or property;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preferred stock, which may be convertible into our common stock or other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warrants to purchase common stock, preferred stock, depositary shares or debt securities;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contracts for the purchase or sale of our debt securities or equity securities or securities of third parties including any of our affiliates, a basket of such securities, an index or indices of such securities or any combination of the above;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units consisting of one or more debt securities or other securities.</w:t>
      </w:r>
    </w:p>
    <w:p>
      <w:pPr>
        <w:spacing w:after="0" w:line="22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Each time securities are sold using this prospectus, we will provide a supplement to this prospectus containing specific information about the offering and the terms of the securities being sold, including the offering price. The supplement may also add, update or change information contained in this prospectus. You should read this prospectus and any prospectus supplement applicable to the specific issue of securities carefully before you invest.</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may offer and sell these securities to or through underwriters, dealers or agents, or directly to investors, on a continued or a delayed basis.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applicable prospectus supplement to this prospectus will provide the specific terms of the plan of distribution.</w:t>
      </w:r>
    </w:p>
    <w:p>
      <w:pPr>
        <w:spacing w:after="0" w:line="21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addition, selling shareholders to be named in a prospectus supplement may offer and sell from time to time shares of our common stock in such amounts as set forth in a prospectus supplement. Unless otherwise set forth in a prospectus supplement, we will not receive any proceeds from the sale of shares of our common stock by any selling shareholders.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traded on the NASDAQ Global Select Market under the symbol “FISV.”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20" w:right="140" w:firstLine="440"/>
        <w:spacing w:after="0" w:line="300" w:lineRule="auto"/>
        <w:rPr>
          <w:sz w:val="20"/>
          <w:szCs w:val="20"/>
          <w:color w:val="auto"/>
        </w:rPr>
      </w:pPr>
      <w:r>
        <w:rPr>
          <w:rFonts w:ascii="Arial" w:cs="Arial" w:eastAsia="Arial" w:hAnsi="Arial"/>
          <w:sz w:val="19"/>
          <w:szCs w:val="19"/>
          <w:b w:val="1"/>
          <w:bCs w:val="1"/>
          <w:color w:val="auto"/>
        </w:rPr>
        <w:t>Investment in our securities involves risks. See “Risk Factors” in our most recent Annual Report on Form 10-K and subsequently filed Quarterly Reports on Form 10-Q and in any applicable prospectus supplement for a discussion of certain factors which should be considered in an investment of the securities which may be offered hereby.</w:t>
      </w:r>
    </w:p>
    <w:p>
      <w:pPr>
        <w:spacing w:after="0" w:line="135" w:lineRule="exact"/>
        <w:rPr>
          <w:sz w:val="20"/>
          <w:szCs w:val="20"/>
          <w:color w:val="auto"/>
        </w:rPr>
      </w:pPr>
    </w:p>
    <w:p>
      <w:pPr>
        <w:ind w:left="120" w:right="14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194945</wp:posOffset>
            </wp:positionV>
            <wp:extent cx="1474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is September 20, 2018.</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280" w:type="dxa"/>
            <w:vAlign w:val="bottom"/>
            <w:gridSpan w:val="3"/>
          </w:tcPr>
          <w:p>
            <w:pPr>
              <w:ind w:left="84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85"/>
        </w:trPr>
        <w:tc>
          <w:tcPr>
            <w:tcW w:w="3700" w:type="dxa"/>
            <w:vAlign w:val="bottom"/>
            <w:vMerge w:val="restart"/>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About this Prospectus</w:t>
              </w:r>
            </w:hyperlink>
          </w:p>
        </w:tc>
        <w:tc>
          <w:tcPr>
            <w:tcW w:w="696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02"/>
        </w:trPr>
        <w:tc>
          <w:tcPr>
            <w:tcW w:w="3700" w:type="dxa"/>
            <w:vAlign w:val="bottom"/>
            <w:vMerge w:val="continue"/>
          </w:tcPr>
          <w:p>
            <w:pPr>
              <w:spacing w:after="0"/>
              <w:rPr>
                <w:sz w:val="17"/>
                <w:szCs w:val="17"/>
                <w:color w:val="auto"/>
              </w:rPr>
            </w:pPr>
          </w:p>
        </w:tc>
        <w:tc>
          <w:tcPr>
            <w:tcW w:w="6960" w:type="dxa"/>
            <w:vAlign w:val="bottom"/>
          </w:tcPr>
          <w:p>
            <w:pPr>
              <w:spacing w:after="0"/>
              <w:rPr>
                <w:sz w:val="17"/>
                <w:szCs w:val="17"/>
                <w:color w:val="auto"/>
              </w:rPr>
            </w:pPr>
          </w:p>
        </w:tc>
        <w:tc>
          <w:tcPr>
            <w:tcW w:w="3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Forward-Looking Statements</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700" w:type="dxa"/>
            <w:vAlign w:val="bottom"/>
          </w:tcPr>
          <w:p>
            <w:pPr>
              <w:spacing w:after="0"/>
              <w:rPr>
                <w:rFonts w:ascii="Arial" w:cs="Arial" w:eastAsia="Arial" w:hAnsi="Arial"/>
                <w:sz w:val="18"/>
                <w:szCs w:val="18"/>
                <w:color w:val="0000EE"/>
              </w:rPr>
            </w:pPr>
            <w:hyperlink w:anchor="page29">
              <w:r>
                <w:rPr>
                  <w:rFonts w:ascii="Arial" w:cs="Arial" w:eastAsia="Arial" w:hAnsi="Arial"/>
                  <w:sz w:val="18"/>
                  <w:szCs w:val="18"/>
                  <w:u w:val="single" w:color="auto"/>
                  <w:color w:val="0000EE"/>
                </w:rPr>
                <w:t>Fiserv, Inc</w:t>
              </w:r>
              <w:r>
                <w:rPr>
                  <w:rFonts w:ascii="Arial" w:cs="Arial" w:eastAsia="Arial" w:hAnsi="Arial"/>
                  <w:sz w:val="18"/>
                  <w:szCs w:val="18"/>
                  <w:color w:val="0000EE"/>
                </w:rPr>
                <w:t>.</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70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Ratios of Earnings to Fixed Charges</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70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Use of Proceeds</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700" w:type="dxa"/>
            <w:vAlign w:val="bottom"/>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Description of Debt Securities</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70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Description of Capital Stock</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70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Description of Depositary Shares</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70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Description of Warrants</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70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Description of Purchase Contracts</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70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Description of Units</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70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Selling Shareholders</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70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Plan of Distribution</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70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Where You Can Find More Information</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70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Legal Matters</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70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Experts</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Unless the context otherwise requires, in this prospectus, “we,” “us,” “our” or “ours” refer to Fiserv, Inc. and its consolidated subsidiaries.</w:t>
      </w:r>
    </w:p>
    <w:p>
      <w:pPr>
        <w:spacing w:after="0" w:line="237" w:lineRule="exact"/>
        <w:rPr>
          <w:sz w:val="20"/>
          <w:szCs w:val="20"/>
          <w:color w:val="auto"/>
        </w:rPr>
      </w:pPr>
    </w:p>
    <w:p>
      <w:pPr>
        <w:ind w:left="120" w:right="240" w:firstLine="440"/>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utilizing a “shelf” registration process. Under this shelf process, we may, from time to time, sell the securities or combinations of the securities described in this prospectus, and one or more of our shareholders may sell our common stock, in one or more offerings. This prospectus provides you with a general description of those securities. Each time we offer securities, we will provide a prospectus supplement that will contain specific information about the terms of that offering. The prospectus supplement may also add, update or change information contained in this prospectus. You should read this prospectus and any prospectus supplement together with the additional information described under the heading “Where You Can Find More Information.”</w:t>
      </w:r>
    </w:p>
    <w:p>
      <w:pPr>
        <w:spacing w:after="0" w:line="195"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You should rely only on the information contained or incorporated by reference in this prospectus, in any prospectus supplement and in any free writing prospectus we file with the SEC. “Incorporated by reference” means that we can disclose important information to you by referring you to another document filed separately with the SEC. We have not authorized any other person to provide you with different or additional information. If anyone provides you with different or additional information, you should not rely on it.</w:t>
      </w:r>
    </w:p>
    <w:p>
      <w:pPr>
        <w:spacing w:after="0" w:line="187"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We are not making offers to sell or solicitations to buy the securities in any jurisdiction in which an offer or solicitation is not authorized or in which the person making that offer or solicitation is not qualified to do so or to anyone to whom it is unlawful to make an offer or solicitation.</w:t>
      </w:r>
    </w:p>
    <w:p>
      <w:pPr>
        <w:spacing w:after="0" w:line="12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You should not assume that the information in this prospectus or any prospectus supplement, or the information we file or previously filed with the SEC that we incorporate by reference in this prospectus and any prospectus supplement, is accurate as of any date other than the respective dates of those documents. Our business, financial condition, liquidity, results of operations and prospects may have changed since those dates.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This prospectus and any prospectus supplement, and the information incorporated by reference in this prospectus or any prospectus supplement,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or similar expression, and can generally be identified as forward-looking because they include words such as “believes,” “anticipates,” “expects,” “could,” “should” or words of similar meaning. Statements that describe our future plans, objectives or goals are also forward-looking statements. The forward-looking statements included or incorporated by reference in this prospectus or any supplement to this prospectus involve significant risks and uncertainties, and a number of factors, both foreseen and unforeseen, that could cause actual results to differ materially from our current expectations. The factors that may affect our results include, among others: pricing and other actions by competitors; the capacity of our technology to keep pace with a rapidly evolving marketplace; the impact of a security breach or operational failure on our business; the effect of legislative and regulatory actions in the United States and internationally; our ability to comply with government regulations; our ability to successfully identify, complete and integrate acquisitions, and to realize the anticipated benefits associated with the same; the impact of our strategic initiatives; the impact of market and economic conditions on the financial services industry; and other factors identified in our most recent Annual Report on Form</w:t>
      </w:r>
    </w:p>
    <w:p>
      <w:pPr>
        <w:spacing w:after="0" w:line="3" w:lineRule="exact"/>
        <w:rPr>
          <w:sz w:val="20"/>
          <w:szCs w:val="20"/>
          <w:color w:val="auto"/>
        </w:rPr>
      </w:pPr>
    </w:p>
    <w:p>
      <w:pPr>
        <w:jc w:val="both"/>
        <w:ind w:left="120" w:right="60"/>
        <w:spacing w:after="0" w:line="253" w:lineRule="auto"/>
        <w:rPr>
          <w:sz w:val="20"/>
          <w:szCs w:val="20"/>
          <w:color w:val="auto"/>
        </w:rPr>
      </w:pPr>
      <w:r>
        <w:rPr>
          <w:rFonts w:ascii="Arial" w:cs="Arial" w:eastAsia="Arial" w:hAnsi="Arial"/>
          <w:sz w:val="18"/>
          <w:szCs w:val="18"/>
          <w:color w:val="auto"/>
        </w:rPr>
        <w:t>10-K and Quarterly Report on Form 10-Q and in other documents that we file with the SEC. You should consider these factors carefully in evaluating forward-looking statements and are cautioned not to place undue reliance on such statements, which speak only as of the date of this prospectus or the date of the incorporated document. We undertake no obligation to update forward-looking statements to reflect events or circumstances occurring after the date of this prospectus.</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20"/>
          </w:cols>
          <w:pgMar w:left="320" w:top="459" w:right="5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FISERV, INC.</w:t>
      </w:r>
    </w:p>
    <w:p>
      <w:pPr>
        <w:spacing w:after="0" w:line="229"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We are a leading global provider of financial services technology. We are publicly traded on the NASDAQ Global Select Market and part of the S&amp;P 500</w:t>
      </w:r>
      <w:r>
        <w:rPr>
          <w:rFonts w:ascii="Arial" w:cs="Arial" w:eastAsia="Arial" w:hAnsi="Arial"/>
          <w:sz w:val="14"/>
          <w:szCs w:val="14"/>
          <w:color w:val="auto"/>
        </w:rPr>
        <w:t>®</w:t>
      </w:r>
      <w:r>
        <w:rPr>
          <w:rFonts w:ascii="Arial" w:cs="Arial" w:eastAsia="Arial" w:hAnsi="Arial"/>
          <w:sz w:val="17"/>
          <w:szCs w:val="17"/>
          <w:color w:val="auto"/>
        </w:rPr>
        <w:t xml:space="preserve"> Index. We serve clients worldwide, including banks, credit unions, investment management firms, leasing and finance companies, billers, retailers, and merchants. We provide account processing systems; electronic payments processing products and services, such as electronic bill payment and presentment services, account-to-account transfers, person-to-person payments, debit and credit card processing and services, and payments infrastructure services; internet and mobile banking systems; and related services including card and print personalization services, item processing and source capture services, loan origination and servicing products, and fraud and risk management products and services. Most of the services we provide are necessary for our clients to operate their businesses and are, therefore, non-discretionary in nature. Our operations are principally located in the United States where we operate data and transaction processing centers, provide technology support, develop software and payment solutions, and offer consulting services.</w:t>
      </w:r>
    </w:p>
    <w:p>
      <w:pPr>
        <w:spacing w:after="0" w:line="18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are a Wisconsin corporation and our principal executive offices are located at 255 Fiserv Drive, Brookfield, Wisconsin 53045. Our telephone number is (262) 879-5000.</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RATIOS OF EARNINGS TO FIXED CHARGES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our ratios of consolidated earnings to fixed charges for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6"/>
            <w:vMerge w:val="restart"/>
          </w:tcPr>
          <w:p>
            <w:pPr>
              <w:jc w:val="right"/>
              <w:ind w:right="280"/>
              <w:spacing w:after="0"/>
              <w:rPr>
                <w:sz w:val="20"/>
                <w:szCs w:val="20"/>
                <w:color w:val="auto"/>
              </w:rPr>
            </w:pPr>
            <w:r>
              <w:rPr>
                <w:rFonts w:ascii="Arial" w:cs="Arial" w:eastAsia="Arial" w:hAnsi="Arial"/>
                <w:sz w:val="14"/>
                <w:szCs w:val="14"/>
                <w:b w:val="1"/>
                <w:bCs w:val="1"/>
                <w:color w:val="auto"/>
                <w:w w:val="91"/>
              </w:rPr>
              <w:t>Years Ended December 31,</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6"/>
            <w:vMerge w:val="continue"/>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8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2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 (1)</w:t>
            </w:r>
          </w:p>
        </w:tc>
        <w:tc>
          <w:tcPr>
            <w:tcW w:w="114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8"/>
              </w:rPr>
              <w:t>9.0x</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7.2x</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7.3x</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6.1x</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6.2x</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5.5x</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60" w:hanging="424"/>
        <w:spacing w:after="0" w:line="263"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purposes of calculating the ratios of earnings to fixed charges, earnings consist of income from continuing operations before income taxes and income from investments in unconsolidated affiliates, plus fixed charges. Fixed charges consist of interest expensed, amortized discounts and capitalized expenses related to indebtedness and an estimate of interest within rental expense.</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did not have any preferred stock outstanding and we did not pay or accrue any preferred stock dividends during the periods presented above. Accordingly, our ratios of earnings to combined fixed charges and preference dividends are the same as those presented in the table of ratios of earnings to fixed charges set forth above for each of the respective periods presented.</w:t>
      </w: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describe the use of the net proceeds from the sales of the securities in the applicable prospectus supplement.</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This section describes the general terms and provisions of the debt securities that we may issue in the form of one or more series from time to time, separately, upon exercise of a debt warrant, in connection with a purchase contract or as part of a unit. The applicable prospectus supplement will describe the specific terms of the debt securities offered through that prospectus supplement as well as any general terms described in this section that will not apply to those debt securities. The debt securities will be issued under an indenture between us and U.S. Bank National Association, as trustee.</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summarized selected provisions of the indenture below. The summary is not complete. The indenture has been filed with the Securities and Exchange Commission as an exhibit to the registration statement of which this prospectus is a part, and you should read the indenture for provisions that may be important to you. In the summary below, we have included references to article or section numbers of the indenture so that you can easily locate these provisions. Whenever we refer in this prospectus or in the prospectus supplement to particular article or sections or defined terms of the indenture, those article or sections or defined terms are incorporated by reference herein or therein, as applicable. Capitalized terms used in the summary have the meanings specified in the indenture.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460" w:firstLine="440"/>
        <w:spacing w:after="0" w:line="259" w:lineRule="auto"/>
        <w:rPr>
          <w:sz w:val="20"/>
          <w:szCs w:val="20"/>
          <w:color w:val="auto"/>
        </w:rPr>
      </w:pPr>
      <w:r>
        <w:rPr>
          <w:rFonts w:ascii="Arial" w:cs="Arial" w:eastAsia="Arial" w:hAnsi="Arial"/>
          <w:sz w:val="18"/>
          <w:szCs w:val="18"/>
          <w:color w:val="auto"/>
        </w:rPr>
        <w:t>The indenture provides that debt securities in separate series may be issued under the indenture from time to time without limitation as to aggregate principal amount. We may specify a maximum aggregate principal amount for the debt securities of any series (Section 301). We will determine the terms and conditions of the debt securities, including the maturity, principal and interest, but those terms must be consistent with the indenture.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applicable prospectus supplement will set forth or describe the following terms of each series of such debt securities:</w:t>
      </w:r>
    </w:p>
    <w:p>
      <w:pPr>
        <w:spacing w:after="0" w:line="131"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price or prices at which the debt securities will be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person to whom any interest on the debt securities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interest rate or rates that the debt securities will bear and the interest payment dates for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places where payments on the debt securities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periods within which, and terms upon which, the debt securities may be redeemed, in whole or in part, at our option;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portion of the principal amount, if less than all, of the debt securities that will be payable upon declaration of acceleration of the maturity of the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debt securities are defeasible and any changes or additions to the indenture’s defeasance provisions;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debt securities are convertible into our common stock or other securities or property and, if so, the terms and conditions upon which conversion will be effected;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with respect to the debt securities;</w:t>
      </w:r>
    </w:p>
    <w:p>
      <w:pPr>
        <w:spacing w:after="0" w:line="157" w:lineRule="exact"/>
        <w:rPr>
          <w:rFonts w:ascii="Arial" w:cs="Arial" w:eastAsia="Arial" w:hAnsi="Arial"/>
          <w:sz w:val="18"/>
          <w:szCs w:val="18"/>
          <w:color w:val="auto"/>
        </w:rPr>
      </w:pPr>
    </w:p>
    <w:p>
      <w:pPr>
        <w:ind w:left="5580" w:hanging="106"/>
        <w:spacing w:after="0"/>
        <w:tabs>
          <w:tab w:leader="none" w:pos="55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addition to or change in the covenants in the indenture; and</w:t>
      </w:r>
    </w:p>
    <w:p>
      <w:pPr>
        <w:spacing w:after="0" w:line="23"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provisions of the indenture (Section 301).</w:t>
      </w:r>
    </w:p>
    <w:p>
      <w:pPr>
        <w:spacing w:after="0" w:line="21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indenture does not limit the amount of debt securities that may be issued. The indenture allows debt securities to be issued up to the principal amount that we may authorize and may be in any currency or currency unit we designate.</w:t>
      </w:r>
    </w:p>
    <w:p>
      <w:pPr>
        <w:spacing w:after="0" w:line="170"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Debt securities, including Original Issue Discount Securities (as defined in the indenture), may be sold at a substantial discount below their principal amount. Special U.S. federal income tax considerations applicable to debt securities sold at an original issue discount may be described in the applicable prospectus supplement. In addition, special U.S. federal income tax or other considerations applicable to any debt securities that are denominated in a currency or currency unit other than U.S. dollars may be described in the applicable prospectus supplement.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Rights</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debt securities may be converted into our common stock or other securities or property, if at all, according to the terms and conditions of an applicable prospectus supplement. Such terms will include the conversion price, the conversion period, provisions as to whether conversion will be at our option or the option of the holders of such series of debt securities, the events requiring an adjustment of the conversion price, and provisions affecting conversion in the event of the redemption of such series of debt securities.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Unless otherwise specified in the prospectus supplement, we may not consolidate with or merge into, or transfer, lease or otherwise dispose all or substantially all of our assets to, any person, and may not permit any person to consolidate with or merge into us, unless:</w:t>
      </w:r>
    </w:p>
    <w:p>
      <w:pPr>
        <w:spacing w:after="0" w:line="52" w:lineRule="exact"/>
        <w:rPr>
          <w:sz w:val="20"/>
          <w:szCs w:val="20"/>
          <w:color w:val="auto"/>
        </w:rPr>
      </w:pPr>
    </w:p>
    <w:p>
      <w:pPr>
        <w:ind w:left="1080" w:right="280" w:hanging="424"/>
        <w:spacing w:after="0" w:line="34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successor person (if any) is a corporation, limited liability company, partnership, trust or other entity organized and validly existing under the laws of any domestic jurisdiction and assumes our obligations with respect to the debt securities under the indenture;</w:t>
      </w:r>
    </w:p>
    <w:p>
      <w:pPr>
        <w:spacing w:after="0" w:line="29" w:lineRule="exact"/>
        <w:rPr>
          <w:rFonts w:ascii="Arial" w:cs="Arial" w:eastAsia="Arial" w:hAnsi="Arial"/>
          <w:sz w:val="16"/>
          <w:szCs w:val="16"/>
          <w:color w:val="auto"/>
        </w:rPr>
      </w:pPr>
    </w:p>
    <w:p>
      <w:pPr>
        <w:ind w:left="1080" w:right="10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immediately after giving pro forma effect to the transaction, no event of default, and no event which, after notice or lapse of time or both, would become an event of default, exists; and</w:t>
      </w:r>
    </w:p>
    <w:p>
      <w:pPr>
        <w:spacing w:after="0" w:line="75" w:lineRule="exact"/>
        <w:rPr>
          <w:rFonts w:ascii="Arial" w:cs="Arial" w:eastAsia="Arial" w:hAnsi="Arial"/>
          <w:sz w:val="18"/>
          <w:szCs w:val="18"/>
          <w:color w:val="auto"/>
        </w:rPr>
      </w:pPr>
    </w:p>
    <w:p>
      <w:pPr>
        <w:ind w:left="1080" w:right="180" w:hanging="424"/>
        <w:spacing w:after="0" w:line="34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deliver to the trustee an officers’ certificate and opinion of counsel stating that the transaction and the related supplemental indenture comply with the applicable provisions of the indenture and all applicable conditions precedent have been satisfied (Section 801).</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Unless otherwise specified in the prospectus supplement, each of the following will constitute an event of default under the indenture with respect to debt securities of any series:</w:t>
      </w:r>
    </w:p>
    <w:p>
      <w:pPr>
        <w:spacing w:after="0" w:line="76"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pay principal of or any premium on any debt security of that series when due;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pay any interest on any debt securities of that series when due, that is not cured within 30 days;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failure to deposit any sinking fund payment, when due, in respect of any debt security of that series, that is not cured within 30 days;</w:t>
      </w:r>
    </w:p>
    <w:p>
      <w:pPr>
        <w:spacing w:after="0" w:line="142"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perform any of our other covenants in such indenture (other than a covenant included in such indenture solely for the benefit of a series other than that series or that is not made applicable to that</w:t>
      </w:r>
    </w:p>
    <w:p>
      <w:pPr>
        <w:spacing w:after="0" w:line="102" w:lineRule="exact"/>
        <w:rPr>
          <w:rFonts w:ascii="Arial" w:cs="Arial" w:eastAsia="Arial" w:hAnsi="Arial"/>
          <w:sz w:val="18"/>
          <w:szCs w:val="18"/>
          <w:color w:val="auto"/>
        </w:rPr>
      </w:pPr>
    </w:p>
    <w:p>
      <w:pPr>
        <w:ind w:left="5580" w:hanging="106"/>
        <w:spacing w:after="0"/>
        <w:tabs>
          <w:tab w:leader="none" w:pos="55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080"/>
          </w:cols>
          <w:pgMar w:left="32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58" w:lineRule="auto"/>
        <w:rPr>
          <w:sz w:val="20"/>
          <w:szCs w:val="20"/>
          <w:color w:val="auto"/>
        </w:rPr>
      </w:pPr>
      <w:r>
        <w:rPr>
          <w:rFonts w:ascii="Arial" w:cs="Arial" w:eastAsia="Arial" w:hAnsi="Arial"/>
          <w:sz w:val="18"/>
          <w:szCs w:val="18"/>
          <w:color w:val="auto"/>
        </w:rPr>
        <w:t>series), that is not cured within 90 days after written notice has been given by the trustee, or the holders of at least 25% in principal amount of the outstanding debt securities of that series, as provided in such indenture; or</w:t>
      </w:r>
    </w:p>
    <w:p>
      <w:pPr>
        <w:spacing w:after="0" w:line="1"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affecting us or any of our significant subsidiaries.</w:t>
      </w:r>
    </w:p>
    <w:p>
      <w:pPr>
        <w:spacing w:after="0" w:line="21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an event of default (other than an event of default with respect to Fiserv, Inc. described in clause (5) above) with respect to the debt securities of any series at the time outstanding occurs and is continuing, either the trustee by notice to us or the holders of at least 25% in principal amount of the outstanding debt securities of that series by notice to us and the trustee may declare the principal amount of the debt securities of that series (or, in the case of any Original Issue Discount Security, such portion of the principal amount of such security as may be specified in the terms of such security) to be due and payable immediately. If an event of default with respect to Fiserv, Inc. described in clause (5) above with respect to the debt securities of any series at the time outstanding occurs, the principal amount of all the debt securities of that series (or, in the case of any such Original Issue Discount Security, such specified amount) will automatically, and without any action by the trustee or any holder, become immediately due and payable. After any such acceleration, but before a judgment or decree based on acceleration, the holders of a majority in principal amount of the outstanding debt securities of that series may, under certain circumstances, rescind and annul such acceleration if all events of default, other than the non-payment of accelerated principal (or other specified amount), have been cured or waived as provided in the indenture (Section 502). For information as to waiver of defaults, see “—Modification and Waiver” below.</w:t>
      </w:r>
    </w:p>
    <w:p>
      <w:pPr>
        <w:spacing w:after="0" w:line="182"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Subject to the provisions of the indenture relating to the duties of the trustee in case an event of default has occurred and is continuing, the trustee will be under no obligation to exercise any of its rights or powers under the indenture at the request or direction of any of the holders of debt securities, unless such holders have offered to the trustee reasonable indemnity (Section 603). Subject to such provisions for the indemnification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512).</w:t>
      </w:r>
    </w:p>
    <w:p>
      <w:pPr>
        <w:spacing w:after="0" w:line="19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No holder of a debt security of any series will have any right to institute any proceeding under the indenture, or for the appointment of a receiver or a trustee, or for any other remedy under the indenture, unless:</w:t>
      </w:r>
    </w:p>
    <w:p>
      <w:pPr>
        <w:spacing w:after="0" w:line="76"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holder gives the trustee written notice of a continuing event of default with respect to the debt securities of that series;</w:t>
      </w:r>
    </w:p>
    <w:p>
      <w:pPr>
        <w:spacing w:after="0" w:line="130"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the outstanding debt securities of that series made a written request to pursue the remedy, and such holders have offered reasonable indemnity, to the trustee for losses incurred in connection with pursuit of the remedy; and</w:t>
      </w:r>
    </w:p>
    <w:p>
      <w:pPr>
        <w:spacing w:after="0" w:line="29" w:lineRule="exact"/>
        <w:rPr>
          <w:rFonts w:ascii="Arial" w:cs="Arial" w:eastAsia="Arial" w:hAnsi="Arial"/>
          <w:sz w:val="16"/>
          <w:szCs w:val="16"/>
          <w:color w:val="auto"/>
        </w:rPr>
      </w:pPr>
    </w:p>
    <w:p>
      <w:pPr>
        <w:ind w:left="1080" w:right="40" w:hanging="424"/>
        <w:spacing w:after="0" w:line="34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trustee fails to comply with the request, and does not receive from the holders of a majority in principal amount of the outstanding debt securities of that series a direction inconsistent with such request, within 60 days after such notice, request and offer (Section 507).</w:t>
      </w:r>
    </w:p>
    <w:p>
      <w:pPr>
        <w:spacing w:after="0" w:line="12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However, such limitations do not apply to a suit instituted by a holder of a debt security to enforce the payment of the principal of or any premium or interest on such debt security on or after the applicable due date specified in such debt security or, if applicable, to convert such debt security (Sections 507 and 508).</w:t>
      </w:r>
    </w:p>
    <w:p>
      <w:pPr>
        <w:spacing w:after="0" w:line="18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will be required to furnish to the trustee annually a statement by certain of our officers as to whether or not we, to their knowledge, are in default in the performance or observance of any of the terms, provisions and conditions of the indenture and, if so, specifying all such known defaults (Section 1004).</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Unless otherwise specified in the prospectus supplement, modifications and amendments of the indenture may be made by us and the trustee with the consent of the holders of a majority in principal amount of the outstanding debt securities of each series affected by such modification or amendment; provided, however, that no such modification or amendment may, without the consent of the holder of each outstanding debt security affected thereby:</w:t>
      </w:r>
    </w:p>
    <w:p>
      <w:pPr>
        <w:spacing w:after="0" w:line="92"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on, any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 the principal amount of, or any premium or interest on, any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any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 the place, manner or currency of payment of principal of, or any premium or interest on, any debt security;</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due on or any conversion right with respect to any debt securities in a manner adverse to the holders of such debt securities;</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the consent of whose holders is required for modification or amendment of the indenture;</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necessary for waiver of compliance with certain provisions of the indenture or for waiver of certain defaults;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modify such provisions with respect to modification, amendment or waiver;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 the ranking of any series of debt securities (Section 902).</w:t>
      </w:r>
    </w:p>
    <w:p>
      <w:pPr>
        <w:spacing w:after="0" w:line="225" w:lineRule="exact"/>
        <w:rPr>
          <w:sz w:val="20"/>
          <w:szCs w:val="20"/>
          <w:color w:val="auto"/>
        </w:rPr>
      </w:pPr>
    </w:p>
    <w:p>
      <w:pPr>
        <w:jc w:val="both"/>
        <w:ind w:left="120" w:right="200" w:firstLine="440"/>
        <w:spacing w:after="0" w:line="286" w:lineRule="auto"/>
        <w:rPr>
          <w:sz w:val="20"/>
          <w:szCs w:val="20"/>
          <w:color w:val="auto"/>
        </w:rPr>
      </w:pPr>
      <w:r>
        <w:rPr>
          <w:rFonts w:ascii="Arial" w:cs="Arial" w:eastAsia="Arial" w:hAnsi="Arial"/>
          <w:sz w:val="17"/>
          <w:szCs w:val="17"/>
          <w:color w:val="auto"/>
        </w:rPr>
        <w:t>Unless otherwise specified in the prospectus supplement, the holders of a majority in principal amount of the outstanding debt securities of any series may waive compliance by us with certain restrictive provisions of the indenture (Section 902). The holders of a majority in principal amount of the outstanding debt securities of any series may also waive any past default under the indenture, except a default:</w:t>
      </w:r>
    </w:p>
    <w:p>
      <w:pPr>
        <w:spacing w:after="0" w:line="71"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payment of principal, premium or interest or the payment of any redemption, purchase or repurchase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arising from our failure to convert any debt security in accordance with the indenture; or</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of certain covenants and provisions of the indenture which cannot be amended without the consent of the holder of each outstanding debt security of such series (Section 513).</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indenture will be discharged and will cease to be of further effect as to any series of debt securities (except as to any surviving rights of registration of transfer or exchange of debt securities expressly provided for in the indenture or any other surviving rights expressly provided for in a supplemental indenture) when:</w:t>
      </w:r>
    </w:p>
    <w:p>
      <w:pPr>
        <w:spacing w:after="0" w:line="89"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540" w:right="120" w:hanging="331"/>
        <w:spacing w:after="0" w:line="263" w:lineRule="auto"/>
        <w:tabs>
          <w:tab w:leader="none" w:pos="1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debt securities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89" w:lineRule="exact"/>
        <w:rPr>
          <w:rFonts w:ascii="Arial" w:cs="Arial" w:eastAsia="Arial" w:hAnsi="Arial"/>
          <w:sz w:val="18"/>
          <w:szCs w:val="18"/>
          <w:color w:val="auto"/>
        </w:rPr>
      </w:pPr>
    </w:p>
    <w:p>
      <w:pPr>
        <w:ind w:left="1540" w:hanging="331"/>
        <w:spacing w:after="0" w:line="311" w:lineRule="auto"/>
        <w:tabs>
          <w:tab w:leader="none" w:pos="15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debt securities that have not been delivered to the trustee for cancellation have become due and payable or will become due and payable at their stated maturity within one year or are to be called for redemption within one year under arrangements satisfactory to the trustee and in any case we have deposited with the trustee as trust funds U.S. dollars or U.S. government obligations in an</w:t>
      </w:r>
    </w:p>
    <w:p>
      <w:pPr>
        <w:spacing w:after="0" w:line="81" w:lineRule="exact"/>
        <w:rPr>
          <w:rFonts w:ascii="Arial" w:cs="Arial" w:eastAsia="Arial" w:hAnsi="Arial"/>
          <w:sz w:val="16"/>
          <w:szCs w:val="16"/>
          <w:color w:val="auto"/>
        </w:rPr>
      </w:pPr>
    </w:p>
    <w:p>
      <w:pPr>
        <w:ind w:left="5580" w:hanging="106"/>
        <w:spacing w:after="0"/>
        <w:tabs>
          <w:tab w:leader="none" w:pos="5580" w:val="left"/>
        </w:tabs>
        <w:numPr>
          <w:ilvl w:val="2"/>
          <w:numId w:val="30"/>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080"/>
          </w:cols>
          <w:pgMar w:left="32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60"/>
        <w:spacing w:after="0" w:line="277" w:lineRule="auto"/>
        <w:rPr>
          <w:sz w:val="20"/>
          <w:szCs w:val="20"/>
          <w:color w:val="auto"/>
        </w:rPr>
      </w:pPr>
      <w:r>
        <w:rPr>
          <w:rFonts w:ascii="Arial" w:cs="Arial" w:eastAsia="Arial" w:hAnsi="Arial"/>
          <w:sz w:val="18"/>
          <w:szCs w:val="18"/>
          <w:color w:val="auto"/>
        </w:rPr>
        <w:t>amount sufficient, to pay the entire indebtedness of such debt securities not delivered to the trustee for cancellation, for principal, premium, if any, and accrued interest to the stated maturity or redemption date;</w:t>
      </w:r>
    </w:p>
    <w:p>
      <w:pPr>
        <w:spacing w:after="0" w:line="76"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we have satisfied all conditions precedent to satisfaction and discharge of the indenture with respect to the debt securities (Section 401).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i w:val="1"/>
          <w:iCs w:val="1"/>
          <w:color w:val="auto"/>
        </w:rPr>
        <w:t>Legal Defeasance</w:t>
      </w:r>
      <w:r>
        <w:rPr>
          <w:rFonts w:ascii="Arial" w:cs="Arial" w:eastAsia="Arial" w:hAnsi="Arial"/>
          <w:sz w:val="17"/>
          <w:szCs w:val="17"/>
          <w:color w:val="auto"/>
        </w:rPr>
        <w:t>. We will be discharged from all our obligations with respect to such debt securities (except for certain obligations to convert,</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or register the transfer of debt securities, to replace stolen, lost or mutilated debt securities, to maintain paying agencies and to hold moneys for payment in trust) upon the deposit in trust for the benefit of the holders of such debt securities of money or U.S.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indenture and such debt securities. Such defeasance or discharge may occur only if, among other things:</w:t>
      </w:r>
    </w:p>
    <w:p>
      <w:pPr>
        <w:spacing w:after="0" w:line="83" w:lineRule="exact"/>
        <w:rPr>
          <w:sz w:val="20"/>
          <w:szCs w:val="20"/>
          <w:color w:val="auto"/>
        </w:rPr>
      </w:pPr>
    </w:p>
    <w:p>
      <w:pPr>
        <w:ind w:left="1080" w:right="60" w:hanging="532"/>
        <w:spacing w:after="0" w:line="25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delivered to the trustee an opinion of counsel to the effect that we have received from, or there has been published by, the U.S. Internal Revenue Service a ruling, or there has been a change in tax law, in either case to the effect that holders of such debt securities will not recognize gain or loss for federal income tax purposes as a result of such deposit and legal defeasance and will be subject to federal income tax on the same amount, in the same manner and at the same times as would have been the case if such deposit and legal defeasance were not to occur;</w:t>
      </w:r>
    </w:p>
    <w:p>
      <w:pPr>
        <w:spacing w:after="0" w:line="93" w:lineRule="exact"/>
        <w:rPr>
          <w:rFonts w:ascii="Arial" w:cs="Arial" w:eastAsia="Arial" w:hAnsi="Arial"/>
          <w:sz w:val="18"/>
          <w:szCs w:val="18"/>
          <w:color w:val="auto"/>
        </w:rPr>
      </w:pPr>
    </w:p>
    <w:p>
      <w:pPr>
        <w:ind w:left="1080" w:right="180" w:hanging="532"/>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event of default or event that with the passing of time or the giving of notice, or both, shall constitute an event of default shall have occurred and be continuing at the time of such deposit or, with respect to any event of default described in clause (5) under “—Events of Default,” at any time until 90 days after such deposit;</w:t>
      </w:r>
    </w:p>
    <w:p>
      <w:pPr>
        <w:spacing w:after="0" w:line="89"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deposit and defeasance will not result in a breach or violation of, or constitute a default under, any agreement or instrument to which we are a party or by which we are bound; and</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delivered to the trustee an opinion of counsel to the effect that such defeasance will not cause the trustee or the trust so created to be subject to the Investment Company Act of 1940 (Sections 1302 and 1304).</w:t>
      </w:r>
    </w:p>
    <w:p>
      <w:pPr>
        <w:spacing w:after="0" w:line="170"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Covenant Defeasance</w:t>
      </w:r>
      <w:r>
        <w:rPr>
          <w:rFonts w:ascii="Arial" w:cs="Arial" w:eastAsia="Arial" w:hAnsi="Arial"/>
          <w:sz w:val="17"/>
          <w:szCs w:val="17"/>
          <w:color w:val="auto"/>
        </w:rPr>
        <w:t>. The indenture provides that we may elect, at our option, that our failure to comply with certain restrictive covenants (but</w:t>
      </w:r>
      <w:r>
        <w:rPr>
          <w:rFonts w:ascii="Arial" w:cs="Arial" w:eastAsia="Arial" w:hAnsi="Arial"/>
          <w:sz w:val="17"/>
          <w:szCs w:val="17"/>
          <w:i w:val="1"/>
          <w:iCs w:val="1"/>
          <w:color w:val="auto"/>
        </w:rPr>
        <w:t xml:space="preserve"> </w:t>
      </w:r>
      <w:r>
        <w:rPr>
          <w:rFonts w:ascii="Arial" w:cs="Arial" w:eastAsia="Arial" w:hAnsi="Arial"/>
          <w:sz w:val="17"/>
          <w:szCs w:val="17"/>
          <w:color w:val="auto"/>
        </w:rPr>
        <w:t>not to conversion, if applicable), including those that may be described in the applicable prospectus supplement, and the occurrence of certain events of default which are described above in clause (4) under “—Events of Default” and any that may be described in the applicable prospectus supplement, will not be deemed to either be or result in an event of default with respect to such debt securities. In order to exercise such option, we must deposit, in trust for the benefit of the holders of such debt securities, money or U.S.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indenture and such debt securities. Such covenant defeasance may occur only if we have delivered to the trustee an opinion of counsel that in effect says that holders of such debt securities will not recognize gain or loss for federal income tax purposes as a result of such deposit and covenant defeasance and will be subject to federal income tax on the same amount, in the same manner and at the same times as would have been the case if such deposit and covenant defeasance were not to occur, and the requirements set forth in clauses (2), (3), and (4) under the heading —“Legal Defeasance and Covenant Defeasance” above are satisfied. If we exercise this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option with respect to any debt securities and such debt securities were declared due and payable because of the occurrence of any event of default, the amount of money and U.S. government obligations so deposited in trust would be sufficient to pay amounts due on such debt securities at the time of their respective stated maturities but may not be sufficient to pay amounts due on such debt securities upon any acceleration resulting from such event of default. In such case, we would remain liable for such payments (Sections 1303 and 1304).</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following description of our capital stock summarizes general terms and provisions that apply to our capital stock. Because this is only a summary it does not contain all of the information that may be important to you. The summary is subject to and qualified in its entirety by reference to our articles of incorporation and by-laws, which are filed as exhibits to the registration statement of which this prospectus is a part and incorporated by reference into this prospectus. See “Where You Can Find More Information.”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Our authorized capital stock consists of 1,800,000,000 shares of common stock, $.01 par value per share, and 25,000,000 shares of preferred stock, no par value per share. We will disclose in an applicable prospectus supplement the number of shares of our common stock then outstanding. As of the date of this prospectus, no shares of our preferred stock were outstanding.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Subject to Section 180.1150 of the Wisconsin Business Corporation Law (described below under “—Statutory Provisions”), holders of our common stock are entitled to one vote for each share of common stock held by them on all matters properly presented to shareholders. Subject to the prior rights of the holders of any shares of our preferred stock that are outstanding, our board of directors may at its discretion declare and pay dividends on our common stock out of our earnings or assets legally available for the payment of dividends. Subject to the prior rights of the holders of any shares of our preferred stock that are outstanding, if we are liquidated, any amounts remaining after the discharge of outstanding indebtedness will be paid pro rata to the holders of our common stock. Holders of our common stock have no preemptive, subscription, redemption or conversion rights. The rights, preferences and privileges of holders of our common stock are subject to, and may be adversely affected by, the rights of the holders of shares of any series of preferred stock that we may designate and issue in the future.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board of directors is authorized to issue our preferred stock in series and to fix the voting rights; the designations, preferences, limitations and relative rights of any series with respect to the rate of dividend, the price, the terms and conditions of redemption; the amounts payable in the event of voluntary or involuntary liquidation; sinking fund provisions for redemption or purchase of a series; and the terms and conditions on which a series may be converted.</w:t>
      </w:r>
    </w:p>
    <w:p>
      <w:pPr>
        <w:spacing w:after="0" w:line="18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If we offer preferred stock, we will file the terms of the preferred stock with the SEC and the prospectus supplement relating to that offering will include a description of the specific terms of the offering, including the following specific terms:</w:t>
      </w:r>
    </w:p>
    <w:p>
      <w:pPr>
        <w:spacing w:after="0" w:line="76"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series, the number of shares offered and the liquidation value of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price at which the preferred stock will be issued;</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dividend rate, the dates on which the dividends will be payable and other terms relating to the payment of dividends on the preferred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liquidation preference of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voting rights of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preferred stock is redeemable or subject to a sinking fund, and the terms of any such redemption or sinking fund;</w:t>
      </w:r>
    </w:p>
    <w:p>
      <w:pPr>
        <w:spacing w:after="0" w:line="157" w:lineRule="exact"/>
        <w:rPr>
          <w:rFonts w:ascii="Arial" w:cs="Arial" w:eastAsia="Arial" w:hAnsi="Arial"/>
          <w:sz w:val="18"/>
          <w:szCs w:val="18"/>
          <w:color w:val="auto"/>
        </w:rPr>
      </w:pPr>
    </w:p>
    <w:p>
      <w:pPr>
        <w:ind w:left="5540" w:hanging="111"/>
        <w:spacing w:after="0"/>
        <w:tabs>
          <w:tab w:leader="none" w:pos="55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preferred stock is convertible or exchangeable for any other securities, and the terms of any such conversion;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additional rights, preferences, qualifications, limitations and restrictions of the preferred stock.</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It is not possible to state the actual effect of the issuance of any shares of preferred stock upon the rights of holders of our common stock until the board of directors determines the specific rights of the holders of the preferred stock. However, these effects might include:</w:t>
      </w:r>
    </w:p>
    <w:p>
      <w:pPr>
        <w:spacing w:after="0" w:line="76"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delaying or preventing a change in control of our company.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Statutory Provisions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Section 180.1150 of the Wisconsin Business Corporation Law provides that the voting power of public Wisconsin corporations such as us held by any person or persons acting as a group in excess of 20% of our voting power is limited to 10% of the full voting power of those shares, unless full voting power of those shares has been restored pursuant to a vote of shareholders. Sections 180.1140 to 180.1144 of the Wisconsin Business Corporation Law contain some limitations and special voting provisions applicable to specified business combinations involving Wisconsin corporations such as us and a significant shareholder, unless the board of directors of the corporation approves the business combination or the shareholder’s acquisition of shares before these shares are acquired.</w:t>
      </w:r>
    </w:p>
    <w:p>
      <w:pPr>
        <w:spacing w:after="0" w:line="192"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Similarly, Sections 180.1130 to 180.1133 of the Wisconsin Business Corporation Law contain special voting provisions applicable to some business combinations, unless specified minimum price and procedural requirements are met. Following commencement of a takeover offer, Section 180.1134 of the Wisconsin Business Corporation Law imposes special voting requirements on share repurchases effected at a premium to the market and on asset sales by the corporation, unless, as it relates to the potential sale of assets, the corporation has at least three independent directors and a majority of the independent directors vote not to have the provision apply to the corporation.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DEPOSITARY SHARES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may, at our option, elect to offer fractional interests in shares of preferred stock rather than a full share of preferred stock. In that event, depositary receipts will be issued for depositary shares, each of which will represent a fraction of a share of a particular class or series of preferred stock, as described in the applicable prospectus supplement.</w:t>
      </w:r>
    </w:p>
    <w:p>
      <w:pPr>
        <w:spacing w:after="0" w:line="184"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Any series of preferred stock represented by depositary shares will be deposited under a deposit agreement between Fiserv, Inc. and the depositary. The prospectus supplement relating to a series of depositary shares will set forth the name and address of the depositary for the depositary shares and summarize the material provisions of the deposit agreement. Subject to the terms of the deposit agreement, each owner of a depositary share will be entitled, in proportion to the applicable fraction of a share of preferred stock represented by such depositary share, to all the rights and preferences of the preferred stock represented by such depositary share, including dividend and liquidation rights and any right to convert or exchange the preferred stock into other securities.</w:t>
      </w:r>
    </w:p>
    <w:p>
      <w:pPr>
        <w:spacing w:after="0" w:line="192"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We will describe the particular terms of any depositary shares we offer in the applicable prospectus supplement. You should review the documents pursuant to which the depositary shares will be issued, which will be described in more detail in the applicable prospectus supplement.</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may issue warrants for the purchase of debt securities, preferred stock, common stock or other securities. Warrants may be issued independently or together with debt securities, preferred stock or common stock offered by any prospectus supplement and may be attached to or separate from any such offered securities. Each series of warrants will be issued under a separate warrant agreement to be entered into between us and a bank or trust company, as warrant agent, all as will be set forth in the prospectus supplement relating to the particular issue of warrants. The warrant agent will act solely as our agent in connection with the warrants and will not assume any obligation or relationship of agency or trust for or with any holders of warrants or beneficial owners of warrants.</w:t>
      </w:r>
    </w:p>
    <w:p>
      <w:pPr>
        <w:spacing w:after="0" w:line="19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following summary of certain provisions of the warrants does not purport to be complete and is subject to, and is qualified in its entirety by reference to, all provisions of the warrant agreements.</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Reference is made to the prospectus supplement relating to the particular issue of warrants offered pursuant to such prospectus supplement for the terms of and information relating to such warrants, including, where applicable:</w:t>
      </w:r>
    </w:p>
    <w:p>
      <w:pPr>
        <w:spacing w:after="0" w:line="76" w:lineRule="exact"/>
        <w:rPr>
          <w:sz w:val="20"/>
          <w:szCs w:val="20"/>
          <w:color w:val="auto"/>
        </w:rPr>
      </w:pPr>
    </w:p>
    <w:p>
      <w:pPr>
        <w:ind w:left="1080" w:hanging="424"/>
        <w:spacing w:after="0" w:line="308"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designation, aggregate principal amount, currencies, denominations and terms of the series of debt securities purchasable upon exercise of warrants to purchase debt securities and the price at which such debt securities may be purchased upon such exercise;</w:t>
      </w:r>
    </w:p>
    <w:p>
      <w:pPr>
        <w:spacing w:after="0" w:line="51" w:lineRule="exact"/>
        <w:rPr>
          <w:rFonts w:ascii="Arial" w:cs="Arial" w:eastAsia="Arial" w:hAnsi="Arial"/>
          <w:sz w:val="17"/>
          <w:szCs w:val="17"/>
          <w:color w:val="auto"/>
        </w:rPr>
      </w:pPr>
    </w:p>
    <w:p>
      <w:pPr>
        <w:ind w:left="1080" w:right="16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number of shares of common stock purchasable upon the exercise of warrants to purchase common stock and the price at which such number of shares of common stock may be purchased upon such exercise;</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number of shares and series of preferred stock purchasable upon the exercise of warrants to purchase preferred stock and the price at which such number of shares of such series of preferred stock may be purchased upon such exercise;</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designation and number of units of other securities purchasable upon the exercise of warrants to purchase other securities and the price at which such number of units of such other securities may be purchased upon such exercise;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 federal income tax consequences applicable to such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number of warrants outstanding as of the most recent practicable date;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terms of such warrants.</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Warrants will be issued in registered form only. Each warrant will entitle the holder thereof to purchase such principal amount of debt securities or such number of shares of preferred stock, common stock or other securities at such exercise price as will in each case be set forth in, or calculable from, the prospectus supplement relating to the warrants, which exercise price may be subject to adjustment upon the occurrence of certain events as set forth in such prospectus supplement. After the close of business on the expiration date, or such later date to which such expiration date may be extended by us, unexercised warrants will become void. The place or places where, and the manner in which, warrants may be exercised will be specified in the prospectus supplement relating to such warrants.</w:t>
      </w:r>
    </w:p>
    <w:p>
      <w:pPr>
        <w:spacing w:after="0" w:line="19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Prior to the exercise of any warrants to purchase debt securities, preferred stock, common stock or other securities, holders of such warrants will not have any of the rights of holders of debt securities, preferred stock, common stock or other securities, as the case may be, purchasable upon such exercise, including the right to receive payments of principal of, premium, if any, or interest, if any, on the debt securities purchasable upon such exercise or to enforce covenants in the indenture, or to receive payments of dividends, if any, on the preferred stock, or common stock purchasable upon such exercise, or to exercise any applicable right to vote.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may issue purchase contracts for the purchase or sale of our debt securities or equity securities or securities of third parties including any of our affiliates, a basket of such securities, an index or indices of such securities or any combination of the above as specified in the applicable prospectus supplement.</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may issue purchase contracts obligating holders to purchase from us, and obligating us to sell to holders, at a future date, a specified or varying number of securities at a purchase price, which may be based on a formula. Alternatively, we may issue purchase contracts obligating us to purchase from holders, and obligating holders to sell to us, at a future date, a specified or varying number of securities at a purchase price, which may be based on a formula. We may satisfy our obligations, if any, with respect to any purchase contract by delivering the subject securities or by delivering the cash value of such purchase contract or the cash value of the property otherwise deliverable, as set forth in the applicable prospectus supplement. The applicable prospectus supplement will specify the methods by which the holders may purchase or sell such securities and any acceleration, cancellation or termination provisions or other provisions relating to the settlement of a purchase contract.</w:t>
      </w:r>
    </w:p>
    <w:p>
      <w:pPr>
        <w:spacing w:after="0" w:line="17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The purchase contracts may require us to make periodic payments to the holders thereof or vice versa, and these payments may be unsecured or prefunded and may be paid on a current or deferred basis. The purchase contracts may require holders thereof to secure their obligations under the contracts in a specified manner to be described in the applicable prospectus supplement. Alternatively, purchase contracts may require holders to satisfy their obligations thereunder when the purchase contracts are issued as described in the applicable prospectus supplement.</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issue units comprised of one or more of the other securities described in this prospectus in any combination. Each unit may also include debt obligations or other securities of third parties not affiliated with us, such as U.S. Treasury securities. Each unit will be issued so that the holder of the unit is also the holder of each security included in the unit. Thus, the holder of a unit will have the rights and obligations of a holder of each included security. The applicable unit agreement under which a unit is issued may provide that the securities included in the unit may not be held or transferred separately, at any time or any time before a specified date.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applicable prospectus supplement will describe the terms of the units offered pursuant to it, including one or more of the following:</w:t>
      </w:r>
    </w:p>
    <w:p>
      <w:pPr>
        <w:spacing w:after="0" w:line="142" w:lineRule="exact"/>
        <w:rPr>
          <w:sz w:val="20"/>
          <w:szCs w:val="20"/>
          <w:color w:val="auto"/>
        </w:rPr>
      </w:pPr>
    </w:p>
    <w:p>
      <w:pPr>
        <w:ind w:left="1080" w:right="28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provisions for the issuance, payment, settlement, transfer or exchange of the units or of the securities comprising the units;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terms of any agreements governing the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U.S. federal income tax considerations relevant to the units;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225"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The preceding description and any description of units in the applicable prospectus supplement does not purport to be complete and is subject to and is qualified in its entirety by reference to each unit agreement and, if applicable, collateral arrangements relating to such units.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may register shares of common stock covered by this prospectus for re-offers and resales by any selling shareholders to be named in a prospectus supplement. Because we are a well-known seasoned issuer, as defined in Rule 405 of the Securities Act of 1933, as amended (the “Securities Act”), we may add secondary sales of shares of our common stock by any selling shareholders by filing a prospectus supplement with the SEC. We may register these shares to permit selling shareholders to resell their shares when they deem appropriate. A selling shareholder may resell all, a portion or none of such shareholder’s shares at any time and from time to time. Selling shareholders may also sell, transfer or otherwise dispose of some or all of their shares of our common stock in transactions exempt from the registration requirements of the Securities Act. We do not know when or in what amounts the selling shareholders may offer shares for sale under this prospectus and any prospectus supplement. We will not receive any proceeds from any sale of shares by a selling shareholder under this prospectus and any prospectus supplement. We may pay all expenses incurred with respect to the registration of the shares of common stock owned by the selling shareholders, other than underwriting fees, discounts or commissions, which will be borne by the selling shareholders. We will provide you with a prospectus supplement naming the selling shareholders, the amount of shares to be registered and sold and any other terms of the shares of common stock being sold by each selling shareholder.</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0"/>
          </w:cols>
          <w:pgMar w:left="32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We may sell our securities, and any selling shareholder may sell shares of our common stock, in any one or more of the following ways from time to time: (i) through agents; (ii) to or through underwriters; (iii) through brokers or dealers; (iv) directly by us or any selling shareholders to purchasers, including through a specific bidding, auction or other process; or (v) through a combination of any of these methods of sale. The applicable prospectus supplement will contain the terms of the transaction, name or names of any underwriters, dealers, agents and the respective amounts of securities underwritten or purchased by them, the initial public offering price of the securities, and the applicable agent’s commission, dealer’s purchase price or underwriter’s discount. Any selling shareholders, dealers and agents participating in the distribution of the securities may be deemed to be underwriters, and compensation received by them on resale of the securities may be deemed to be underwriting discounts. Additionally, because selling shareholders may be deemed to be “underwriters” within the meaning of Section 2(11) of the Securities Act, selling shareholders may be subject to the prospectus delivery requirements of the Securities Act.</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initial offering price, dealer purchase price, discount or commission may be changed from time to time.</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securities may be distributed from time to time in one or more transactions, at negotiated prices, at a fixed price or fixed prices (that may be subject to change), at market prices prevailing at the time of sale, at various prices determined at the time of sale or at prices related to prevailing market prices.</w:t>
      </w:r>
    </w:p>
    <w:p>
      <w:pPr>
        <w:spacing w:after="0" w:line="184"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Offers to purchase securities may be solicited directly by us or any selling shareholder or by agents designated by us from time to time. Any such agent may be deemed to be an underwriter, as that term is defined in the Securities Act, of the securities so offered and sold.</w:t>
      </w:r>
    </w:p>
    <w:p>
      <w:pPr>
        <w:spacing w:after="0" w:line="14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If underwriters are utilized in the sale of any securities in respect of which this prospectus is being delivered, such securities will be acquired by the underwriters for their own account and may be resold from time to time in one or more transactions, including negotiated transactions, at fixed public offering prices or at varying prices determined by the underwriters at the time of sale. Securities may be offered to the public either through underwriting syndicates represented by managing underwriters or directly by one or more underwriters. If any underwriter or underwriters are utilized in the sale of securities, unless otherwise indicated in the applicable prospectus supplement, the obligations of the underwriters are subject to certain conditions precedent, and the underwriters will be obligated to purchase all such securities if they purchase any of them.</w:t>
      </w:r>
    </w:p>
    <w:p>
      <w:pPr>
        <w:spacing w:after="0" w:line="178"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If a dealer is utilized in the sale of the securities in respect of which this prospectus is delivered, we will sell such securities, and any selling shareholder will sell shares of our common stock to the dealer, as principal. The dealer may then resell such securities to the public at varying prices to be determined by such dealer at the time of resale. Transactions through brokers or dealers may include block trades in which brokers or dealers will attempt to sell shares as agent but may position and resell as principal to facilitate the transaction or in cross trades, in which the same broker or dealer acts as agent on both sides of the trade. Any such dealer may be deemed to be an underwriter, as such term is defined in the Securities Act, of the securities so offered and sold. In addition, any selling shareholder may sell shares of our common stock in ordinary brokerage transactions or in transactions in which a broker solicits purchases.</w:t>
      </w:r>
    </w:p>
    <w:p>
      <w:pPr>
        <w:spacing w:after="0" w:line="19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Offers to purchase securities may be solicited directly by us or any selling shareholder and the sale thereof may be made by us or any selling shareholder directly to institutional investors or others, who may be deemed to be underwriters within the meaning of the Securities Act with respect to any resale thereof.</w:t>
      </w:r>
    </w:p>
    <w:p>
      <w:pPr>
        <w:spacing w:after="0" w:line="184"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Agents, underwriters and dealers may be entitled under relevant agreements with us or any selling shareholder to indemnification by us against certain liabilities, including liabilities under the Securities Act, or to contribution with respect to payments which such agents, underwriters and dealers may be required to make in respect thereof. The terms and conditions of any indemnification or contribution will be described in the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308" w:lineRule="auto"/>
        <w:rPr>
          <w:sz w:val="20"/>
          <w:szCs w:val="20"/>
          <w:color w:val="auto"/>
        </w:rPr>
      </w:pPr>
      <w:r>
        <w:rPr>
          <w:rFonts w:ascii="Arial" w:cs="Arial" w:eastAsia="Arial" w:hAnsi="Arial"/>
          <w:sz w:val="17"/>
          <w:szCs w:val="17"/>
          <w:color w:val="auto"/>
        </w:rPr>
        <w:t>applicable prospectus supplement. We may pay all expenses incurred with respect to the registration of the shares of common stock owned by any selling shareholders, other than underwriting fees, discounts or commissions, which will be borne by the selling shareholders.</w:t>
      </w:r>
    </w:p>
    <w:p>
      <w:pPr>
        <w:spacing w:after="0" w:line="146"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or any selling shareholder may also sell shares of our common stock through various arrangements involving mandatorily or optionally exchangeable securities, and this prospectus may be delivered in connection with those sales.</w:t>
      </w:r>
    </w:p>
    <w:p>
      <w:pPr>
        <w:spacing w:after="0" w:line="170"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We or any selling shareholder may enter into derivative, sale or forward sale transactions with third parties, or sell securities not covered by this prospectus to third parties in privately negotiated transactions. If the applicable prospectus supplement indicates, in connection with those transactions, the third parties may sell securities covered by this prospectus and the applicable prospectus supplement, including in short sale transactions and by issuing securities not covered by this prospectus but convertible into, or exchangeable for or representing beneficial interests in such securities covered by this prospectus, or the return of which is derived in whole or in part from the value of such securities. The third parties may use securities received under derivative, sale or forward sale transactions, or securities pledged by us or any selling shareholder or borrowed from us, any selling shareholder or others to settle those sales or to close out any related open borrowings of stock, and may use securities received from us or any selling shareholder in settlement of those transactions to close out any related open borrowings of stock. The third party in such sale transactions will be an underwriter and will be identified in the applicable prospectus supplement (or a post-effective amendment).</w:t>
      </w:r>
    </w:p>
    <w:p>
      <w:pPr>
        <w:spacing w:after="0" w:line="166"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Additionally, any selling shareholder may engage in hedging transactions with broker-dealers in connection with distributions of shares or otherwise. In those transactions, broker-dealers may engage in short sales of shares in the course of hedging the positions they assume with such selling shareholder. Any selling shareholder also may sell shares short and redeliver shares to close out such short positions. Any selling shareholder may also enter into option or other transactions with broker-dealers which require the delivery of shares to the broker-dealer. The broker-dealer may then resell or otherwise transfer such shares pursuant to this prospectus. Any selling shareholder also may loan or pledge shares, and the borrower or pledgee may sell or otherwise transfer the shares so loaned or pledged pursuant to this prospectus. Such borrower or pledgee also may transfer those shares to investors in our securities or the selling shareholder’s securities or in connection with the offering of other securities not covered by this prospectus.</w:t>
      </w:r>
    </w:p>
    <w:p>
      <w:pPr>
        <w:spacing w:after="0" w:line="166"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Underwriters, broker-dealers or agents may receive compensation in the form of commissions, discounts or concessions from us or any selling shareholder. Underwriters, broker-dealers or agents may also receive compensation from the purchasers of shares for whom they act as agents or to whom they sell as principals, or both. Compensation as to a particular underwriter, broker-dealer or agent will be in amounts to be negotiated in connection with transactions involving shares and might be in excess of customary commissions. In effecting sales, broker-dealers engaged by us or any selling shareholder may arrange for other broker-dealers to participate in the resales.</w:t>
      </w:r>
    </w:p>
    <w:p>
      <w:pPr>
        <w:spacing w:after="0" w:line="176"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Any securities offered other than common stock will be a new issue and, other than the common stock, which is listed on the NASDAQ Global Select Market, will have no established trading market. We may elect to list any series of securities on an exchange, and in the case of the common stock, on any additional exchange, but, unless otherwise specified in the applicable prospectus supplement, we shall not be obligated to do so. No assurance can be given as to the liquidity of the trading market for any of the securities.</w:t>
      </w:r>
    </w:p>
    <w:p>
      <w:pPr>
        <w:spacing w:after="0" w:line="17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Agents, underwriters and dealers may engage in transactions with, or perform services for, us, our subsidiaries or any selling shareholder in the ordinary course of business.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Any underwriter may engage in overallotment, stabilizing transactions, short covering transactions and penalty bids in accordance with Regulation M under the Securities Exchange Act of 1934, as amended (the “Exchange Act”). Overallotment involves sales in excess of the offering size, which create a short position.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 An underwriter may carry out these transactions on the NASDAQ Global Select Market, in the over-the-counter market or otherwise.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place and time of delivery for securities will be set forth in the accompanying prospectus supplement for such securities.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320" w:top="459" w:right="5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file annual, quarterly and current reports, proxy statements and other information with the SEC. We also filed a registration statement on Form S-3, including exhibits, under the Securities Act with respect to the securities offered by this prospectus. This prospectus is a part of the registration statement, but does not contain all of the information included in the registration statement or the exhibits. You may read and copy the registration statement and any other document that we file at the SEC’s public reference room at 100 F Street, N.E., Washington D.C. 20549. You can call the SEC at 1-800-SEC-0330 for further information on the operation of the public reference room. You can also find our public filings with the SEC on the internet at a web site maintained by the SEC located at http://www.sec.gov.</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“incorporating by reference” specified documents that we file with the SEC, which means:</w:t>
      </w:r>
    </w:p>
    <w:p>
      <w:pPr>
        <w:spacing w:after="0" w:line="131"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information we file with the SEC will automatically update and supersede information contained in this prospectus.</w:t>
      </w:r>
    </w:p>
    <w:p>
      <w:pPr>
        <w:spacing w:after="0" w:line="225"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We incorporate by reference the documents listed below and any future filings we make with the SEC under Sections 13(a), 13(c), 14 or 15(d) of the Exchange Act after the date of this prospectus and before the end of the offering of the securities pursuant to this prospectus:</w:t>
      </w:r>
    </w:p>
    <w:p>
      <w:pPr>
        <w:spacing w:after="0" w:line="52"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9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2017;</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w:t>
      </w:r>
      <w:hyperlink r:id="rId95">
        <w:r>
          <w:rPr>
            <w:rFonts w:ascii="Arial" w:cs="Arial" w:eastAsia="Arial" w:hAnsi="Arial"/>
            <w:sz w:val="18"/>
            <w:szCs w:val="18"/>
            <w:u w:val="single" w:color="auto"/>
            <w:color w:val="0000EE"/>
          </w:rPr>
          <w:t>March 31, 2018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96">
        <w:r>
          <w:rPr>
            <w:rFonts w:ascii="Arial" w:cs="Arial" w:eastAsia="Arial" w:hAnsi="Arial"/>
            <w:sz w:val="18"/>
            <w:szCs w:val="18"/>
            <w:u w:val="single" w:color="auto"/>
            <w:color w:val="0000EE"/>
          </w:rPr>
          <w:t>June 30, 2018</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9"/>
        </w:numPr>
        <w:rPr>
          <w:rFonts w:ascii="Arial" w:cs="Arial" w:eastAsia="Arial" w:hAnsi="Arial"/>
          <w:sz w:val="18"/>
          <w:szCs w:val="18"/>
          <w:color w:val="0000EE"/>
        </w:rPr>
      </w:pPr>
      <w:hyperlink r:id="rId97">
        <w:r>
          <w:rPr>
            <w:rFonts w:ascii="Arial" w:cs="Arial" w:eastAsia="Arial" w:hAnsi="Arial"/>
            <w:sz w:val="18"/>
            <w:szCs w:val="18"/>
            <w:color w:val="auto"/>
          </w:rPr>
          <w:t xml:space="preserve">our Current Reports on Form 8-K as filed with the SEC on each of </w:t>
        </w:r>
        <w:r>
          <w:rPr>
            <w:rFonts w:ascii="Arial" w:cs="Arial" w:eastAsia="Arial" w:hAnsi="Arial"/>
            <w:sz w:val="18"/>
            <w:szCs w:val="18"/>
            <w:u w:val="single" w:color="auto"/>
            <w:color w:val="0000EE"/>
          </w:rPr>
          <w:t>February 7, 2018</w:t>
        </w:r>
        <w:r>
          <w:rPr>
            <w:rFonts w:ascii="Arial" w:cs="Arial" w:eastAsia="Arial" w:hAnsi="Arial"/>
            <w:sz w:val="18"/>
            <w:szCs w:val="18"/>
            <w:color w:val="auto"/>
          </w:rPr>
          <w:t xml:space="preserve"> (excluding the furnished portions thereof), </w:t>
        </w:r>
        <w:r>
          <w:rPr>
            <w:rFonts w:ascii="Arial" w:cs="Arial" w:eastAsia="Arial" w:hAnsi="Arial"/>
            <w:sz w:val="18"/>
            <w:szCs w:val="18"/>
            <w:u w:val="single" w:color="auto"/>
            <w:color w:val="0000EE"/>
          </w:rPr>
          <w:t>February</w:t>
        </w:r>
      </w:hyperlink>
      <w:r>
        <w:rPr>
          <w:rFonts w:ascii="Arial" w:cs="Arial" w:eastAsia="Arial" w:hAnsi="Arial"/>
          <w:sz w:val="18"/>
          <w:szCs w:val="18"/>
          <w:color w:val="auto"/>
        </w:rPr>
        <w:t xml:space="preserve"> </w:t>
      </w:r>
      <w:hyperlink r:id="rId97">
        <w:r>
          <w:rPr>
            <w:rFonts w:ascii="Arial" w:cs="Arial" w:eastAsia="Arial" w:hAnsi="Arial"/>
            <w:sz w:val="18"/>
            <w:szCs w:val="18"/>
            <w:u w:val="single" w:color="auto"/>
            <w:color w:val="0000EE"/>
          </w:rPr>
          <w:t>27, 2018</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98">
        <w:r>
          <w:rPr>
            <w:rFonts w:ascii="Arial" w:cs="Arial" w:eastAsia="Arial" w:hAnsi="Arial"/>
            <w:sz w:val="18"/>
            <w:szCs w:val="18"/>
            <w:u w:val="single" w:color="auto"/>
            <w:color w:val="0000EE"/>
          </w:rPr>
          <w:t>April 2, 2018</w:t>
        </w:r>
      </w:hyperlink>
      <w:hyperlink r:id="rId97">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99">
        <w:r>
          <w:rPr>
            <w:rFonts w:ascii="Arial" w:cs="Arial" w:eastAsia="Arial" w:hAnsi="Arial"/>
            <w:sz w:val="18"/>
            <w:szCs w:val="18"/>
            <w:u w:val="single" w:color="auto"/>
            <w:color w:val="0000EE"/>
          </w:rPr>
          <w:t>May 24, 2018</w:t>
        </w:r>
      </w:hyperlink>
      <w:hyperlink r:id="rId97">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00">
        <w:r>
          <w:rPr>
            <w:rFonts w:ascii="Arial" w:cs="Arial" w:eastAsia="Arial" w:hAnsi="Arial"/>
            <w:sz w:val="18"/>
            <w:szCs w:val="18"/>
            <w:u w:val="single" w:color="auto"/>
            <w:color w:val="0000EE"/>
          </w:rPr>
          <w:t>September 20</w:t>
        </w:r>
      </w:hyperlink>
      <w:hyperlink r:id="rId97">
        <w:r>
          <w:rPr>
            <w:rFonts w:ascii="Arial" w:cs="Arial" w:eastAsia="Arial" w:hAnsi="Arial"/>
            <w:sz w:val="18"/>
            <w:szCs w:val="18"/>
            <w:color w:val="000000"/>
          </w:rPr>
          <w:t>, 2018 and</w:t>
        </w:r>
        <w:r>
          <w:rPr>
            <w:rFonts w:ascii="Arial" w:cs="Arial" w:eastAsia="Arial" w:hAnsi="Arial"/>
            <w:sz w:val="18"/>
            <w:szCs w:val="18"/>
            <w:color w:val="0000EE"/>
          </w:rPr>
          <w:t xml:space="preserve"> </w:t>
        </w:r>
      </w:hyperlink>
      <w:hyperlink r:id="rId101">
        <w:r>
          <w:rPr>
            <w:rFonts w:ascii="Arial" w:cs="Arial" w:eastAsia="Arial" w:hAnsi="Arial"/>
            <w:sz w:val="18"/>
            <w:szCs w:val="18"/>
            <w:u w:val="single" w:color="auto"/>
            <w:color w:val="0000EE"/>
          </w:rPr>
          <w:t>September 20, 2018</w:t>
        </w:r>
      </w:hyperlink>
      <w:hyperlink r:id="rId97">
        <w:r>
          <w:rPr>
            <w:rFonts w:ascii="Arial" w:cs="Arial" w:eastAsia="Arial" w:hAnsi="Arial"/>
            <w:sz w:val="18"/>
            <w:szCs w:val="18"/>
            <w:color w:val="000000"/>
          </w:rPr>
          <w:t>; and</w:t>
        </w:r>
      </w:hyperlink>
    </w:p>
    <w:p>
      <w:pPr>
        <w:spacing w:after="0" w:line="75" w:lineRule="exact"/>
        <w:rPr>
          <w:rFonts w:ascii="Arial" w:cs="Arial" w:eastAsia="Arial" w:hAnsi="Arial"/>
          <w:sz w:val="18"/>
          <w:szCs w:val="18"/>
          <w:color w:val="0000EE"/>
        </w:rPr>
      </w:pPr>
    </w:p>
    <w:p>
      <w:pPr>
        <w:ind w:left="1080" w:right="6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102">
        <w:r>
          <w:rPr>
            <w:rFonts w:ascii="Arial" w:cs="Arial" w:eastAsia="Arial" w:hAnsi="Arial"/>
            <w:sz w:val="18"/>
            <w:szCs w:val="18"/>
            <w:u w:val="single" w:color="auto"/>
            <w:color w:val="0000EE"/>
          </w:rPr>
          <w:t>Form 8-A</w:t>
        </w:r>
      </w:hyperlink>
      <w:r>
        <w:rPr>
          <w:rFonts w:ascii="Arial" w:cs="Arial" w:eastAsia="Arial" w:hAnsi="Arial"/>
          <w:sz w:val="18"/>
          <w:szCs w:val="18"/>
          <w:color w:val="auto"/>
        </w:rPr>
        <w:t>, dated September 3, 1986, and any amendment or report updating that description.</w:t>
      </w:r>
    </w:p>
    <w:p>
      <w:pPr>
        <w:spacing w:after="0" w:line="170" w:lineRule="exact"/>
        <w:rPr>
          <w:rFonts w:ascii="Arial" w:cs="Arial" w:eastAsia="Arial" w:hAnsi="Arial"/>
          <w:sz w:val="18"/>
          <w:szCs w:val="18"/>
          <w:color w:val="0000EE"/>
        </w:rPr>
      </w:pPr>
    </w:p>
    <w:p>
      <w:pPr>
        <w:ind w:left="120" w:right="320"/>
        <w:spacing w:after="0" w:line="277" w:lineRule="auto"/>
        <w:rPr>
          <w:sz w:val="20"/>
          <w:szCs w:val="20"/>
          <w:color w:val="auto"/>
        </w:rPr>
      </w:pPr>
      <w:r>
        <w:rPr>
          <w:rFonts w:ascii="Arial" w:cs="Arial" w:eastAsia="Arial" w:hAnsi="Arial"/>
          <w:sz w:val="18"/>
          <w:szCs w:val="18"/>
          <w:color w:val="auto"/>
        </w:rPr>
        <w:t>Notwithstanding the foregoing, documents or portions thereof containing information furnished under Items 2.02 and 7.01 of any Current Report on Form 8-K, including the related exhibits under Item 9.01, are not incorporated by reference in this prospectus.</w:t>
      </w:r>
    </w:p>
    <w:p>
      <w:pPr>
        <w:spacing w:after="0" w:line="170" w:lineRule="exact"/>
        <w:rPr>
          <w:rFonts w:ascii="Arial" w:cs="Arial" w:eastAsia="Arial" w:hAnsi="Arial"/>
          <w:sz w:val="18"/>
          <w:szCs w:val="18"/>
          <w:color w:val="0000EE"/>
        </w:rPr>
      </w:pPr>
    </w:p>
    <w:p>
      <w:pPr>
        <w:ind w:left="560"/>
        <w:spacing w:after="0"/>
        <w:rPr>
          <w:sz w:val="20"/>
          <w:szCs w:val="20"/>
          <w:color w:val="auto"/>
        </w:rPr>
      </w:pPr>
      <w:r>
        <w:rPr>
          <w:rFonts w:ascii="Arial" w:cs="Arial" w:eastAsia="Arial" w:hAnsi="Arial"/>
          <w:sz w:val="18"/>
          <w:szCs w:val="18"/>
          <w:color w:val="auto"/>
        </w:rPr>
        <w:t>You may request a copy of any of these filings, at no cost, by request directed to us at the following address or telephone number:</w:t>
      </w:r>
    </w:p>
    <w:p>
      <w:pPr>
        <w:spacing w:after="0" w:line="117"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auto"/>
        </w:rPr>
        <w:t>Fiserv, Inc.</w:t>
      </w:r>
    </w:p>
    <w:p>
      <w:pPr>
        <w:spacing w:after="0" w:line="23"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auto"/>
        </w:rPr>
        <w:t>255 Fiserv Drive</w:t>
      </w:r>
    </w:p>
    <w:p>
      <w:pPr>
        <w:spacing w:after="0" w:line="9"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auto"/>
        </w:rPr>
        <w:t>Brookfield, WI 53045</w:t>
      </w:r>
    </w:p>
    <w:p>
      <w:pPr>
        <w:spacing w:after="0" w:line="9" w:lineRule="exact"/>
        <w:rPr>
          <w:rFonts w:ascii="Arial" w:cs="Arial" w:eastAsia="Arial" w:hAnsi="Arial"/>
          <w:sz w:val="18"/>
          <w:szCs w:val="18"/>
          <w:color w:val="0000EE"/>
        </w:rPr>
      </w:pPr>
    </w:p>
    <w:p>
      <w:pPr>
        <w:ind w:left="5500" w:hanging="438"/>
        <w:spacing w:after="0"/>
        <w:tabs>
          <w:tab w:leader="none" w:pos="5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879-5000</w:t>
      </w:r>
    </w:p>
    <w:p>
      <w:pPr>
        <w:spacing w:after="0" w:line="9" w:lineRule="exact"/>
        <w:rPr>
          <w:rFonts w:ascii="Arial" w:cs="Arial" w:eastAsia="Arial" w:hAnsi="Arial"/>
          <w:sz w:val="18"/>
          <w:szCs w:val="18"/>
          <w:color w:val="auto"/>
        </w:rPr>
      </w:pPr>
    </w:p>
    <w:p>
      <w:pPr>
        <w:ind w:left="4900"/>
        <w:spacing w:after="0"/>
        <w:rPr>
          <w:rFonts w:ascii="Arial" w:cs="Arial" w:eastAsia="Arial" w:hAnsi="Arial"/>
          <w:sz w:val="18"/>
          <w:szCs w:val="18"/>
          <w:color w:val="auto"/>
        </w:rPr>
      </w:pPr>
      <w:r>
        <w:rPr>
          <w:rFonts w:ascii="Arial" w:cs="Arial" w:eastAsia="Arial" w:hAnsi="Arial"/>
          <w:sz w:val="18"/>
          <w:szCs w:val="18"/>
          <w:color w:val="auto"/>
        </w:rPr>
        <w:t>Attention: Secretary</w:t>
      </w:r>
    </w:p>
    <w:p>
      <w:pPr>
        <w:spacing w:after="0" w:line="211" w:lineRule="exact"/>
        <w:rPr>
          <w:rFonts w:ascii="Arial" w:cs="Arial" w:eastAsia="Arial" w:hAnsi="Arial"/>
          <w:sz w:val="18"/>
          <w:szCs w:val="18"/>
          <w:color w:val="0000EE"/>
        </w:rPr>
      </w:pPr>
    </w:p>
    <w:p>
      <w:pPr>
        <w:jc w:val="both"/>
        <w:ind w:left="120" w:right="40" w:firstLine="440"/>
        <w:spacing w:after="0" w:line="277" w:lineRule="auto"/>
        <w:rPr>
          <w:sz w:val="20"/>
          <w:szCs w:val="20"/>
          <w:color w:val="auto"/>
        </w:rPr>
      </w:pPr>
      <w:r>
        <w:rPr>
          <w:rFonts w:ascii="Arial" w:cs="Arial" w:eastAsia="Arial" w:hAnsi="Arial"/>
          <w:sz w:val="18"/>
          <w:szCs w:val="18"/>
          <w:color w:val="auto"/>
        </w:rPr>
        <w:t>You can also find these filings on our website at www.fiserv.com. We are not incorporating the information on our website other than these filings into this prospectus.</w:t>
      </w:r>
    </w:p>
    <w:p>
      <w:pPr>
        <w:spacing w:after="0" w:line="170" w:lineRule="exact"/>
        <w:rPr>
          <w:rFonts w:ascii="Arial" w:cs="Arial" w:eastAsia="Arial" w:hAnsi="Arial"/>
          <w:sz w:val="18"/>
          <w:szCs w:val="18"/>
          <w:color w:val="0000EE"/>
        </w:rPr>
      </w:pPr>
    </w:p>
    <w:p>
      <w:pPr>
        <w:jc w:val="both"/>
        <w:ind w:left="120" w:right="40" w:firstLine="440"/>
        <w:spacing w:after="0" w:line="311" w:lineRule="auto"/>
        <w:rPr>
          <w:sz w:val="20"/>
          <w:szCs w:val="20"/>
          <w:color w:val="auto"/>
        </w:rPr>
      </w:pPr>
      <w:r>
        <w:rPr>
          <w:rFonts w:ascii="Arial" w:cs="Arial" w:eastAsia="Arial" w:hAnsi="Arial"/>
          <w:sz w:val="16"/>
          <w:szCs w:val="16"/>
          <w:color w:val="auto"/>
        </w:rPr>
        <w:t>You should not assume that the information in this prospectus or any prospectus supplement, as well as the information we file or previously filed with the SEC that we incorporate by reference in this prospectus or any prospectus supplement, is accurate as of any date other than the respective date of such documents. Our business, financial condition, results of operations and prospects may have changed since that date.</w:t>
      </w:r>
    </w:p>
    <w:p>
      <w:pPr>
        <w:spacing w:after="0" w:line="81"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validity of the securities offered by this prospectus will be passed upon for us by Foley &amp; Lardner LLP. The validity of the securities offered by this prospectus will be passed upon for any underwriters or agents by counsel named in the applicable prospectus supplement.</w:t>
      </w:r>
    </w:p>
    <w:p>
      <w:pPr>
        <w:spacing w:after="0" w:line="35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consolidated financial statements incorporated in this prospectus by reference to Fiserv, Inc.’s Annual Report on Form 10-K for the year ended December 31, 2017 and the effectiveness of Fiserv, Inc.’s internal control over financial reporting have been audited by Deloitte &amp; Touche LLP, an independent registered public accounting firm, as stated in their reports, which are incorporated herein by reference. Such consolidated financial statements have been so incorporated in reliance upon the reports of such firm given upon their authority as experts in accounting and auditing.</w:t>
      </w:r>
    </w:p>
    <w:p>
      <w:pPr>
        <w:spacing w:after="0" w:line="9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320" w:top="459" w:right="59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5">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880"/>
          </w:cols>
          <w:pgMar w:left="320" w:top="459"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59"/>
        <w:spacing w:after="0"/>
        <w:rPr>
          <w:sz w:val="20"/>
          <w:szCs w:val="20"/>
          <w:color w:val="auto"/>
        </w:rPr>
      </w:pPr>
      <w:r>
        <w:rPr>
          <w:rFonts w:ascii="Arial" w:cs="Arial" w:eastAsia="Arial" w:hAnsi="Arial"/>
          <w:sz w:val="25"/>
          <w:szCs w:val="25"/>
          <w:b w:val="1"/>
          <w:bCs w:val="1"/>
          <w:color w:val="auto"/>
        </w:rPr>
        <w:t>17,500,000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252095</wp:posOffset>
            </wp:positionV>
            <wp:extent cx="617220" cy="3086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7">
                      <a:extLst>
                        <a:ext uri="{28A0092B-C50C-407E-A947-70E740481C1C}"/>
                      </a:extLst>
                    </a:blip>
                    <a:srcRect/>
                    <a:stretch>
                      <a:fillRect/>
                    </a:stretch>
                  </pic:blipFill>
                  <pic:spPr bwMode="auto">
                    <a:xfrm>
                      <a:off x="0" y="0"/>
                      <a:ext cx="6172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5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869315</wp:posOffset>
            </wp:positionV>
            <wp:extent cx="1474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i w:val="1"/>
          <w:iCs w:val="1"/>
          <w:color w:val="auto"/>
        </w:rPr>
        <w:t>Joint Book-Running Managers</w:t>
      </w:r>
    </w:p>
    <w:p>
      <w:pPr>
        <w:spacing w:after="0" w:line="248" w:lineRule="exact"/>
        <w:rPr>
          <w:sz w:val="20"/>
          <w:szCs w:val="20"/>
          <w:color w:val="auto"/>
        </w:rPr>
      </w:pPr>
    </w:p>
    <w:p>
      <w:pPr>
        <w:ind w:left="1380"/>
        <w:spacing w:after="0"/>
        <w:tabs>
          <w:tab w:leader="none" w:pos="5340" w:val="left"/>
          <w:tab w:leader="none" w:pos="9140" w:val="left"/>
        </w:tabs>
        <w:rPr>
          <w:sz w:val="20"/>
          <w:szCs w:val="20"/>
          <w:color w:val="auto"/>
        </w:rPr>
      </w:pPr>
      <w:r>
        <w:rPr>
          <w:rFonts w:ascii="Arial" w:cs="Arial" w:eastAsia="Arial" w:hAnsi="Arial"/>
          <w:sz w:val="18"/>
          <w:szCs w:val="18"/>
          <w:b w:val="1"/>
          <w:bCs w:val="1"/>
          <w:color w:val="auto"/>
        </w:rPr>
        <w:t>BofA Securities</w:t>
      </w:r>
      <w:r>
        <w:rPr>
          <w:sz w:val="20"/>
          <w:szCs w:val="20"/>
          <w:color w:val="auto"/>
        </w:rPr>
        <w:tab/>
      </w:r>
      <w:r>
        <w:rPr>
          <w:rFonts w:ascii="Arial" w:cs="Arial" w:eastAsia="Arial" w:hAnsi="Arial"/>
          <w:sz w:val="18"/>
          <w:szCs w:val="18"/>
          <w:b w:val="1"/>
          <w:bCs w:val="1"/>
          <w:color w:val="auto"/>
        </w:rPr>
        <w:t>Citigroup</w:t>
      </w:r>
      <w:r>
        <w:rPr>
          <w:sz w:val="20"/>
          <w:szCs w:val="20"/>
          <w:color w:val="auto"/>
        </w:rPr>
        <w:tab/>
      </w:r>
      <w:r>
        <w:rPr>
          <w:rFonts w:ascii="Arial" w:cs="Arial" w:eastAsia="Arial" w:hAnsi="Arial"/>
          <w:sz w:val="18"/>
          <w:szCs w:val="18"/>
          <w:b w:val="1"/>
          <w:bCs w:val="1"/>
          <w:color w:val="auto"/>
        </w:rPr>
        <w:t>KKR</w:t>
      </w:r>
    </w:p>
    <w:p>
      <w:pPr>
        <w:spacing w:after="0" w:line="135" w:lineRule="exact"/>
        <w:rPr>
          <w:sz w:val="20"/>
          <w:szCs w:val="20"/>
          <w:color w:val="auto"/>
        </w:rPr>
      </w:pPr>
    </w:p>
    <w:p>
      <w:pPr>
        <w:ind w:left="280"/>
        <w:spacing w:after="0"/>
        <w:tabs>
          <w:tab w:leader="none" w:pos="1640" w:val="left"/>
          <w:tab w:leader="none" w:pos="3440" w:val="left"/>
          <w:tab w:leader="none" w:pos="4980" w:val="left"/>
          <w:tab w:leader="none" w:pos="6740" w:val="left"/>
          <w:tab w:leader="none" w:pos="8240" w:val="left"/>
          <w:tab w:leader="none" w:pos="9920" w:val="left"/>
        </w:tabs>
        <w:rPr>
          <w:sz w:val="20"/>
          <w:szCs w:val="20"/>
          <w:color w:val="auto"/>
        </w:rPr>
      </w:pPr>
      <w:r>
        <w:rPr>
          <w:rFonts w:ascii="Arial" w:cs="Arial" w:eastAsia="Arial" w:hAnsi="Arial"/>
          <w:sz w:val="16"/>
          <w:szCs w:val="16"/>
          <w:b w:val="1"/>
          <w:bCs w:val="1"/>
          <w:color w:val="auto"/>
        </w:rPr>
        <w:t>PNC Capital</w:t>
      </w:r>
      <w:r>
        <w:rPr>
          <w:sz w:val="20"/>
          <w:szCs w:val="20"/>
          <w:color w:val="auto"/>
        </w:rPr>
        <w:tab/>
      </w:r>
      <w:r>
        <w:rPr>
          <w:rFonts w:ascii="Arial" w:cs="Arial" w:eastAsia="Arial" w:hAnsi="Arial"/>
          <w:sz w:val="16"/>
          <w:szCs w:val="16"/>
          <w:b w:val="1"/>
          <w:bCs w:val="1"/>
          <w:color w:val="auto"/>
        </w:rPr>
        <w:t>Truist Securities</w:t>
      </w:r>
      <w:r>
        <w:rPr>
          <w:sz w:val="20"/>
          <w:szCs w:val="20"/>
          <w:color w:val="auto"/>
        </w:rPr>
        <w:tab/>
      </w:r>
      <w:r>
        <w:rPr>
          <w:rFonts w:ascii="Arial" w:cs="Arial" w:eastAsia="Arial" w:hAnsi="Arial"/>
          <w:sz w:val="16"/>
          <w:szCs w:val="16"/>
          <w:b w:val="1"/>
          <w:bCs w:val="1"/>
          <w:color w:val="auto"/>
        </w:rPr>
        <w:t>Wells Fargo</w:t>
      </w:r>
      <w:r>
        <w:rPr>
          <w:sz w:val="20"/>
          <w:szCs w:val="20"/>
          <w:color w:val="auto"/>
        </w:rPr>
        <w:tab/>
      </w:r>
      <w:r>
        <w:rPr>
          <w:rFonts w:ascii="Arial" w:cs="Arial" w:eastAsia="Arial" w:hAnsi="Arial"/>
          <w:sz w:val="16"/>
          <w:szCs w:val="16"/>
          <w:b w:val="1"/>
          <w:bCs w:val="1"/>
          <w:color w:val="auto"/>
        </w:rPr>
        <w:t>Deutsche Bank</w:t>
      </w:r>
      <w:r>
        <w:rPr>
          <w:sz w:val="20"/>
          <w:szCs w:val="20"/>
          <w:color w:val="auto"/>
        </w:rPr>
        <w:tab/>
      </w:r>
      <w:r>
        <w:rPr>
          <w:rFonts w:ascii="Arial" w:cs="Arial" w:eastAsia="Arial" w:hAnsi="Arial"/>
          <w:sz w:val="16"/>
          <w:szCs w:val="16"/>
          <w:b w:val="1"/>
          <w:bCs w:val="1"/>
          <w:color w:val="auto"/>
        </w:rPr>
        <w:t>J.P. Morgan</w:t>
      </w:r>
      <w:r>
        <w:rPr>
          <w:sz w:val="20"/>
          <w:szCs w:val="20"/>
          <w:color w:val="auto"/>
        </w:rPr>
        <w:tab/>
      </w:r>
      <w:r>
        <w:rPr>
          <w:rFonts w:ascii="Arial" w:cs="Arial" w:eastAsia="Arial" w:hAnsi="Arial"/>
          <w:sz w:val="16"/>
          <w:szCs w:val="16"/>
          <w:b w:val="1"/>
          <w:bCs w:val="1"/>
          <w:color w:val="auto"/>
        </w:rPr>
        <w:t>Morgan Stanley</w:t>
      </w:r>
      <w:r>
        <w:rPr>
          <w:sz w:val="20"/>
          <w:szCs w:val="20"/>
          <w:color w:val="auto"/>
        </w:rPr>
        <w:tab/>
      </w:r>
      <w:r>
        <w:rPr>
          <w:rFonts w:ascii="Arial" w:cs="Arial" w:eastAsia="Arial" w:hAnsi="Arial"/>
          <w:sz w:val="15"/>
          <w:szCs w:val="15"/>
          <w:b w:val="1"/>
          <w:bCs w:val="1"/>
          <w:color w:val="auto"/>
        </w:rPr>
        <w:t>BMO Capital</w:t>
      </w:r>
    </w:p>
    <w:p>
      <w:pPr>
        <w:spacing w:after="0" w:line="26" w:lineRule="exact"/>
        <w:rPr>
          <w:sz w:val="20"/>
          <w:szCs w:val="20"/>
          <w:color w:val="auto"/>
        </w:rPr>
      </w:pPr>
    </w:p>
    <w:p>
      <w:pPr>
        <w:ind w:left="240"/>
        <w:spacing w:after="0"/>
        <w:tabs>
          <w:tab w:leader="none" w:pos="3520" w:val="left"/>
          <w:tab w:leader="none" w:pos="5180" w:val="left"/>
          <w:tab w:leader="none" w:pos="10100" w:val="left"/>
        </w:tabs>
        <w:rPr>
          <w:sz w:val="20"/>
          <w:szCs w:val="20"/>
          <w:color w:val="auto"/>
        </w:rPr>
      </w:pPr>
      <w:r>
        <w:rPr>
          <w:rFonts w:ascii="Arial" w:cs="Arial" w:eastAsia="Arial" w:hAnsi="Arial"/>
          <w:sz w:val="16"/>
          <w:szCs w:val="16"/>
          <w:b w:val="1"/>
          <w:bCs w:val="1"/>
          <w:color w:val="auto"/>
        </w:rPr>
        <w:t>Markets LLC</w:t>
      </w:r>
      <w:r>
        <w:rPr>
          <w:sz w:val="20"/>
          <w:szCs w:val="20"/>
          <w:color w:val="auto"/>
        </w:rPr>
        <w:tab/>
      </w:r>
      <w:r>
        <w:rPr>
          <w:rFonts w:ascii="Arial" w:cs="Arial" w:eastAsia="Arial" w:hAnsi="Arial"/>
          <w:sz w:val="16"/>
          <w:szCs w:val="16"/>
          <w:b w:val="1"/>
          <w:bCs w:val="1"/>
          <w:color w:val="auto"/>
        </w:rPr>
        <w:t>Securities</w:t>
      </w:r>
      <w:r>
        <w:rPr>
          <w:sz w:val="20"/>
          <w:szCs w:val="20"/>
          <w:color w:val="auto"/>
        </w:rPr>
        <w:tab/>
      </w:r>
      <w:r>
        <w:rPr>
          <w:rFonts w:ascii="Arial" w:cs="Arial" w:eastAsia="Arial" w:hAnsi="Arial"/>
          <w:sz w:val="16"/>
          <w:szCs w:val="16"/>
          <w:b w:val="1"/>
          <w:bCs w:val="1"/>
          <w:color w:val="auto"/>
        </w:rPr>
        <w:t>Securities</w:t>
      </w:r>
      <w:r>
        <w:rPr>
          <w:sz w:val="20"/>
          <w:szCs w:val="20"/>
          <w:color w:val="auto"/>
        </w:rPr>
        <w:tab/>
      </w:r>
      <w:r>
        <w:rPr>
          <w:rFonts w:ascii="Arial" w:cs="Arial" w:eastAsia="Arial" w:hAnsi="Arial"/>
          <w:sz w:val="15"/>
          <w:szCs w:val="15"/>
          <w:b w:val="1"/>
          <w:bCs w:val="1"/>
          <w:color w:val="auto"/>
        </w:rPr>
        <w:t>Markets</w:t>
      </w:r>
    </w:p>
    <w:p>
      <w:pPr>
        <w:spacing w:after="0" w:line="132" w:lineRule="exact"/>
        <w:rPr>
          <w:sz w:val="20"/>
          <w:szCs w:val="20"/>
          <w:color w:val="auto"/>
        </w:rPr>
      </w:pPr>
    </w:p>
    <w:p>
      <w:pPr>
        <w:ind w:left="380"/>
        <w:spacing w:after="0"/>
        <w:tabs>
          <w:tab w:leader="none" w:pos="2580" w:val="left"/>
          <w:tab w:leader="none" w:pos="4300" w:val="left"/>
          <w:tab w:leader="none" w:pos="6400" w:val="left"/>
          <w:tab w:leader="none" w:pos="7740" w:val="left"/>
          <w:tab w:leader="none" w:pos="9900" w:val="left"/>
        </w:tabs>
        <w:rPr>
          <w:sz w:val="20"/>
          <w:szCs w:val="20"/>
          <w:color w:val="auto"/>
        </w:rPr>
      </w:pPr>
      <w:r>
        <w:rPr>
          <w:rFonts w:ascii="Arial" w:cs="Arial" w:eastAsia="Arial" w:hAnsi="Arial"/>
          <w:sz w:val="16"/>
          <w:szCs w:val="16"/>
          <w:b w:val="1"/>
          <w:bCs w:val="1"/>
          <w:color w:val="auto"/>
        </w:rPr>
        <w:t>Mizuho Securities</w:t>
      </w:r>
      <w:r>
        <w:rPr>
          <w:sz w:val="20"/>
          <w:szCs w:val="20"/>
          <w:color w:val="auto"/>
        </w:rPr>
        <w:tab/>
      </w:r>
      <w:r>
        <w:rPr>
          <w:rFonts w:ascii="Arial" w:cs="Arial" w:eastAsia="Arial" w:hAnsi="Arial"/>
          <w:sz w:val="16"/>
          <w:szCs w:val="16"/>
          <w:b w:val="1"/>
          <w:bCs w:val="1"/>
          <w:color w:val="auto"/>
        </w:rPr>
        <w:t>Barclays</w:t>
      </w:r>
      <w:r>
        <w:rPr>
          <w:sz w:val="20"/>
          <w:szCs w:val="20"/>
          <w:color w:val="auto"/>
        </w:rPr>
        <w:tab/>
      </w:r>
      <w:r>
        <w:rPr>
          <w:rFonts w:ascii="Arial" w:cs="Arial" w:eastAsia="Arial" w:hAnsi="Arial"/>
          <w:sz w:val="16"/>
          <w:szCs w:val="16"/>
          <w:b w:val="1"/>
          <w:bCs w:val="1"/>
          <w:color w:val="auto"/>
        </w:rPr>
        <w:t>Credit Suisse</w:t>
      </w:r>
      <w:r>
        <w:rPr>
          <w:sz w:val="20"/>
          <w:szCs w:val="20"/>
          <w:color w:val="auto"/>
        </w:rPr>
        <w:tab/>
      </w:r>
      <w:r>
        <w:rPr>
          <w:rFonts w:ascii="Arial" w:cs="Arial" w:eastAsia="Arial" w:hAnsi="Arial"/>
          <w:sz w:val="16"/>
          <w:szCs w:val="16"/>
          <w:b w:val="1"/>
          <w:bCs w:val="1"/>
          <w:color w:val="auto"/>
        </w:rPr>
        <w:t>HSBC</w:t>
      </w:r>
      <w:r>
        <w:rPr>
          <w:sz w:val="20"/>
          <w:szCs w:val="20"/>
          <w:color w:val="auto"/>
        </w:rPr>
        <w:tab/>
      </w:r>
      <w:r>
        <w:rPr>
          <w:rFonts w:ascii="Arial" w:cs="Arial" w:eastAsia="Arial" w:hAnsi="Arial"/>
          <w:sz w:val="16"/>
          <w:szCs w:val="16"/>
          <w:b w:val="1"/>
          <w:bCs w:val="1"/>
          <w:color w:val="auto"/>
        </w:rPr>
        <w:t>Goldman Sachs &amp; Co</w:t>
      </w:r>
      <w:r>
        <w:rPr>
          <w:sz w:val="20"/>
          <w:szCs w:val="20"/>
          <w:color w:val="auto"/>
        </w:rPr>
        <w:tab/>
      </w:r>
      <w:r>
        <w:rPr>
          <w:rFonts w:ascii="Arial" w:cs="Arial" w:eastAsia="Arial" w:hAnsi="Arial"/>
          <w:sz w:val="14"/>
          <w:szCs w:val="14"/>
          <w:b w:val="1"/>
          <w:bCs w:val="1"/>
          <w:color w:val="auto"/>
        </w:rPr>
        <w:t>Stone Point</w:t>
      </w:r>
    </w:p>
    <w:p>
      <w:pPr>
        <w:spacing w:after="0" w:line="26" w:lineRule="exact"/>
        <w:rPr>
          <w:sz w:val="20"/>
          <w:szCs w:val="20"/>
          <w:color w:val="auto"/>
        </w:rPr>
      </w:pPr>
    </w:p>
    <w:p>
      <w:pPr>
        <w:jc w:val="both"/>
        <w:ind w:left="8340"/>
        <w:spacing w:after="0"/>
        <w:tabs>
          <w:tab w:leader="none" w:pos="9720" w:val="left"/>
        </w:tabs>
        <w:rPr>
          <w:sz w:val="20"/>
          <w:szCs w:val="20"/>
          <w:color w:val="auto"/>
        </w:rPr>
      </w:pPr>
      <w:r>
        <w:rPr>
          <w:rFonts w:ascii="Arial" w:cs="Arial" w:eastAsia="Arial" w:hAnsi="Arial"/>
          <w:sz w:val="16"/>
          <w:szCs w:val="16"/>
          <w:b w:val="1"/>
          <w:bCs w:val="1"/>
          <w:color w:val="auto"/>
        </w:rPr>
        <w:t>LLC</w:t>
      </w:r>
      <w:r>
        <w:rPr>
          <w:sz w:val="20"/>
          <w:szCs w:val="20"/>
          <w:color w:val="auto"/>
        </w:rPr>
        <w:tab/>
      </w:r>
      <w:r>
        <w:rPr>
          <w:rFonts w:ascii="Arial" w:cs="Arial" w:eastAsia="Arial" w:hAnsi="Arial"/>
          <w:sz w:val="16"/>
          <w:szCs w:val="16"/>
          <w:b w:val="1"/>
          <w:bCs w:val="1"/>
          <w:color w:val="auto"/>
        </w:rPr>
        <w:t>Capital Markets</w:t>
      </w:r>
    </w:p>
    <w:p>
      <w:pPr>
        <w:spacing w:after="0" w:line="38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i w:val="1"/>
          <w:iCs w:val="1"/>
          <w:color w:val="auto"/>
        </w:rPr>
        <w:t>Bookrunners</w:t>
      </w:r>
    </w:p>
    <w:p>
      <w:pPr>
        <w:spacing w:after="0" w:line="122" w:lineRule="exact"/>
        <w:rPr>
          <w:sz w:val="20"/>
          <w:szCs w:val="20"/>
          <w:color w:val="auto"/>
        </w:rPr>
      </w:pPr>
    </w:p>
    <w:p>
      <w:pPr>
        <w:ind w:left="280"/>
        <w:spacing w:after="0"/>
        <w:tabs>
          <w:tab w:leader="none" w:pos="2360" w:val="left"/>
          <w:tab w:leader="none" w:pos="4700" w:val="left"/>
          <w:tab w:leader="none" w:pos="7120" w:val="left"/>
          <w:tab w:leader="none" w:pos="9400" w:val="left"/>
        </w:tabs>
        <w:rPr>
          <w:sz w:val="20"/>
          <w:szCs w:val="20"/>
          <w:color w:val="auto"/>
        </w:rPr>
      </w:pPr>
      <w:r>
        <w:rPr>
          <w:rFonts w:ascii="Arial" w:cs="Arial" w:eastAsia="Arial" w:hAnsi="Arial"/>
          <w:sz w:val="14"/>
          <w:szCs w:val="14"/>
          <w:b w:val="1"/>
          <w:bCs w:val="1"/>
          <w:color w:val="auto"/>
        </w:rPr>
        <w:t>Keefe, Bruyette &amp; Woods</w:t>
      </w:r>
      <w:r>
        <w:rPr>
          <w:sz w:val="20"/>
          <w:szCs w:val="20"/>
          <w:color w:val="auto"/>
        </w:rPr>
        <w:tab/>
      </w:r>
      <w:r>
        <w:rPr>
          <w:rFonts w:ascii="Arial" w:cs="Arial" w:eastAsia="Arial" w:hAnsi="Arial"/>
          <w:sz w:val="14"/>
          <w:szCs w:val="14"/>
          <w:b w:val="1"/>
          <w:bCs w:val="1"/>
          <w:color w:val="auto"/>
        </w:rPr>
        <w:t>Wolfe Capital Markets and</w:t>
      </w:r>
      <w:r>
        <w:rPr>
          <w:sz w:val="20"/>
          <w:szCs w:val="20"/>
          <w:color w:val="auto"/>
        </w:rPr>
        <w:tab/>
      </w:r>
      <w:r>
        <w:rPr>
          <w:rFonts w:ascii="Arial" w:cs="Arial" w:eastAsia="Arial" w:hAnsi="Arial"/>
          <w:sz w:val="14"/>
          <w:szCs w:val="14"/>
          <w:b w:val="1"/>
          <w:bCs w:val="1"/>
          <w:color w:val="auto"/>
        </w:rPr>
        <w:t>KeyBanc Capital Markets</w:t>
      </w:r>
      <w:r>
        <w:rPr>
          <w:sz w:val="20"/>
          <w:szCs w:val="20"/>
          <w:color w:val="auto"/>
        </w:rPr>
        <w:tab/>
      </w:r>
      <w:r>
        <w:rPr>
          <w:rFonts w:ascii="Arial" w:cs="Arial" w:eastAsia="Arial" w:hAnsi="Arial"/>
          <w:sz w:val="14"/>
          <w:szCs w:val="14"/>
          <w:b w:val="1"/>
          <w:bCs w:val="1"/>
          <w:color w:val="auto"/>
        </w:rPr>
        <w:t>Loop Capital Markets</w:t>
      </w:r>
      <w:r>
        <w:rPr>
          <w:sz w:val="20"/>
          <w:szCs w:val="20"/>
          <w:color w:val="auto"/>
        </w:rPr>
        <w:tab/>
      </w:r>
      <w:r>
        <w:rPr>
          <w:rFonts w:ascii="Arial" w:cs="Arial" w:eastAsia="Arial" w:hAnsi="Arial"/>
          <w:sz w:val="13"/>
          <w:szCs w:val="13"/>
          <w:b w:val="1"/>
          <w:bCs w:val="1"/>
          <w:color w:val="auto"/>
        </w:rPr>
        <w:t>Guzman &amp; Company</w:t>
      </w:r>
    </w:p>
    <w:p>
      <w:pPr>
        <w:spacing w:after="0" w:line="4" w:lineRule="exact"/>
        <w:rPr>
          <w:sz w:val="20"/>
          <w:szCs w:val="20"/>
          <w:color w:val="auto"/>
        </w:rPr>
      </w:pPr>
    </w:p>
    <w:p>
      <w:pPr>
        <w:ind w:left="600"/>
        <w:spacing w:after="0"/>
        <w:tabs>
          <w:tab w:leader="none" w:pos="2920" w:val="left"/>
        </w:tabs>
        <w:rPr>
          <w:sz w:val="20"/>
          <w:szCs w:val="20"/>
          <w:color w:val="auto"/>
        </w:rPr>
      </w:pPr>
      <w:r>
        <w:rPr>
          <w:rFonts w:ascii="Arial" w:cs="Arial" w:eastAsia="Arial" w:hAnsi="Arial"/>
          <w:sz w:val="14"/>
          <w:szCs w:val="14"/>
          <w:b w:val="1"/>
          <w:bCs w:val="1"/>
          <w:i w:val="1"/>
          <w:iCs w:val="1"/>
          <w:color w:val="auto"/>
        </w:rPr>
        <w:t>A Stifel Company</w:t>
      </w:r>
      <w:r>
        <w:rPr>
          <w:sz w:val="20"/>
          <w:szCs w:val="20"/>
          <w:color w:val="auto"/>
        </w:rPr>
        <w:tab/>
      </w:r>
      <w:r>
        <w:rPr>
          <w:rFonts w:ascii="Arial" w:cs="Arial" w:eastAsia="Arial" w:hAnsi="Arial"/>
          <w:sz w:val="13"/>
          <w:szCs w:val="13"/>
          <w:b w:val="1"/>
          <w:bCs w:val="1"/>
          <w:color w:val="auto"/>
        </w:rPr>
        <w:t>Advisory</w:t>
      </w:r>
    </w:p>
    <w:p>
      <w:pPr>
        <w:spacing w:after="0" w:line="107" w:lineRule="exact"/>
        <w:rPr>
          <w:sz w:val="20"/>
          <w:szCs w:val="20"/>
          <w:color w:val="auto"/>
        </w:rPr>
      </w:pPr>
    </w:p>
    <w:p>
      <w:pPr>
        <w:ind w:left="2060"/>
        <w:spacing w:after="0"/>
        <w:tabs>
          <w:tab w:leader="none" w:pos="7920" w:val="left"/>
        </w:tabs>
        <w:rPr>
          <w:sz w:val="20"/>
          <w:szCs w:val="20"/>
          <w:color w:val="auto"/>
        </w:rPr>
      </w:pPr>
      <w:r>
        <w:rPr>
          <w:rFonts w:ascii="Arial" w:cs="Arial" w:eastAsia="Arial" w:hAnsi="Arial"/>
          <w:sz w:val="14"/>
          <w:szCs w:val="14"/>
          <w:b w:val="1"/>
          <w:bCs w:val="1"/>
          <w:color w:val="auto"/>
        </w:rPr>
        <w:t>Tigress Financial Partners</w:t>
      </w:r>
      <w:r>
        <w:rPr>
          <w:sz w:val="20"/>
          <w:szCs w:val="20"/>
          <w:color w:val="auto"/>
        </w:rPr>
        <w:tab/>
      </w:r>
      <w:r>
        <w:rPr>
          <w:rFonts w:ascii="Arial" w:cs="Arial" w:eastAsia="Arial" w:hAnsi="Arial"/>
          <w:sz w:val="13"/>
          <w:szCs w:val="13"/>
          <w:b w:val="1"/>
          <w:bCs w:val="1"/>
          <w:color w:val="auto"/>
        </w:rPr>
        <w:t>Roberts &amp; Ryan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December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454660</wp:posOffset>
            </wp:positionV>
            <wp:extent cx="6995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514350</wp:posOffset>
            </wp:positionV>
            <wp:extent cx="699516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1">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sectPr>
      <w:pgSz w:w="11900" w:h="16838" w:orient="portrait"/>
      <w:cols w:equalWidth="0" w:num="1">
        <w:col w:w="10880"/>
      </w:cols>
      <w:pgMar w:left="320" w:top="459" w:right="6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1)"/>
      <w:numFmt w:val="decimal"/>
      <w:start w:val="262"/>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lowerRoman"/>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lowerLetter"/>
      <w:start w:val="1"/>
    </w:lvl>
    <w:lvl w:ilvl="1">
      <w:lvlJc w:val="left"/>
      <w:lvlText w:val="(%2)"/>
      <w:numFmt w:val="lowerRoman"/>
      <w:start w:val="1"/>
    </w:lvl>
  </w:abstractNum>
  <w:abstractNum w:abstractNumId="16">
    <w:nsid w:val="836C40E"/>
    <w:multiLevelType w:val="hybridMultilevel"/>
    <w:lvl w:ilvl="0">
      <w:lvlJc w:val="left"/>
      <w:lvlText w:val="(%1)"/>
      <w:numFmt w:val="lowerLetter"/>
      <w:start w:val="1"/>
    </w:lvl>
  </w:abstractNum>
  <w:abstractNum w:abstractNumId="17">
    <w:nsid w:val="2901D82"/>
    <w:multiLevelType w:val="hybridMultilevel"/>
    <w:lvl w:ilvl="0">
      <w:lvlJc w:val="left"/>
      <w:lvlText w:val="(%1)"/>
      <w:numFmt w:val="lowerLetter"/>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
      <w:numFmt w:val="bullet"/>
      <w:start w:val="1"/>
    </w:lvl>
    <w:lvl w:ilvl="1">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1)"/>
      <w:numFmt w:val="decimal"/>
      <w:start w:val="1"/>
    </w:lvl>
    <w:lvl w:ilvl="1">
      <w:lvlJc w:val="left"/>
      <w:lvlText w:val="-"/>
      <w:numFmt w:val="bullet"/>
      <w:start w:val="1"/>
    </w:lvl>
  </w:abstractNum>
  <w:abstractNum w:abstractNumId="25">
    <w:nsid w:val="4516DDE9"/>
    <w:multiLevelType w:val="hybridMultilevel"/>
    <w:lvl w:ilvl="0">
      <w:lvlJc w:val="left"/>
      <w:lvlText w:val="(%1)"/>
      <w:numFmt w:val="decimal"/>
      <w:start w:val="5"/>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
      <w:numFmt w:val="bullet"/>
      <w:start w:val="1"/>
    </w:lvl>
    <w:lvl w:ilvl="1">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1)"/>
      <w:numFmt w:val="decimal"/>
      <w:start w:val="26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37" Type="http://schemas.openxmlformats.org/officeDocument/2006/relationships/image" Target="media/image11.png"/><Relationship Id="rId38" Type="http://schemas.openxmlformats.org/officeDocument/2006/relationships/image" Target="media/image12.png"/><Relationship Id="rId39" Type="http://schemas.openxmlformats.org/officeDocument/2006/relationships/image" Target="media/image13.png"/><Relationship Id="rId40" Type="http://schemas.openxmlformats.org/officeDocument/2006/relationships/image" Target="media/image14.png"/><Relationship Id="rId41" Type="http://schemas.openxmlformats.org/officeDocument/2006/relationships/image" Target="media/image15.png"/><Relationship Id="rId42" Type="http://schemas.openxmlformats.org/officeDocument/2006/relationships/image" Target="media/image16.png"/><Relationship Id="rId43" Type="http://schemas.openxmlformats.org/officeDocument/2006/relationships/image" Target="media/image17.png"/><Relationship Id="rId44" Type="http://schemas.openxmlformats.org/officeDocument/2006/relationships/image" Target="media/image18.png"/><Relationship Id="rId45" Type="http://schemas.openxmlformats.org/officeDocument/2006/relationships/image" Target="media/image19.png"/><Relationship Id="rId46" Type="http://schemas.openxmlformats.org/officeDocument/2006/relationships/image" Target="media/image20.png"/><Relationship Id="rId47" Type="http://schemas.openxmlformats.org/officeDocument/2006/relationships/image" Target="media/image21.png"/><Relationship Id="rId48" Type="http://schemas.openxmlformats.org/officeDocument/2006/relationships/image" Target="media/image22.png"/><Relationship Id="rId49" Type="http://schemas.openxmlformats.org/officeDocument/2006/relationships/image" Target="media/image23.png"/><Relationship Id="rId50" Type="http://schemas.openxmlformats.org/officeDocument/2006/relationships/image" Target="media/image24.png"/><Relationship Id="rId51" Type="http://schemas.openxmlformats.org/officeDocument/2006/relationships/image" Target="media/image25.png"/><Relationship Id="rId52" Type="http://schemas.openxmlformats.org/officeDocument/2006/relationships/image" Target="media/image26.png"/><Relationship Id="rId53" Type="http://schemas.openxmlformats.org/officeDocument/2006/relationships/image" Target="media/image27.png"/><Relationship Id="rId54" Type="http://schemas.openxmlformats.org/officeDocument/2006/relationships/image" Target="media/image28.png"/><Relationship Id="rId55" Type="http://schemas.openxmlformats.org/officeDocument/2006/relationships/image" Target="media/image29.png"/><Relationship Id="rId56" Type="http://schemas.openxmlformats.org/officeDocument/2006/relationships/image" Target="media/image30.png"/><Relationship Id="rId57" Type="http://schemas.openxmlformats.org/officeDocument/2006/relationships/image" Target="media/image31.png"/><Relationship Id="rId58" Type="http://schemas.openxmlformats.org/officeDocument/2006/relationships/image" Target="media/image32.png"/><Relationship Id="rId59" Type="http://schemas.openxmlformats.org/officeDocument/2006/relationships/image" Target="media/image33.png"/><Relationship Id="rId60" Type="http://schemas.openxmlformats.org/officeDocument/2006/relationships/image" Target="media/image34.png"/><Relationship Id="rId61" Type="http://schemas.openxmlformats.org/officeDocument/2006/relationships/image" Target="media/image35.png"/><Relationship Id="rId62" Type="http://schemas.openxmlformats.org/officeDocument/2006/relationships/image" Target="media/image36.png"/><Relationship Id="rId63" Type="http://schemas.openxmlformats.org/officeDocument/2006/relationships/image" Target="media/image37.png"/><Relationship Id="rId64" Type="http://schemas.openxmlformats.org/officeDocument/2006/relationships/image" Target="media/image38.png"/><Relationship Id="rId65" Type="http://schemas.openxmlformats.org/officeDocument/2006/relationships/image" Target="media/image39.png"/><Relationship Id="rId66" Type="http://schemas.openxmlformats.org/officeDocument/2006/relationships/image" Target="media/image40.png"/><Relationship Id="rId67" Type="http://schemas.openxmlformats.org/officeDocument/2006/relationships/image" Target="media/image41.png"/><Relationship Id="rId68" Type="http://schemas.openxmlformats.org/officeDocument/2006/relationships/image" Target="media/image42.png"/><Relationship Id="rId69" Type="http://schemas.openxmlformats.org/officeDocument/2006/relationships/image" Target="media/image43.jpeg"/><Relationship Id="rId70" Type="http://schemas.openxmlformats.org/officeDocument/2006/relationships/image" Target="media/image44.png"/><Relationship Id="rId71" Type="http://schemas.openxmlformats.org/officeDocument/2006/relationships/image" Target="media/image45.png"/><Relationship Id="rId72" Type="http://schemas.openxmlformats.org/officeDocument/2006/relationships/image" Target="media/image46.png"/><Relationship Id="rId73" Type="http://schemas.openxmlformats.org/officeDocument/2006/relationships/image" Target="media/image47.png"/><Relationship Id="rId74" Type="http://schemas.openxmlformats.org/officeDocument/2006/relationships/image" Target="media/image48.png"/><Relationship Id="rId75" Type="http://schemas.openxmlformats.org/officeDocument/2006/relationships/image" Target="media/image49.png"/><Relationship Id="rId76" Type="http://schemas.openxmlformats.org/officeDocument/2006/relationships/image" Target="media/image50.png"/><Relationship Id="rId77" Type="http://schemas.openxmlformats.org/officeDocument/2006/relationships/image" Target="media/image51.png"/><Relationship Id="rId78" Type="http://schemas.openxmlformats.org/officeDocument/2006/relationships/image" Target="media/image52.png"/><Relationship Id="rId79" Type="http://schemas.openxmlformats.org/officeDocument/2006/relationships/image" Target="media/image53.png"/><Relationship Id="rId80" Type="http://schemas.openxmlformats.org/officeDocument/2006/relationships/image" Target="media/image54.png"/><Relationship Id="rId81" Type="http://schemas.openxmlformats.org/officeDocument/2006/relationships/image" Target="media/image55.png"/><Relationship Id="rId82" Type="http://schemas.openxmlformats.org/officeDocument/2006/relationships/image" Target="media/image56.png"/><Relationship Id="rId83" Type="http://schemas.openxmlformats.org/officeDocument/2006/relationships/image" Target="media/image57.png"/><Relationship Id="rId84" Type="http://schemas.openxmlformats.org/officeDocument/2006/relationships/image" Target="media/image58.png"/><Relationship Id="rId85" Type="http://schemas.openxmlformats.org/officeDocument/2006/relationships/image" Target="media/image59.png"/><Relationship Id="rId86" Type="http://schemas.openxmlformats.org/officeDocument/2006/relationships/image" Target="media/image60.png"/><Relationship Id="rId87" Type="http://schemas.openxmlformats.org/officeDocument/2006/relationships/image" Target="media/image61.png"/><Relationship Id="rId88" Type="http://schemas.openxmlformats.org/officeDocument/2006/relationships/image" Target="media/image62.png"/><Relationship Id="rId89" Type="http://schemas.openxmlformats.org/officeDocument/2006/relationships/image" Target="media/image63.png"/><Relationship Id="rId90" Type="http://schemas.openxmlformats.org/officeDocument/2006/relationships/image" Target="media/image64.png"/><Relationship Id="rId91" Type="http://schemas.openxmlformats.org/officeDocument/2006/relationships/image" Target="media/image65.png"/><Relationship Id="rId92" Type="http://schemas.openxmlformats.org/officeDocument/2006/relationships/image" Target="media/image66.png"/><Relationship Id="rId93" Type="http://schemas.openxmlformats.org/officeDocument/2006/relationships/image" Target="media/image67.png"/><Relationship Id="rId103" Type="http://schemas.openxmlformats.org/officeDocument/2006/relationships/image" Target="media/image68.png"/><Relationship Id="rId104" Type="http://schemas.openxmlformats.org/officeDocument/2006/relationships/image" Target="media/image69.png"/><Relationship Id="rId105" Type="http://schemas.openxmlformats.org/officeDocument/2006/relationships/image" Target="media/image70.png"/><Relationship Id="rId106" Type="http://schemas.openxmlformats.org/officeDocument/2006/relationships/image" Target="media/image71.png"/><Relationship Id="rId107" Type="http://schemas.openxmlformats.org/officeDocument/2006/relationships/image" Target="media/image72.jpeg"/><Relationship Id="rId108" Type="http://schemas.openxmlformats.org/officeDocument/2006/relationships/image" Target="media/image73.png"/><Relationship Id="rId109" Type="http://schemas.openxmlformats.org/officeDocument/2006/relationships/image" Target="media/image74.png"/><Relationship Id="rId110" Type="http://schemas.openxmlformats.org/officeDocument/2006/relationships/image" Target="media/image75.png"/><Relationship Id="rId111" Type="http://schemas.openxmlformats.org/officeDocument/2006/relationships/image" Target="media/image76.png"/><Relationship Id="rId18" Type="http://schemas.openxmlformats.org/officeDocument/2006/relationships/hyperlink" Target="http://www.sec.gov/ix?doc=/Archives/edgar/data/798354/000079835420000006/fisv1231201910-k.htm" TargetMode="External"/><Relationship Id="rId19" Type="http://schemas.openxmlformats.org/officeDocument/2006/relationships/hyperlink" Target="http://www.sec.gov/ix?doc=/Archives/edgar/data/798354/000079835420000013/fisv0331202010-q.htm" TargetMode="External"/><Relationship Id="rId20" Type="http://schemas.openxmlformats.org/officeDocument/2006/relationships/hyperlink" Target="http://www.sec.gov/ix?doc=/Archives/edgar/data/798354/000079835420000020/fisv0630202010-q.htm" TargetMode="External"/><Relationship Id="rId21" Type="http://schemas.openxmlformats.org/officeDocument/2006/relationships/hyperlink" Target="http://www.sec.gov/ix?doc=/Archives/edgar/data/798354/000079835420000024/fisv-20200930.htm" TargetMode="External"/><Relationship Id="rId22" Type="http://schemas.openxmlformats.org/officeDocument/2006/relationships/hyperlink" Target="http://www.sec.gov/Archives/edgar/data/798354/000119312519168740/d747718d8k.htm" TargetMode="External"/><Relationship Id="rId23" Type="http://schemas.openxmlformats.org/officeDocument/2006/relationships/hyperlink" Target="http://www.sec.gov/ix?doc=/Archives/edgar/data/798354/000119312519205574/d780843d8k.htm" TargetMode="External"/><Relationship Id="rId24" Type="http://schemas.openxmlformats.org/officeDocument/2006/relationships/hyperlink" Target="http://www.sec.gov/ix?doc=/Archives/edgar/data/798354/000119312520038448/d856005d8k.htm" TargetMode="External"/><Relationship Id="rId25" Type="http://schemas.openxmlformats.org/officeDocument/2006/relationships/hyperlink" Target="http://www.sec.gov/ix?doc=/Archives/edgar/data/798354/000119312520083844/d901988d8k.htm" TargetMode="External"/><Relationship Id="rId26" Type="http://schemas.openxmlformats.org/officeDocument/2006/relationships/hyperlink" Target="http://www.sec.gov/ix?doc=/Archives/edgar/data/798354/000079835420000009/segmentrealignmentsupp.htm" TargetMode="External"/><Relationship Id="rId27" Type="http://schemas.openxmlformats.org/officeDocument/2006/relationships/hyperlink" Target="http://www.sec.gov/ix?doc=/Archives/edgar/data/798354/000119312520103974/d889670d8k.htm" TargetMode="External"/><Relationship Id="rId28" Type="http://schemas.openxmlformats.org/officeDocument/2006/relationships/hyperlink" Target="http://www.sec.gov/ix?doc=/Archives/edgar/data/798354/000119312520141688/d930141d8k.htm" TargetMode="External"/><Relationship Id="rId29" Type="http://schemas.openxmlformats.org/officeDocument/2006/relationships/hyperlink" Target="http://www.sec.gov/ix?doc=/Archives/edgar/data/798354/000119312520144033/d920401d8k.htm" TargetMode="External"/><Relationship Id="rId30" Type="http://schemas.openxmlformats.org/officeDocument/2006/relationships/hyperlink" Target="http://www.sec.gov/ix?doc=/Archives/edgar/data/798354/000119312520174255/d940767d8k.htm" TargetMode="External"/><Relationship Id="rId31" Type="http://schemas.openxmlformats.org/officeDocument/2006/relationships/hyperlink" Target="http://www.sec.gov/ix?doc=/Archives/edgar/data/798354/000079835420000018/q2-20earningsform8xk.htm" TargetMode="External"/><Relationship Id="rId32" Type="http://schemas.openxmlformats.org/officeDocument/2006/relationships/hyperlink" Target="http://www.sec.gov/ix?doc=/Archives/edgar/data/798354/000119312520227025/d83706d8k.htm" TargetMode="External"/><Relationship Id="rId33" Type="http://schemas.openxmlformats.org/officeDocument/2006/relationships/hyperlink" Target="http://www.sec.gov/ix?doc=/Archives/edgar/data/798354/000119312520283929/d92758d8k.htm" TargetMode="External"/><Relationship Id="rId34" Type="http://schemas.openxmlformats.org/officeDocument/2006/relationships/hyperlink" Target="http://www.sec.gov/ix?doc=/Archives/edgar/data/798354/000119312520301277/d41801d8ka.htm" TargetMode="External"/><Relationship Id="rId35" Type="http://schemas.openxmlformats.org/officeDocument/2006/relationships/hyperlink" Target="http://www.sec.gov/Archives/edgar/data/798354/000119312520094642/d873092ddef14a.htm" TargetMode="External"/><Relationship Id="rId36" Type="http://schemas.openxmlformats.org/officeDocument/2006/relationships/hyperlink" Target="http://www.sec.gov/Archives/edgar/data/798354/000119312520137692/d927474ddefa14a.htm" TargetMode="External"/><Relationship Id="rId94" Type="http://schemas.openxmlformats.org/officeDocument/2006/relationships/hyperlink" Target="http://www.sec.gov/Archives/edgar/data/798354/000079835418000005/fisv1231201710-k.htm" TargetMode="External"/><Relationship Id="rId95" Type="http://schemas.openxmlformats.org/officeDocument/2006/relationships/hyperlink" Target="http://www.sec.gov/Archives/edgar/data/798354/000079835418000009/fisv0331201810-q.htm" TargetMode="External"/><Relationship Id="rId96" Type="http://schemas.openxmlformats.org/officeDocument/2006/relationships/hyperlink" Target="http://www.sec.gov/Archives/edgar/data/798354/000079835418000017/fisv0630201810-q.htm" TargetMode="External"/><Relationship Id="rId97" Type="http://schemas.openxmlformats.org/officeDocument/2006/relationships/hyperlink" Target="http://www.sec.gov/Archives/edgar/data/798354/000119312518061085/d640937d8k.htm" TargetMode="External"/><Relationship Id="rId98" Type="http://schemas.openxmlformats.org/officeDocument/2006/relationships/hyperlink" Target="http://www.sec.gov/Archives/edgar/data/798354/000119312518104904/d536689d8k.htm" TargetMode="External"/><Relationship Id="rId99" Type="http://schemas.openxmlformats.org/officeDocument/2006/relationships/hyperlink" Target="http://www.sec.gov/Archives/edgar/data/798354/000079835418000011/fiserv2018annualmeeting8-k.htm" TargetMode="External"/><Relationship Id="rId100" Type="http://schemas.openxmlformats.org/officeDocument/2006/relationships/hyperlink" Target="http://www.sec.gov/Archives/edgar/data/798354/000119312518278050/d621931d8k.htm" TargetMode="External"/><Relationship Id="rId101" Type="http://schemas.openxmlformats.org/officeDocument/2006/relationships/hyperlink" Target="http://www.sec.gov/Archives/edgar/data/798354/000119312518278051/d626570d8k.htm" TargetMode="External"/><Relationship Id="rId102" Type="http://schemas.openxmlformats.org/officeDocument/2006/relationships/hyperlink" Target="http://www.sec.gov/Archives/edgar/data/798354/0000950131-98-00130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2020-12-11T15:36:06Z</dcterms:created>
  <dcterms:modified xsi:type="dcterms:W3CDTF">2020-12-11T15:36:06Z</dcterms:modified>
</cp:coreProperties>
</file>