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jc w:val="center"/>
        <w:ind w:right="3500"/>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3500"/>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FORM 8-K/A NO. 1</w:t>
      </w:r>
    </w:p>
    <w:p>
      <w:pPr>
        <w:spacing w:after="0" w:line="200" w:lineRule="exact"/>
        <w:rPr>
          <w:sz w:val="24"/>
          <w:szCs w:val="24"/>
          <w:color w:val="auto"/>
        </w:rPr>
      </w:pPr>
    </w:p>
    <w:p>
      <w:pPr>
        <w:spacing w:after="0" w:line="378"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CURRENT REPORT</w:t>
      </w:r>
    </w:p>
    <w:p>
      <w:pPr>
        <w:ind w:left="2300"/>
        <w:spacing w:after="0"/>
        <w:rPr>
          <w:sz w:val="20"/>
          <w:szCs w:val="20"/>
          <w:color w:val="auto"/>
        </w:rPr>
      </w:pPr>
      <w:r>
        <w:rPr>
          <w:rFonts w:ascii="Courier New" w:cs="Courier New" w:eastAsia="Courier New" w:hAnsi="Courier New"/>
          <w:sz w:val="17"/>
          <w:szCs w:val="17"/>
          <w:color w:val="auto"/>
        </w:rPr>
        <w:t>PURSUANT TO SECTION 13 OR 15(d) OF</w:t>
      </w:r>
    </w:p>
    <w:p>
      <w:pPr>
        <w:ind w:left="2300"/>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DATE OF REPORT: APRIL 28, 2000</w:t>
      </w:r>
    </w:p>
    <w:p>
      <w:pPr>
        <w:spacing w:after="0" w:line="200" w:lineRule="exact"/>
        <w:rPr>
          <w:sz w:val="24"/>
          <w:szCs w:val="24"/>
          <w:color w:val="auto"/>
        </w:rPr>
      </w:pPr>
    </w:p>
    <w:p>
      <w:pPr>
        <w:spacing w:after="0" w:line="378"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color w:val="auto"/>
        </w:rPr>
        <w:t>CHECKFREE HOLDINGS CORPORATION</w:t>
      </w:r>
    </w:p>
    <w:p>
      <w:pPr>
        <w:spacing w:after="0" w:line="6"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0"/>
          </w:cols>
          <w:pgMar w:left="240" w:top="239" w:right="1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0-26802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58-2360335</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(IRS EMPLOYER</w:t>
      </w:r>
    </w:p>
    <w:p>
      <w:pPr>
        <w:ind w:left="200"/>
        <w:spacing w:after="0"/>
        <w:rPr>
          <w:sz w:val="20"/>
          <w:szCs w:val="20"/>
          <w:color w:val="auto"/>
        </w:rPr>
      </w:pPr>
      <w:r>
        <w:rPr>
          <w:rFonts w:ascii="Courier New" w:cs="Courier New" w:eastAsia="Courier New" w:hAnsi="Courier New"/>
          <w:sz w:val="17"/>
          <w:szCs w:val="17"/>
          <w:color w:val="auto"/>
        </w:rPr>
        <w:t>IDENTIFICATION NUMBER)</w:t>
      </w:r>
    </w:p>
    <w:p>
      <w:pPr>
        <w:spacing w:after="0" w:line="200" w:lineRule="exact"/>
        <w:rPr>
          <w:sz w:val="24"/>
          <w:szCs w:val="24"/>
          <w:color w:val="auto"/>
        </w:rPr>
      </w:pPr>
    </w:p>
    <w:p>
      <w:pPr>
        <w:sectPr>
          <w:pgSz w:w="11900" w:h="16838" w:orient="portrait"/>
          <w:cols w:equalWidth="0" w:num="3">
            <w:col w:w="4000" w:space="720"/>
            <w:col w:w="3280" w:space="720"/>
            <w:col w:w="2800"/>
          </w:cols>
          <w:pgMar w:left="240" w:top="239" w:right="139" w:bottom="1440"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p>
      <w:pPr>
        <w:jc w:val="center"/>
        <w:ind w:right="3400"/>
        <w:spacing w:after="0"/>
        <w:rPr>
          <w:sz w:val="20"/>
          <w:szCs w:val="20"/>
          <w:color w:val="auto"/>
        </w:rPr>
      </w:pPr>
      <w:r>
        <w:rPr>
          <w:rFonts w:ascii="Courier New" w:cs="Courier New" w:eastAsia="Courier New" w:hAnsi="Courier New"/>
          <w:sz w:val="17"/>
          <w:szCs w:val="17"/>
          <w:color w:val="auto"/>
        </w:rPr>
        <w:t>4411 East Jones Bridge Road</w:t>
      </w:r>
    </w:p>
    <w:p>
      <w:pPr>
        <w:ind w:left="2900"/>
        <w:spacing w:after="0"/>
        <w:rPr>
          <w:sz w:val="20"/>
          <w:szCs w:val="20"/>
          <w:color w:val="auto"/>
        </w:rPr>
      </w:pPr>
      <w:r>
        <w:rPr>
          <w:rFonts w:ascii="Courier New" w:cs="Courier New" w:eastAsia="Courier New" w:hAnsi="Courier New"/>
          <w:sz w:val="17"/>
          <w:szCs w:val="17"/>
          <w:color w:val="auto"/>
        </w:rPr>
        <w:t>Norcross, Georgia 30092</w:t>
      </w:r>
    </w:p>
    <w:p>
      <w:pPr>
        <w:ind w:left="3320"/>
        <w:spacing w:after="0"/>
        <w:rPr>
          <w:sz w:val="20"/>
          <w:szCs w:val="20"/>
          <w:color w:val="auto"/>
        </w:rPr>
      </w:pPr>
      <w:r>
        <w:rPr>
          <w:rFonts w:ascii="Courier New" w:cs="Courier New" w:eastAsia="Courier New" w:hAnsi="Courier New"/>
          <w:sz w:val="17"/>
          <w:szCs w:val="17"/>
          <w:color w:val="auto"/>
        </w:rPr>
        <w:t>(678) 375-3000</w:t>
      </w:r>
    </w:p>
    <w:p>
      <w:pPr>
        <w:ind w:left="1500"/>
        <w:spacing w:after="0"/>
        <w:rPr>
          <w:sz w:val="20"/>
          <w:szCs w:val="20"/>
          <w:color w:val="auto"/>
        </w:rPr>
      </w:pPr>
      <w:r>
        <w:rPr>
          <w:rFonts w:ascii="Courier New" w:cs="Courier New" w:eastAsia="Courier New" w:hAnsi="Courier New"/>
          <w:sz w:val="17"/>
          <w:szCs w:val="17"/>
          <w:color w:val="auto"/>
        </w:rPr>
        <w:t>(ADDRESS, INCLUDING ZIP CODE, AND TELEPHONE NUMBER</w:t>
      </w:r>
    </w:p>
    <w:p>
      <w:pPr>
        <w:ind w:left="2300"/>
        <w:spacing w:after="0"/>
        <w:rPr>
          <w:sz w:val="20"/>
          <w:szCs w:val="20"/>
          <w:color w:val="auto"/>
        </w:rPr>
      </w:pPr>
      <w:r>
        <w:rPr>
          <w:rFonts w:ascii="Courier New" w:cs="Courier New" w:eastAsia="Courier New" w:hAnsi="Courier New"/>
          <w:sz w:val="17"/>
          <w:szCs w:val="17"/>
          <w:color w:val="auto"/>
        </w:rPr>
        <w:t>INCLUDING AREA CODE OF REGISTRANT'S</w:t>
      </w:r>
    </w:p>
    <w:p>
      <w:pPr>
        <w:ind w:left="2600"/>
        <w:spacing w:after="0"/>
        <w:rPr>
          <w:sz w:val="20"/>
          <w:szCs w:val="20"/>
          <w:color w:val="auto"/>
        </w:rPr>
      </w:pPr>
      <w:r>
        <w:rPr>
          <w:rFonts w:ascii="Courier New" w:cs="Courier New" w:eastAsia="Courier New" w:hAnsi="Courier New"/>
          <w:sz w:val="17"/>
          <w:szCs w:val="17"/>
          <w:color w:val="auto"/>
        </w:rPr>
        <w:t>PRINCIPAL EXECUTIVE OFFICES)</w:t>
      </w:r>
    </w:p>
    <w:p>
      <w:pPr>
        <w:spacing w:after="0" w:line="200" w:lineRule="exact"/>
        <w:rPr>
          <w:sz w:val="24"/>
          <w:szCs w:val="24"/>
          <w:color w:val="auto"/>
        </w:rPr>
      </w:pPr>
    </w:p>
    <w:p>
      <w:pPr>
        <w:spacing w:after="0" w:line="378"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color w:val="auto"/>
        </w:rPr>
        <w:t>Not Applicable</w:t>
      </w:r>
    </w:p>
    <w:p>
      <w:pPr>
        <w:spacing w:after="0" w:line="6" w:lineRule="exact"/>
        <w:rPr>
          <w:sz w:val="24"/>
          <w:szCs w:val="24"/>
          <w:color w:val="auto"/>
        </w:rPr>
      </w:pPr>
    </w:p>
    <w:p>
      <w:pPr>
        <w:jc w:val="center"/>
        <w:ind w:right="340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1520"/>
          </w:cols>
          <w:pgMar w:left="240" w:top="239" w:right="139"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38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On December 20, 1999, CheckFree Holdings Corporation, a Delaware corporation (the "Company"), CheckFree Acquisition Corporation IV, a Delaware corporation and a wholly owned subsidiary of the Company ("CheckFree Acquisition"), and BlueGill Technologies, Inc., a Delaware Corporation ("BlueGill") entered into an Agreement and Plan of Merger, dated December 20, 1999, as amended (the "Merger Agreement"), whereby CheckFree Acquisition would be merged with and into BlueGill with BlueGill being the surviving entity as a wholly owned subsidiary of the Company (the "Acquisition"). Under the terms of the Merger Agreement, the Company agreed to acquire the stock of BlueGill in exchange for common stock, $.01 par value, of the Company (the "Common Stock"). The Acquisition was completed on April 28, 2000. The total consideration paid by the Company was $250,000,000. Pursuant to the terms of the Merger Agreement, 5,000,000 shares of Common Stock were issued. The shares of Common Stock received by the stockholders of BlueGill have been registered under the Securities Act of 1933, as amended. BlueGill is an international software development company and the leader in electronic billing and payment. BlueGill software provides a powerful platform for electronic billing and payment by transforming legacy systems into interactive Web applications for managing customer relationships. BlueGill software is installed at financial service institutions, telecommunications companies, utilities, and service bureaus in North America, South America and Europe.</w:t>
      </w:r>
    </w:p>
    <w:p>
      <w:pPr>
        <w:spacing w:after="0" w:line="213"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The Company's Board of Directors approved the issuance of the 5,000,000 shares on December 14, 1999. The shares of Common Stock received by the stockholders of BlueGill have been registered under the Securities Act of 1933, as amended.</w:t>
      </w:r>
    </w:p>
    <w:p>
      <w:pPr>
        <w:spacing w:after="0" w:line="392"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The transaction was accomplished through arms-length negotiations between the Company's management and BlueGill's management. BlueGill's stockholders approved the Acquisition on April 26, 2000. There was no material relationship between the stockholders of BlueGill and the Company or any of the Company's affiliates, any of the Company's directors or officers, or any associate of any such Company director or officer, prior to this transaction.</w:t>
      </w:r>
    </w:p>
    <w:p>
      <w:pPr>
        <w:spacing w:after="0" w:line="18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In addition, on July 7, 2000, the Company entered into an Amended and Restated Merger Agreement to acquire the business if TransPoint, a joint venture among Microsoft Corporation, First Data Corporation, Citibank, N.A., and various subsidiaries of each of these entities. Through a series of mergers, the entities that own the TransPoint business will become our wholly-owned subsidiaries. In connection with these transactions, the Company will issue an aggregate of 17,000,000 shares of its common stock to the owners of the TransPoint business. A copy of the Merger Agreement has been filed with the Company's S-4 Registration Statement, filed with the Securities and Exchange Commission on July 7, 2000.</w:t>
      </w:r>
    </w:p>
    <w:p>
      <w:pPr>
        <w:spacing w:after="0" w:line="3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193" w:lineRule="exact"/>
        <w:rPr>
          <w:sz w:val="20"/>
          <w:szCs w:val="20"/>
          <w:color w:val="auto"/>
        </w:rPr>
      </w:pPr>
    </w:p>
    <w:p>
      <w:pPr>
        <w:ind w:left="1500" w:hanging="595"/>
        <w:spacing w:after="0"/>
        <w:tabs>
          <w:tab w:leader="none" w:pos="1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OF BUSINESS ACQUIRED.</w:t>
      </w:r>
    </w:p>
    <w:p>
      <w:pPr>
        <w:spacing w:after="0" w:line="198" w:lineRule="exact"/>
        <w:rPr>
          <w:sz w:val="20"/>
          <w:szCs w:val="20"/>
          <w:color w:val="auto"/>
        </w:rPr>
      </w:pPr>
    </w:p>
    <w:p>
      <w:pPr>
        <w:ind w:left="900" w:right="2299" w:firstLine="601"/>
        <w:spacing w:after="0" w:line="238" w:lineRule="auto"/>
        <w:rPr>
          <w:sz w:val="20"/>
          <w:szCs w:val="20"/>
          <w:color w:val="auto"/>
        </w:rPr>
      </w:pPr>
      <w:r>
        <w:rPr>
          <w:rFonts w:ascii="Courier New" w:cs="Courier New" w:eastAsia="Courier New" w:hAnsi="Courier New"/>
          <w:sz w:val="17"/>
          <w:szCs w:val="17"/>
          <w:color w:val="auto"/>
        </w:rPr>
        <w:t>The financial statements of BlueGill Technologies, Inc. as audited by its independent auditors for the periods reflected therein are found on the Company's Form 8-K/A No.1 dated March 16, 2000, filed on April 27, 2000, and incorporated herein by reference.</w:t>
      </w:r>
    </w:p>
    <w:p>
      <w:pPr>
        <w:spacing w:after="0" w:line="194" w:lineRule="exact"/>
        <w:rPr>
          <w:sz w:val="20"/>
          <w:szCs w:val="20"/>
          <w:color w:val="auto"/>
        </w:rPr>
      </w:pPr>
    </w:p>
    <w:p>
      <w:pPr>
        <w:ind w:left="1500" w:hanging="595"/>
        <w:spacing w:after="0"/>
        <w:tabs>
          <w:tab w:leader="none" w:pos="1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INFORMATION.</w:t>
      </w:r>
    </w:p>
    <w:p>
      <w:pPr>
        <w:spacing w:after="0" w:line="391" w:lineRule="exact"/>
        <w:rPr>
          <w:sz w:val="20"/>
          <w:szCs w:val="20"/>
          <w:color w:val="auto"/>
        </w:rPr>
      </w:pPr>
    </w:p>
    <w:p>
      <w:pPr>
        <w:ind w:left="900" w:right="2399" w:firstLine="601"/>
        <w:spacing w:after="0" w:line="238" w:lineRule="auto"/>
        <w:rPr>
          <w:sz w:val="20"/>
          <w:szCs w:val="20"/>
          <w:color w:val="auto"/>
        </w:rPr>
      </w:pPr>
      <w:r>
        <w:rPr>
          <w:rFonts w:ascii="Courier New" w:cs="Courier New" w:eastAsia="Courier New" w:hAnsi="Courier New"/>
          <w:sz w:val="17"/>
          <w:szCs w:val="17"/>
          <w:color w:val="auto"/>
        </w:rPr>
        <w:t>The following is a list of the pro forma condensed combining financial information for CheckFree, BlueGill and TransPoint, for CheckFree and BlueGill, and for CheckFree and the TransPoint Entities filed with this report:</w:t>
      </w:r>
    </w:p>
    <w:p>
      <w:pPr>
        <w:spacing w:after="0" w:line="194" w:lineRule="exact"/>
        <w:rPr>
          <w:sz w:val="20"/>
          <w:szCs w:val="20"/>
          <w:color w:val="auto"/>
        </w:rPr>
      </w:pPr>
    </w:p>
    <w:tbl>
      <w:tblPr>
        <w:tblLayout w:type="fixed"/>
        <w:tblInd w:w="1500" w:type="dxa"/>
        <w:tblCellMar>
          <w:top w:w="0" w:type="dxa"/>
          <w:left w:w="0" w:type="dxa"/>
          <w:bottom w:w="0" w:type="dxa"/>
          <w:right w:w="0" w:type="dxa"/>
        </w:tblCellMar>
      </w:tblPr>
      <w:tr>
        <w:trPr>
          <w:trHeight w:val="193"/>
        </w:trPr>
        <w:tc>
          <w:tcPr>
            <w:tcW w:w="3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Unaudited Pro Forma Condensed</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Combining Balance Sheet</w:t>
            </w:r>
          </w:p>
        </w:tc>
        <w:tc>
          <w:tcPr>
            <w:tcW w:w="400" w:type="dxa"/>
            <w:vAlign w:val="bottom"/>
          </w:tcPr>
          <w:p>
            <w:pPr>
              <w:spacing w:after="0"/>
              <w:rPr>
                <w:sz w:val="16"/>
                <w:szCs w:val="16"/>
                <w:color w:val="auto"/>
              </w:rPr>
            </w:pPr>
          </w:p>
        </w:tc>
      </w:tr>
      <w:tr>
        <w:trPr>
          <w:trHeight w:val="193"/>
        </w:trPr>
        <w:tc>
          <w:tcPr>
            <w:tcW w:w="3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with BlueGill Technologies,</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Inc. and TransPoint</w:t>
            </w:r>
          </w:p>
        </w:tc>
        <w:tc>
          <w:tcPr>
            <w:tcW w:w="400" w:type="dxa"/>
            <w:vAlign w:val="bottom"/>
          </w:tcPr>
          <w:p>
            <w:pPr>
              <w:spacing w:after="0"/>
              <w:rPr>
                <w:sz w:val="16"/>
                <w:szCs w:val="16"/>
                <w:color w:val="auto"/>
              </w:rPr>
            </w:pPr>
          </w:p>
        </w:tc>
      </w:tr>
      <w:tr>
        <w:trPr>
          <w:trHeight w:val="193"/>
        </w:trPr>
        <w:tc>
          <w:tcPr>
            <w:tcW w:w="55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as of March 31, 2000................................</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w w:val="91"/>
              </w:rPr>
              <w:t>F-1</w:t>
            </w:r>
          </w:p>
        </w:tc>
      </w:tr>
      <w:tr>
        <w:trPr>
          <w:trHeight w:val="385"/>
        </w:trPr>
        <w:tc>
          <w:tcPr>
            <w:tcW w:w="3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Unaudited Pro Forma Condensed</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Combining Statements</w:t>
            </w:r>
          </w:p>
        </w:tc>
        <w:tc>
          <w:tcPr>
            <w:tcW w:w="400" w:type="dxa"/>
            <w:vAlign w:val="bottom"/>
          </w:tcPr>
          <w:p>
            <w:pPr>
              <w:spacing w:after="0"/>
              <w:rPr>
                <w:sz w:val="24"/>
                <w:szCs w:val="24"/>
                <w:color w:val="auto"/>
              </w:rPr>
            </w:pPr>
          </w:p>
        </w:tc>
      </w:tr>
      <w:tr>
        <w:trPr>
          <w:trHeight w:val="193"/>
        </w:trPr>
        <w:tc>
          <w:tcPr>
            <w:tcW w:w="3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of Operations with BlueGill</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Technologies, Inc.</w:t>
            </w:r>
          </w:p>
        </w:tc>
        <w:tc>
          <w:tcPr>
            <w:tcW w:w="400" w:type="dxa"/>
            <w:vAlign w:val="bottom"/>
          </w:tcPr>
          <w:p>
            <w:pPr>
              <w:spacing w:after="0"/>
              <w:rPr>
                <w:sz w:val="16"/>
                <w:szCs w:val="16"/>
                <w:color w:val="auto"/>
              </w:rPr>
            </w:pPr>
          </w:p>
        </w:tc>
      </w:tr>
      <w:tr>
        <w:trPr>
          <w:trHeight w:val="193"/>
        </w:trPr>
        <w:tc>
          <w:tcPr>
            <w:tcW w:w="3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and TransPoint for the Year</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Ended June 30, 1999.....</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w w:val="91"/>
              </w:rPr>
              <w:t>F-2</w:t>
            </w:r>
          </w:p>
        </w:tc>
      </w:tr>
    </w:tbl>
    <w:p>
      <w:pPr>
        <w:spacing w:after="0" w:line="200" w:lineRule="exact"/>
        <w:rPr>
          <w:sz w:val="20"/>
          <w:szCs w:val="20"/>
          <w:color w:val="auto"/>
        </w:rPr>
      </w:pPr>
    </w:p>
    <w:p>
      <w:pPr>
        <w:sectPr>
          <w:pgSz w:w="11900" w:h="16838" w:orient="portrait"/>
          <w:cols w:equalWidth="0" w:num="1">
            <w:col w:w="10219"/>
          </w:cols>
          <w:pgMar w:left="240" w:top="303" w:right="1440" w:bottom="558" w:gutter="0" w:footer="0" w:header="0"/>
        </w:sectPr>
      </w:pP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558"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378"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3620" w:type="dxa"/>
            <w:vAlign w:val="bottom"/>
          </w:tcPr>
          <w:p>
            <w:pPr>
              <w:ind w:left="600"/>
              <w:spacing w:after="0"/>
              <w:rPr>
                <w:sz w:val="20"/>
                <w:szCs w:val="20"/>
                <w:color w:val="auto"/>
              </w:rPr>
            </w:pPr>
            <w:r>
              <w:rPr>
                <w:rFonts w:ascii="Courier New" w:cs="Courier New" w:eastAsia="Courier New" w:hAnsi="Courier New"/>
                <w:sz w:val="17"/>
                <w:szCs w:val="17"/>
                <w:color w:val="auto"/>
              </w:rPr>
              <w:t>Unaudited Pro Forma Condensed</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Combining Statements</w:t>
            </w:r>
          </w:p>
        </w:tc>
        <w:tc>
          <w:tcPr>
            <w:tcW w:w="500" w:type="dxa"/>
            <w:vAlign w:val="bottom"/>
          </w:tcPr>
          <w:p>
            <w:pPr>
              <w:spacing w:after="0"/>
              <w:rPr>
                <w:sz w:val="16"/>
                <w:szCs w:val="16"/>
                <w:color w:val="auto"/>
              </w:rPr>
            </w:pPr>
          </w:p>
        </w:tc>
      </w:tr>
      <w:tr>
        <w:trPr>
          <w:trHeight w:val="193"/>
        </w:trPr>
        <w:tc>
          <w:tcPr>
            <w:tcW w:w="3620" w:type="dxa"/>
            <w:vAlign w:val="bottom"/>
          </w:tcPr>
          <w:p>
            <w:pPr>
              <w:ind w:left="800"/>
              <w:spacing w:after="0"/>
              <w:rPr>
                <w:sz w:val="20"/>
                <w:szCs w:val="20"/>
                <w:color w:val="auto"/>
              </w:rPr>
            </w:pPr>
            <w:r>
              <w:rPr>
                <w:rFonts w:ascii="Courier New" w:cs="Courier New" w:eastAsia="Courier New" w:hAnsi="Courier New"/>
                <w:sz w:val="17"/>
                <w:szCs w:val="17"/>
                <w:color w:val="auto"/>
              </w:rPr>
              <w:t>of Operations with BlueGill</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Technologies, Inc.</w:t>
            </w:r>
          </w:p>
        </w:tc>
        <w:tc>
          <w:tcPr>
            <w:tcW w:w="500" w:type="dxa"/>
            <w:vAlign w:val="bottom"/>
          </w:tcPr>
          <w:p>
            <w:pPr>
              <w:spacing w:after="0"/>
              <w:rPr>
                <w:sz w:val="16"/>
                <w:szCs w:val="16"/>
                <w:color w:val="auto"/>
              </w:rPr>
            </w:pPr>
          </w:p>
        </w:tc>
      </w:tr>
      <w:tr>
        <w:trPr>
          <w:trHeight w:val="193"/>
        </w:trPr>
        <w:tc>
          <w:tcPr>
            <w:tcW w:w="3620" w:type="dxa"/>
            <w:vAlign w:val="bottom"/>
          </w:tcPr>
          <w:p>
            <w:pPr>
              <w:ind w:left="800"/>
              <w:spacing w:after="0"/>
              <w:rPr>
                <w:sz w:val="20"/>
                <w:szCs w:val="20"/>
                <w:color w:val="auto"/>
              </w:rPr>
            </w:pPr>
            <w:r>
              <w:rPr>
                <w:rFonts w:ascii="Courier New" w:cs="Courier New" w:eastAsia="Courier New" w:hAnsi="Courier New"/>
                <w:sz w:val="17"/>
                <w:szCs w:val="17"/>
                <w:color w:val="auto"/>
              </w:rPr>
              <w:t>and TransPoint for the Nine</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Months Ended</w:t>
            </w:r>
          </w:p>
        </w:tc>
        <w:tc>
          <w:tcPr>
            <w:tcW w:w="500" w:type="dxa"/>
            <w:vAlign w:val="bottom"/>
          </w:tcPr>
          <w:p>
            <w:pPr>
              <w:spacing w:after="0"/>
              <w:rPr>
                <w:sz w:val="16"/>
                <w:szCs w:val="16"/>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9"/>
              </w:rPr>
              <w:t>March 31, 2000......................................</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F-3</w:t>
            </w:r>
          </w:p>
        </w:tc>
      </w:tr>
      <w:tr>
        <w:trPr>
          <w:trHeight w:val="385"/>
        </w:trPr>
        <w:tc>
          <w:tcPr>
            <w:tcW w:w="61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Notes to Unaudited Pro Forma Condensed Combining</w:t>
            </w:r>
          </w:p>
        </w:tc>
        <w:tc>
          <w:tcPr>
            <w:tcW w:w="500" w:type="dxa"/>
            <w:vAlign w:val="bottom"/>
          </w:tcPr>
          <w:p>
            <w:pPr>
              <w:spacing w:after="0"/>
              <w:rPr>
                <w:sz w:val="24"/>
                <w:szCs w:val="24"/>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Financial Information with BlueGill Technologies,</w:t>
            </w:r>
          </w:p>
        </w:tc>
        <w:tc>
          <w:tcPr>
            <w:tcW w:w="500" w:type="dxa"/>
            <w:vAlign w:val="bottom"/>
          </w:tcPr>
          <w:p>
            <w:pPr>
              <w:spacing w:after="0"/>
              <w:rPr>
                <w:sz w:val="16"/>
                <w:szCs w:val="16"/>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9"/>
              </w:rPr>
              <w:t>Inc. and TransPoint.................................</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F-4</w:t>
            </w:r>
          </w:p>
        </w:tc>
      </w:tr>
      <w:tr>
        <w:trPr>
          <w:trHeight w:val="385"/>
        </w:trPr>
        <w:tc>
          <w:tcPr>
            <w:tcW w:w="3620" w:type="dxa"/>
            <w:vAlign w:val="bottom"/>
          </w:tcPr>
          <w:p>
            <w:pPr>
              <w:ind w:left="600"/>
              <w:spacing w:after="0"/>
              <w:rPr>
                <w:sz w:val="20"/>
                <w:szCs w:val="20"/>
                <w:color w:val="auto"/>
              </w:rPr>
            </w:pPr>
            <w:r>
              <w:rPr>
                <w:rFonts w:ascii="Courier New" w:cs="Courier New" w:eastAsia="Courier New" w:hAnsi="Courier New"/>
                <w:sz w:val="17"/>
                <w:szCs w:val="17"/>
                <w:color w:val="auto"/>
              </w:rPr>
              <w:t>Unaudited Pro Forma Condensed</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Combining Balance</w:t>
            </w:r>
          </w:p>
        </w:tc>
        <w:tc>
          <w:tcPr>
            <w:tcW w:w="500" w:type="dxa"/>
            <w:vAlign w:val="bottom"/>
          </w:tcPr>
          <w:p>
            <w:pPr>
              <w:spacing w:after="0"/>
              <w:rPr>
                <w:sz w:val="24"/>
                <w:szCs w:val="24"/>
                <w:color w:val="auto"/>
              </w:rPr>
            </w:pPr>
          </w:p>
        </w:tc>
      </w:tr>
      <w:tr>
        <w:trPr>
          <w:trHeight w:val="193"/>
        </w:trPr>
        <w:tc>
          <w:tcPr>
            <w:tcW w:w="3620" w:type="dxa"/>
            <w:vAlign w:val="bottom"/>
          </w:tcPr>
          <w:p>
            <w:pPr>
              <w:ind w:left="800"/>
              <w:spacing w:after="0"/>
              <w:rPr>
                <w:sz w:val="20"/>
                <w:szCs w:val="20"/>
                <w:color w:val="auto"/>
              </w:rPr>
            </w:pPr>
            <w:r>
              <w:rPr>
                <w:rFonts w:ascii="Courier New" w:cs="Courier New" w:eastAsia="Courier New" w:hAnsi="Courier New"/>
                <w:sz w:val="17"/>
                <w:szCs w:val="17"/>
                <w:color w:val="auto"/>
              </w:rPr>
              <w:t>Sheet with TransPoint as of</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March 31, 2000..........</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F-8</w:t>
            </w:r>
          </w:p>
        </w:tc>
      </w:tr>
      <w:tr>
        <w:trPr>
          <w:trHeight w:val="385"/>
        </w:trPr>
        <w:tc>
          <w:tcPr>
            <w:tcW w:w="61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Unaudited Pro Forma Condensed Combining Statement</w:t>
            </w:r>
          </w:p>
        </w:tc>
        <w:tc>
          <w:tcPr>
            <w:tcW w:w="500" w:type="dxa"/>
            <w:vAlign w:val="bottom"/>
          </w:tcPr>
          <w:p>
            <w:pPr>
              <w:spacing w:after="0"/>
              <w:rPr>
                <w:sz w:val="24"/>
                <w:szCs w:val="24"/>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of Operations with TransPoint for the Year Ended</w:t>
            </w:r>
          </w:p>
        </w:tc>
        <w:tc>
          <w:tcPr>
            <w:tcW w:w="500" w:type="dxa"/>
            <w:vAlign w:val="bottom"/>
          </w:tcPr>
          <w:p>
            <w:pPr>
              <w:spacing w:after="0"/>
              <w:rPr>
                <w:sz w:val="16"/>
                <w:szCs w:val="16"/>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9"/>
              </w:rPr>
              <w:t>June 30, 1999.......................................</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F-9</w:t>
            </w:r>
          </w:p>
        </w:tc>
      </w:tr>
      <w:tr>
        <w:trPr>
          <w:trHeight w:val="385"/>
        </w:trPr>
        <w:tc>
          <w:tcPr>
            <w:tcW w:w="61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Unaudited Pro Forma Condensed Combining Statement</w:t>
            </w:r>
          </w:p>
        </w:tc>
        <w:tc>
          <w:tcPr>
            <w:tcW w:w="500" w:type="dxa"/>
            <w:vAlign w:val="bottom"/>
          </w:tcPr>
          <w:p>
            <w:pPr>
              <w:spacing w:after="0"/>
              <w:rPr>
                <w:sz w:val="24"/>
                <w:szCs w:val="24"/>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of Operations with TransPoint for the Nine Months</w:t>
            </w:r>
          </w:p>
        </w:tc>
        <w:tc>
          <w:tcPr>
            <w:tcW w:w="500" w:type="dxa"/>
            <w:vAlign w:val="bottom"/>
          </w:tcPr>
          <w:p>
            <w:pPr>
              <w:spacing w:after="0"/>
              <w:rPr>
                <w:sz w:val="16"/>
                <w:szCs w:val="16"/>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9"/>
              </w:rPr>
              <w:t>Ended March 31, 2000................................</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F-10</w:t>
            </w:r>
          </w:p>
        </w:tc>
      </w:tr>
      <w:tr>
        <w:trPr>
          <w:trHeight w:val="385"/>
        </w:trPr>
        <w:tc>
          <w:tcPr>
            <w:tcW w:w="61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Notes to Unaudited Pro Forma Condensed Combining</w:t>
            </w:r>
          </w:p>
        </w:tc>
        <w:tc>
          <w:tcPr>
            <w:tcW w:w="500" w:type="dxa"/>
            <w:vAlign w:val="bottom"/>
          </w:tcPr>
          <w:p>
            <w:pPr>
              <w:spacing w:after="0"/>
              <w:rPr>
                <w:sz w:val="24"/>
                <w:szCs w:val="24"/>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9"/>
              </w:rPr>
              <w:t>Financial Information with TransPoint...............</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F-11</w:t>
            </w:r>
          </w:p>
        </w:tc>
      </w:tr>
      <w:tr>
        <w:trPr>
          <w:trHeight w:val="385"/>
        </w:trPr>
        <w:tc>
          <w:tcPr>
            <w:tcW w:w="61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Unaudited Pro Forma Condensed Combining Balance</w:t>
            </w:r>
          </w:p>
        </w:tc>
        <w:tc>
          <w:tcPr>
            <w:tcW w:w="500" w:type="dxa"/>
            <w:vAlign w:val="bottom"/>
          </w:tcPr>
          <w:p>
            <w:pPr>
              <w:spacing w:after="0"/>
              <w:rPr>
                <w:sz w:val="24"/>
                <w:szCs w:val="24"/>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Sheet with BlueGill Technologies, Inc. as of</w:t>
            </w:r>
          </w:p>
        </w:tc>
        <w:tc>
          <w:tcPr>
            <w:tcW w:w="500" w:type="dxa"/>
            <w:vAlign w:val="bottom"/>
          </w:tcPr>
          <w:p>
            <w:pPr>
              <w:spacing w:after="0"/>
              <w:rPr>
                <w:sz w:val="16"/>
                <w:szCs w:val="16"/>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9"/>
              </w:rPr>
              <w:t>March 31, 2000......................................</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F-15</w:t>
            </w:r>
          </w:p>
        </w:tc>
      </w:tr>
      <w:tr>
        <w:trPr>
          <w:trHeight w:val="385"/>
        </w:trPr>
        <w:tc>
          <w:tcPr>
            <w:tcW w:w="61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Unaudited Pro Forma Condensed Combining Statement</w:t>
            </w:r>
          </w:p>
        </w:tc>
        <w:tc>
          <w:tcPr>
            <w:tcW w:w="500" w:type="dxa"/>
            <w:vAlign w:val="bottom"/>
          </w:tcPr>
          <w:p>
            <w:pPr>
              <w:spacing w:after="0"/>
              <w:rPr>
                <w:sz w:val="24"/>
                <w:szCs w:val="24"/>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of Operations with BlueGill Technologies, Inc.</w:t>
            </w:r>
          </w:p>
        </w:tc>
        <w:tc>
          <w:tcPr>
            <w:tcW w:w="500" w:type="dxa"/>
            <w:vAlign w:val="bottom"/>
          </w:tcPr>
          <w:p>
            <w:pPr>
              <w:spacing w:after="0"/>
              <w:rPr>
                <w:sz w:val="16"/>
                <w:szCs w:val="16"/>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9"/>
              </w:rPr>
              <w:t>for the Year Ended June 30, 1999....................</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F-16</w:t>
            </w:r>
          </w:p>
        </w:tc>
      </w:tr>
      <w:tr>
        <w:trPr>
          <w:trHeight w:val="385"/>
        </w:trPr>
        <w:tc>
          <w:tcPr>
            <w:tcW w:w="61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Unaudited Pro Forma Condensed Combining Statement of</w:t>
            </w:r>
          </w:p>
        </w:tc>
        <w:tc>
          <w:tcPr>
            <w:tcW w:w="500" w:type="dxa"/>
            <w:vAlign w:val="bottom"/>
          </w:tcPr>
          <w:p>
            <w:pPr>
              <w:spacing w:after="0"/>
              <w:rPr>
                <w:sz w:val="24"/>
                <w:szCs w:val="24"/>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Operations with BlueGill Technologies, Inc. for</w:t>
            </w:r>
          </w:p>
        </w:tc>
        <w:tc>
          <w:tcPr>
            <w:tcW w:w="500" w:type="dxa"/>
            <w:vAlign w:val="bottom"/>
          </w:tcPr>
          <w:p>
            <w:pPr>
              <w:spacing w:after="0"/>
              <w:rPr>
                <w:sz w:val="16"/>
                <w:szCs w:val="16"/>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9"/>
              </w:rPr>
              <w:t>the Nine Months Ended March 31, 2000................</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F-17</w:t>
            </w:r>
          </w:p>
        </w:tc>
      </w:tr>
      <w:tr>
        <w:trPr>
          <w:trHeight w:val="385"/>
        </w:trPr>
        <w:tc>
          <w:tcPr>
            <w:tcW w:w="61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Notes to Unaudited Pro Forma Condensed Combining</w:t>
            </w:r>
          </w:p>
        </w:tc>
        <w:tc>
          <w:tcPr>
            <w:tcW w:w="500" w:type="dxa"/>
            <w:vAlign w:val="bottom"/>
          </w:tcPr>
          <w:p>
            <w:pPr>
              <w:spacing w:after="0"/>
              <w:rPr>
                <w:sz w:val="24"/>
                <w:szCs w:val="24"/>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Financial Information with BlueGill Technologies,</w:t>
            </w:r>
          </w:p>
        </w:tc>
        <w:tc>
          <w:tcPr>
            <w:tcW w:w="500" w:type="dxa"/>
            <w:vAlign w:val="bottom"/>
          </w:tcPr>
          <w:p>
            <w:pPr>
              <w:spacing w:after="0"/>
              <w:rPr>
                <w:sz w:val="16"/>
                <w:szCs w:val="16"/>
                <w:color w:val="auto"/>
              </w:rPr>
            </w:pPr>
          </w:p>
        </w:tc>
      </w:tr>
      <w:tr>
        <w:trPr>
          <w:trHeight w:val="193"/>
        </w:trPr>
        <w:tc>
          <w:tcPr>
            <w:tcW w:w="6120" w:type="dxa"/>
            <w:vAlign w:val="bottom"/>
            <w:gridSpan w:val="2"/>
          </w:tcPr>
          <w:p>
            <w:pPr>
              <w:ind w:left="800"/>
              <w:spacing w:after="0"/>
              <w:rPr>
                <w:sz w:val="20"/>
                <w:szCs w:val="20"/>
                <w:color w:val="auto"/>
              </w:rPr>
            </w:pPr>
            <w:r>
              <w:rPr>
                <w:rFonts w:ascii="Courier New" w:cs="Courier New" w:eastAsia="Courier New" w:hAnsi="Courier New"/>
                <w:sz w:val="17"/>
                <w:szCs w:val="17"/>
                <w:color w:val="auto"/>
                <w:w w:val="99"/>
              </w:rPr>
              <w:t>Inc.................................................</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F-18</w:t>
            </w:r>
          </w:p>
        </w:tc>
      </w:tr>
      <w:tr>
        <w:trPr>
          <w:trHeight w:val="771"/>
        </w:trPr>
        <w:tc>
          <w:tcPr>
            <w:tcW w:w="3620" w:type="dxa"/>
            <w:vAlign w:val="bottom"/>
          </w:tcPr>
          <w:p>
            <w:pPr>
              <w:spacing w:after="0"/>
              <w:rPr>
                <w:sz w:val="20"/>
                <w:szCs w:val="20"/>
                <w:color w:val="auto"/>
              </w:rPr>
            </w:pPr>
            <w:r>
              <w:rPr>
                <w:rFonts w:ascii="Courier New" w:cs="Courier New" w:eastAsia="Courier New" w:hAnsi="Courier New"/>
                <w:sz w:val="17"/>
                <w:szCs w:val="17"/>
                <w:color w:val="auto"/>
              </w:rPr>
              <w:t>(c)   EXHIBITS.</w:t>
            </w:r>
          </w:p>
        </w:tc>
        <w:tc>
          <w:tcPr>
            <w:tcW w:w="2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85"/>
        </w:trPr>
        <w:tc>
          <w:tcPr>
            <w:tcW w:w="3620" w:type="dxa"/>
            <w:vAlign w:val="bottom"/>
          </w:tcPr>
          <w:p>
            <w:pPr>
              <w:ind w:left="600"/>
              <w:spacing w:after="0"/>
              <w:rPr>
                <w:sz w:val="20"/>
                <w:szCs w:val="20"/>
                <w:color w:val="auto"/>
              </w:rPr>
            </w:pPr>
            <w:r>
              <w:rPr>
                <w:rFonts w:ascii="Courier New" w:cs="Courier New" w:eastAsia="Courier New" w:hAnsi="Courier New"/>
                <w:sz w:val="17"/>
                <w:szCs w:val="17"/>
                <w:color w:val="auto"/>
              </w:rPr>
              <w:t>EXHIBIT NO.</w:t>
            </w:r>
          </w:p>
        </w:tc>
        <w:tc>
          <w:tcPr>
            <w:tcW w:w="2500" w:type="dxa"/>
            <w:vAlign w:val="bottom"/>
          </w:tcPr>
          <w:p>
            <w:pPr>
              <w:ind w:left="200"/>
              <w:spacing w:after="0"/>
              <w:rPr>
                <w:sz w:val="20"/>
                <w:szCs w:val="20"/>
                <w:color w:val="auto"/>
              </w:rPr>
            </w:pPr>
            <w:r>
              <w:rPr>
                <w:rFonts w:ascii="Courier New" w:cs="Courier New" w:eastAsia="Courier New" w:hAnsi="Courier New"/>
                <w:sz w:val="17"/>
                <w:szCs w:val="17"/>
                <w:color w:val="auto"/>
              </w:rPr>
              <w:t>DESCRIPTION</w:t>
            </w:r>
          </w:p>
        </w:tc>
        <w:tc>
          <w:tcPr>
            <w:tcW w:w="500" w:type="dxa"/>
            <w:vAlign w:val="bottom"/>
          </w:tcPr>
          <w:p>
            <w:pPr>
              <w:spacing w:after="0"/>
              <w:rPr>
                <w:sz w:val="24"/>
                <w:szCs w:val="24"/>
                <w:color w:val="auto"/>
              </w:rPr>
            </w:pPr>
          </w:p>
        </w:tc>
      </w:tr>
    </w:tbl>
    <w:p>
      <w:pPr>
        <w:spacing w:after="0" w:line="198" w:lineRule="exact"/>
        <w:rPr>
          <w:sz w:val="20"/>
          <w:szCs w:val="20"/>
          <w:color w:val="auto"/>
        </w:rPr>
      </w:pPr>
    </w:p>
    <w:p>
      <w:pPr>
        <w:ind w:left="2900" w:right="2699" w:hanging="1399"/>
        <w:spacing w:after="0" w:line="239" w:lineRule="auto"/>
        <w:tabs>
          <w:tab w:leader="none" w:pos="2880" w:val="left"/>
        </w:tabs>
        <w:rPr>
          <w:sz w:val="20"/>
          <w:szCs w:val="20"/>
          <w:color w:val="auto"/>
        </w:rPr>
      </w:pPr>
      <w:r>
        <w:rPr>
          <w:rFonts w:ascii="Courier New" w:cs="Courier New" w:eastAsia="Courier New" w:hAnsi="Courier New"/>
          <w:sz w:val="17"/>
          <w:szCs w:val="17"/>
          <w:color w:val="auto"/>
        </w:rPr>
        <w:t>2(a)</w:t>
      </w:r>
      <w:r>
        <w:rPr>
          <w:sz w:val="20"/>
          <w:szCs w:val="20"/>
          <w:color w:val="auto"/>
        </w:rPr>
        <w:tab/>
      </w:r>
      <w:r>
        <w:rPr>
          <w:rFonts w:ascii="Courier New" w:cs="Courier New" w:eastAsia="Courier New" w:hAnsi="Courier New"/>
          <w:sz w:val="17"/>
          <w:szCs w:val="17"/>
          <w:color w:val="auto"/>
        </w:rPr>
        <w:t>Agreement and Plan of Merger, dated as of December 20, 1999, among CheckFree Holdings Corporation, CheckFree Acquisition Corporation IV, and BlueGill Technologies, Inc. (Reference is made to Appendix A to Registration Statement on Form S-4, as amended (Registration No. 333-32644), filed with the Securities Exchange Commission on March 16, 2000, and incorporated herein by reference).</w:t>
      </w:r>
    </w:p>
    <w:p>
      <w:pPr>
        <w:spacing w:after="0" w:line="202" w:lineRule="exact"/>
        <w:rPr>
          <w:sz w:val="20"/>
          <w:szCs w:val="20"/>
          <w:color w:val="auto"/>
        </w:rPr>
      </w:pPr>
    </w:p>
    <w:p>
      <w:pPr>
        <w:ind w:left="2900" w:right="2599" w:hanging="1399"/>
        <w:spacing w:after="0" w:line="239" w:lineRule="auto"/>
        <w:tabs>
          <w:tab w:leader="none" w:pos="2880" w:val="left"/>
        </w:tabs>
        <w:rPr>
          <w:sz w:val="20"/>
          <w:szCs w:val="20"/>
          <w:color w:val="auto"/>
        </w:rPr>
      </w:pPr>
      <w:r>
        <w:rPr>
          <w:rFonts w:ascii="Courier New" w:cs="Courier New" w:eastAsia="Courier New" w:hAnsi="Courier New"/>
          <w:sz w:val="17"/>
          <w:szCs w:val="17"/>
          <w:color w:val="auto"/>
        </w:rPr>
        <w:t>2(b)</w:t>
      </w:r>
      <w:r>
        <w:rPr>
          <w:sz w:val="20"/>
          <w:szCs w:val="20"/>
          <w:color w:val="auto"/>
        </w:rPr>
        <w:tab/>
      </w:r>
      <w:r>
        <w:rPr>
          <w:rFonts w:ascii="Courier New" w:cs="Courier New" w:eastAsia="Courier New" w:hAnsi="Courier New"/>
          <w:sz w:val="17"/>
          <w:szCs w:val="17"/>
          <w:color w:val="auto"/>
        </w:rPr>
        <w:t>Amendment to Agreement and Plan of Merger, dated April 27, 2000, among CheckFree Holdings Corporation, CheckFree Acquisition Corporation IV, and BlueGill Technologies, Inc. (Reference is made to Exhibit 2(b) to Current Report on Form 8-K dated April 28, 2000, filed with the Securities and Exchange Commission on May 15, 2000, and incorporated herein by reference).</w:t>
      </w:r>
    </w:p>
    <w:p>
      <w:pPr>
        <w:sectPr>
          <w:pgSz w:w="11900" w:h="16838" w:orient="portrait"/>
          <w:cols w:equalWidth="0" w:num="1">
            <w:col w:w="9919"/>
          </w:cols>
          <w:pgMar w:left="540" w:top="303" w:right="1440" w:bottom="1440" w:gutter="0" w:footer="0" w:header="0"/>
        </w:sectPr>
      </w:pPr>
    </w:p>
    <w:p>
      <w:pPr>
        <w:spacing w:after="0" w:line="3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19"/>
          </w:cols>
          <w:pgMar w:left="540" w:top="303" w:right="1440"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386" w:lineRule="exact"/>
        <w:rPr>
          <w:sz w:val="20"/>
          <w:szCs w:val="20"/>
          <w:color w:val="auto"/>
        </w:rPr>
      </w:pPr>
    </w:p>
    <w:p>
      <w:pPr>
        <w:ind w:left="1800"/>
        <w:spacing w:after="0"/>
        <w:tabs>
          <w:tab w:leader="none" w:pos="3180" w:val="left"/>
        </w:tabs>
        <w:rPr>
          <w:sz w:val="20"/>
          <w:szCs w:val="20"/>
          <w:color w:val="auto"/>
        </w:rPr>
      </w:pPr>
      <w:r>
        <w:rPr>
          <w:rFonts w:ascii="Courier New" w:cs="Courier New" w:eastAsia="Courier New" w:hAnsi="Courier New"/>
          <w:sz w:val="17"/>
          <w:szCs w:val="17"/>
          <w:color w:val="auto"/>
        </w:rPr>
        <w:t>23</w:t>
      </w:r>
      <w:r>
        <w:rPr>
          <w:sz w:val="20"/>
          <w:szCs w:val="20"/>
          <w:color w:val="auto"/>
        </w:rPr>
        <w:tab/>
      </w:r>
      <w:r>
        <w:rPr>
          <w:rFonts w:ascii="Courier New" w:cs="Courier New" w:eastAsia="Courier New" w:hAnsi="Courier New"/>
          <w:sz w:val="17"/>
          <w:szCs w:val="17"/>
          <w:color w:val="auto"/>
        </w:rPr>
        <w:t>Consent of Arthur Andersen LLP.</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jc w:val="both"/>
        <w:ind w:right="2499" w:firstLine="9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CHECKFREE HOLDINGS CORPORATION</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7,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David Mangum</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David Mangum, Executive Vice</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President and Chief Financial Officer</w:t>
      </w:r>
    </w:p>
    <w:p>
      <w:pPr>
        <w:spacing w:after="0" w:line="200" w:lineRule="exact"/>
        <w:rPr>
          <w:sz w:val="20"/>
          <w:szCs w:val="20"/>
          <w:color w:val="auto"/>
        </w:rPr>
      </w:pPr>
    </w:p>
    <w:p>
      <w:pPr>
        <w:sectPr>
          <w:pgSz w:w="11900" w:h="16838" w:orient="portrait"/>
          <w:cols w:equalWidth="0" w:num="3">
            <w:col w:w="500" w:space="200"/>
            <w:col w:w="2100" w:space="720"/>
            <w:col w:w="6699"/>
          </w:cols>
          <w:pgMar w:left="240" w:top="3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193"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7"/>
          <w:szCs w:val="17"/>
          <w:color w:val="auto"/>
        </w:rPr>
        <w:t>CHECKFREE HOLDINGS CORPORATION</w:t>
      </w:r>
    </w:p>
    <w:p>
      <w:pPr>
        <w:spacing w:after="0" w:line="193"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7"/>
          <w:szCs w:val="17"/>
          <w:color w:val="auto"/>
        </w:rPr>
        <w:t>UNAUDITED PRO FORMA CONDENSED COMBINING BALANCE SHEET</w:t>
      </w:r>
    </w:p>
    <w:p>
      <w:pPr>
        <w:jc w:val="center"/>
        <w:ind w:right="3200"/>
        <w:spacing w:after="0"/>
        <w:rPr>
          <w:sz w:val="20"/>
          <w:szCs w:val="20"/>
          <w:color w:val="auto"/>
        </w:rPr>
      </w:pPr>
      <w:r>
        <w:rPr>
          <w:rFonts w:ascii="Courier New" w:cs="Courier New" w:eastAsia="Courier New" w:hAnsi="Courier New"/>
          <w:sz w:val="17"/>
          <w:szCs w:val="17"/>
          <w:color w:val="auto"/>
        </w:rPr>
        <w:t>WITH BLUEGILL TECHNOLOGIES, INC. AND TRANSPOINT</w:t>
      </w:r>
    </w:p>
    <w:p>
      <w:pPr>
        <w:jc w:val="center"/>
        <w:ind w:right="3100"/>
        <w:spacing w:after="0"/>
        <w:rPr>
          <w:sz w:val="20"/>
          <w:szCs w:val="20"/>
          <w:color w:val="auto"/>
        </w:rPr>
      </w:pPr>
      <w:r>
        <w:rPr>
          <w:rFonts w:ascii="Courier New" w:cs="Courier New" w:eastAsia="Courier New" w:hAnsi="Courier New"/>
          <w:sz w:val="17"/>
          <w:szCs w:val="17"/>
          <w:color w:val="auto"/>
        </w:rPr>
        <w:t>AS OF MARCH 31, 2000</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3560" w:type="dxa"/>
            <w:vAlign w:val="bottom"/>
            <w:gridSpan w:val="3"/>
          </w:tcPr>
          <w:p>
            <w:pPr>
              <w:jc w:val="right"/>
              <w:ind w:right="876"/>
              <w:spacing w:after="0"/>
              <w:rPr>
                <w:sz w:val="20"/>
                <w:szCs w:val="20"/>
                <w:color w:val="auto"/>
              </w:rPr>
            </w:pPr>
            <w:r>
              <w:rPr>
                <w:rFonts w:ascii="Courier New" w:cs="Courier New" w:eastAsia="Courier New" w:hAnsi="Courier New"/>
                <w:sz w:val="17"/>
                <w:szCs w:val="17"/>
                <w:color w:val="auto"/>
              </w:rPr>
              <w:t>HISTORICAL AMOUNTS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35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CHECKFREE</w:t>
            </w: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PRO FORMA</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HOLDINGS</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BLUEGILL</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TRANSPOINT</w:t>
            </w:r>
          </w:p>
        </w:tc>
        <w:tc>
          <w:tcPr>
            <w:tcW w:w="170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ADJUSTMENTS</w:t>
            </w:r>
          </w:p>
        </w:tc>
        <w:tc>
          <w:tcPr>
            <w:tcW w:w="14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60" w:type="dxa"/>
            <w:vAlign w:val="bottom"/>
            <w:gridSpan w:val="3"/>
          </w:tcPr>
          <w:p>
            <w:pPr>
              <w:jc w:val="right"/>
              <w:ind w:right="1276"/>
              <w:spacing w:after="0"/>
              <w:rPr>
                <w:sz w:val="20"/>
                <w:szCs w:val="20"/>
                <w:color w:val="auto"/>
              </w:rPr>
            </w:pPr>
            <w:r>
              <w:rPr>
                <w:rFonts w:ascii="Courier New" w:cs="Courier New" w:eastAsia="Courier New" w:hAnsi="Courier New"/>
                <w:sz w:val="17"/>
                <w:szCs w:val="17"/>
                <w:color w:val="auto"/>
              </w:rPr>
              <w:t>(IN THOUSANDS)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$125,043</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$ 15,044</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8,019</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100,000(1)</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248,106</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Investments.................................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26,292</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26,292</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receivable, net....................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53,343</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1,151</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54,494</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Prepaid expenses and other assets...........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11,716</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189</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750</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12,655</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9,444</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9,444</w:t>
            </w: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assets.................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225,838</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16,384</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8,769</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100,000</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350,991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Property and equipment, net...................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84,461</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1,453</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763</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86,677</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Capitalized software, net.....................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23,006</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9,926</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195,673(1)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221,705</w:t>
            </w:r>
          </w:p>
        </w:tc>
      </w:tr>
      <w:tr>
        <w:trPr>
          <w:trHeight w:val="193"/>
        </w:trPr>
        <w:tc>
          <w:tcPr>
            <w:tcW w:w="4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(6,900)(2)</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Goodwill, net.................................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29,539</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1,017,985(1)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1,047,524</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intangible assets, net..................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12,224</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577,500(1)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589,724</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Investments...................................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52,869</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52,869</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34,436</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34,436</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noncurrent assets.......................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13,760</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13,762</w:t>
            </w: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assets.........................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$476,133</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$ 17,839</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$ 19,458</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$ 1,884,258</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$2,397,688</w:t>
            </w: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payable............................</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6,573</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1,294</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$ 11,853</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19,720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liabilities.........................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41,032</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228</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4,547</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3,925(1)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50,907</w:t>
            </w:r>
          </w:p>
        </w:tc>
      </w:tr>
      <w:tr>
        <w:trPr>
          <w:trHeight w:val="193"/>
        </w:trPr>
        <w:tc>
          <w:tcPr>
            <w:tcW w:w="4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1,175(3)</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88,410(1)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88,410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portion of long-term obligations....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6,533</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159</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6,692</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revenue............................</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29,638</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1,191</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4,500</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35,329</w:t>
            </w: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liabilities............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83,776</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2,872</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20,900</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93,510</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201,058</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Accrued rent and other........................</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6,653</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6,653</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Obligations under capital leases -- less</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portion.............................</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820</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337</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1,157</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Convertible subordinated notes................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172,500</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172,500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Minority interest.............................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40,329</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(40,329)(1)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221,933(1)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221,933</w:t>
            </w: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263,749</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3,209</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61,229</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275,114</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603,301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Redeemable preferred stock....................</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25,963</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(25,963)(1)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Common stock................................</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531</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210(1)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748</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Additional paid-in capital..................</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517,912</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1,753</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1,588,108(1)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2,106,598</w:t>
            </w:r>
          </w:p>
        </w:tc>
      </w:tr>
      <w:tr>
        <w:trPr>
          <w:trHeight w:val="193"/>
        </w:trPr>
        <w:tc>
          <w:tcPr>
            <w:tcW w:w="4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(1,175)(3)</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(281)</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(650)</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650(1)</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(281)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Member's capital deficiency.................</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(41,771)</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41,771(1)</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Accumulated deficit.........................</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(305,778)</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(12,443)</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12,443(1)</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(312,678)</w:t>
            </w:r>
          </w:p>
        </w:tc>
      </w:tr>
      <w:tr>
        <w:trPr>
          <w:trHeight w:val="193"/>
        </w:trPr>
        <w:tc>
          <w:tcPr>
            <w:tcW w:w="4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(6,900)(2)</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stockholders' equity...........</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212,384</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(11,333)</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(41,771)</w:t>
            </w: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1,635,107</w:t>
            </w:r>
          </w:p>
        </w:tc>
        <w:tc>
          <w:tcPr>
            <w:tcW w:w="1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1,794,387</w:t>
            </w: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liabilities and stockholders'</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equity.............................</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$476,133</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$ 17,839</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$ 19,458</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$ 1,884,258</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$2,397,688</w:t>
            </w:r>
          </w:p>
        </w:tc>
      </w:tr>
      <w:tr>
        <w:trPr>
          <w:trHeight w:val="193"/>
        </w:trPr>
        <w:tc>
          <w:tcPr>
            <w:tcW w:w="47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w:t>
            </w:r>
          </w:p>
        </w:tc>
      </w:tr>
    </w:tbl>
    <w:p>
      <w:pPr>
        <w:spacing w:after="0" w:line="38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See Notes to Unaudited Pro Forma Condensed Combining Financial Information.</w:t>
      </w:r>
    </w:p>
    <w:p>
      <w:pPr>
        <w:sectPr>
          <w:pgSz w:w="11900" w:h="16838" w:orient="portrait"/>
          <w:cols w:equalWidth="0" w:num="1">
            <w:col w:w="11120"/>
          </w:cols>
          <w:pgMar w:left="240" w:top="303" w:right="539" w:bottom="1136" w:gutter="0" w:footer="0" w:header="0"/>
        </w:sectPr>
      </w:pPr>
    </w:p>
    <w:p>
      <w:pPr>
        <w:spacing w:after="0" w:line="200" w:lineRule="exact"/>
        <w:rPr>
          <w:sz w:val="20"/>
          <w:szCs w:val="20"/>
          <w:color w:val="auto"/>
        </w:rPr>
      </w:pP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1120"/>
          </w:cols>
          <w:pgMar w:left="240" w:top="303" w:right="539" w:bottom="1136"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193"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CHECKFREE HOLDINGS CORPORATION</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UNAUDITED PRO FORMA CONDENSED COMBINING STATEMENT OF OPERATIONS</w:t>
      </w:r>
    </w:p>
    <w:p>
      <w:pPr>
        <w:ind w:left="1600"/>
        <w:spacing w:after="0"/>
        <w:rPr>
          <w:sz w:val="20"/>
          <w:szCs w:val="20"/>
          <w:color w:val="auto"/>
        </w:rPr>
      </w:pPr>
      <w:r>
        <w:rPr>
          <w:rFonts w:ascii="Courier New" w:cs="Courier New" w:eastAsia="Courier New" w:hAnsi="Courier New"/>
          <w:sz w:val="17"/>
          <w:szCs w:val="17"/>
          <w:color w:val="auto"/>
        </w:rPr>
        <w:t>WITH BLUEGILL TECHNOLOGIES, INC. AND TRANSPOINT</w:t>
      </w:r>
    </w:p>
    <w:p>
      <w:pPr>
        <w:ind w:left="2400"/>
        <w:spacing w:after="0"/>
        <w:rPr>
          <w:sz w:val="20"/>
          <w:szCs w:val="20"/>
          <w:color w:val="auto"/>
        </w:rPr>
      </w:pPr>
      <w:r>
        <w:rPr>
          <w:rFonts w:ascii="Courier New" w:cs="Courier New" w:eastAsia="Courier New" w:hAnsi="Courier New"/>
          <w:sz w:val="17"/>
          <w:szCs w:val="17"/>
          <w:color w:val="auto"/>
        </w:rPr>
        <w:t>FOR THE YEAR ENDED JUNE 30, 1999</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HISTORICAL AMOUNTS</w:t>
            </w: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spacing w:after="0"/>
              <w:rPr>
                <w:sz w:val="16"/>
                <w:szCs w:val="16"/>
                <w:color w:val="auto"/>
              </w:rPr>
            </w:pPr>
          </w:p>
        </w:tc>
        <w:tc>
          <w:tcPr>
            <w:tcW w:w="3560" w:type="dxa"/>
            <w:vAlign w:val="bottom"/>
            <w:gridSpan w:val="6"/>
          </w:tcPr>
          <w:p>
            <w:pPr>
              <w:ind w:left="100"/>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CHECKFREE</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PRO FORMA</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HOLDINGS</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BLUEGILL</w:t>
            </w:r>
          </w:p>
        </w:tc>
        <w:tc>
          <w:tcPr>
            <w:tcW w:w="13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TRANSPOINT</w:t>
            </w:r>
          </w:p>
        </w:tc>
        <w:tc>
          <w:tcPr>
            <w:tcW w:w="160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ADJUSTMENTS</w:t>
            </w:r>
          </w:p>
        </w:tc>
        <w:tc>
          <w:tcPr>
            <w:tcW w:w="14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3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120" w:type="dxa"/>
            <w:vAlign w:val="bottom"/>
            <w:gridSpan w:val="6"/>
          </w:tcPr>
          <w:p>
            <w:pPr>
              <w:jc w:val="right"/>
              <w:spacing w:after="0"/>
              <w:rPr>
                <w:sz w:val="20"/>
                <w:szCs w:val="20"/>
                <w:color w:val="auto"/>
              </w:rPr>
            </w:pPr>
            <w:r>
              <w:rPr>
                <w:rFonts w:ascii="Courier New" w:cs="Courier New" w:eastAsia="Courier New" w:hAnsi="Courier New"/>
                <w:sz w:val="17"/>
                <w:szCs w:val="17"/>
                <w:color w:val="auto"/>
                <w:w w:val="99"/>
              </w:rPr>
              <w:t>(IN THOUSANDS, EXCEPT PER SHARE AMOUNTS)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Processing and servicing................</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$201,059</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$ 201,059</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License fees............................</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15,975</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2,517</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18,492</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Maintenance fees........................</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17,746</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48</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17,794</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15,351</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925</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16,276</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revenues..................</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250,131</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3,490</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253,621</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Cost of processing, servicing and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support..............................</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146,704</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969</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3,062</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150,735</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Research and development................</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21,085</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1,457</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26,560</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49,102</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Sales and marketing.....................</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32,354</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2,318</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11,302</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45,974</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31,466</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2,045</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2,404</w:t>
            </w:r>
          </w:p>
        </w:tc>
        <w:tc>
          <w:tcPr>
            <w:tcW w:w="34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424,622(4)</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460,537</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24,630</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106</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1,870</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26,606</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In-process research and development.....</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2,201</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2,201</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expenses..................</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258,440</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6,895</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45,198</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424,622</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735,155</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gain on dispositions of assets......</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4,576</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4,576</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from operations......................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(3,733)</w:t>
            </w:r>
          </w:p>
        </w:tc>
        <w:tc>
          <w:tcPr>
            <w:tcW w:w="3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(3,405)</w:t>
            </w:r>
          </w:p>
        </w:tc>
        <w:tc>
          <w:tcPr>
            <w:tcW w:w="3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(45,198)</w:t>
            </w:r>
          </w:p>
        </w:tc>
        <w:tc>
          <w:tcPr>
            <w:tcW w:w="34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(424,622)</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(476,958)</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2,064</w:t>
            </w: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(2,064)(5)</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net...........................</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2,181</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194</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464</w:t>
            </w:r>
          </w:p>
        </w:tc>
        <w:tc>
          <w:tcPr>
            <w:tcW w:w="34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2,839</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before income taxes..................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(1,552)</w:t>
            </w:r>
          </w:p>
        </w:tc>
        <w:tc>
          <w:tcPr>
            <w:tcW w:w="36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(3,211)</w:t>
            </w:r>
          </w:p>
        </w:tc>
        <w:tc>
          <w:tcPr>
            <w:tcW w:w="3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(42,670)</w:t>
            </w:r>
          </w:p>
        </w:tc>
        <w:tc>
          <w:tcPr>
            <w:tcW w:w="34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(426,686)</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(474,119)</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tax benefit........................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w w:val="95"/>
              </w:rPr>
              <w:t>(12,009)</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(88,410)(4)</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(100,419)</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income (loss).........................</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$ 10,457</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$(3,211)</w:t>
            </w:r>
          </w:p>
        </w:tc>
        <w:tc>
          <w:tcPr>
            <w:tcW w:w="13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$(42,670)</w:t>
            </w:r>
          </w:p>
        </w:tc>
        <w:tc>
          <w:tcPr>
            <w:tcW w:w="160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$(338,276)</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$(373,700)</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Basic earnings (loss) per share: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0.20</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(5.04)</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52,444</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21,714(1)</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74,158</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Diluted earnings (loss) per share: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0.18</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(5.04)</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56,529</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17,629(6)</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74,158</w:t>
            </w:r>
          </w:p>
        </w:tc>
      </w:tr>
      <w:tr>
        <w:trPr>
          <w:trHeight w:val="193"/>
        </w:trPr>
        <w:tc>
          <w:tcPr>
            <w:tcW w:w="4320" w:type="dxa"/>
            <w:vAlign w:val="bottom"/>
          </w:tcPr>
          <w:p>
            <w:pPr>
              <w:spacing w:after="0"/>
              <w:rPr>
                <w:sz w:val="16"/>
                <w:szCs w:val="16"/>
                <w:color w:val="auto"/>
              </w:rPr>
            </w:pP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See Notes to Unaudited Pro Forma Condensed Combining Financial Information.</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F-2</w:t>
      </w:r>
    </w:p>
    <w:p>
      <w:pPr>
        <w:sectPr>
          <w:pgSz w:w="11900" w:h="16838" w:orient="portrait"/>
          <w:cols w:equalWidth="0" w:num="1">
            <w:col w:w="10520"/>
          </w:cols>
          <w:pgMar w:left="240" w:top="303" w:right="113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UNAUDITED PRO FORMA CONDENSED COMBINING STATEMENT OF OPERATIONS</w:t>
      </w:r>
    </w:p>
    <w:p>
      <w:pPr>
        <w:ind w:left="1600"/>
        <w:spacing w:after="0"/>
        <w:rPr>
          <w:sz w:val="20"/>
          <w:szCs w:val="20"/>
          <w:color w:val="auto"/>
        </w:rPr>
      </w:pPr>
      <w:r>
        <w:rPr>
          <w:rFonts w:ascii="Courier New" w:cs="Courier New" w:eastAsia="Courier New" w:hAnsi="Courier New"/>
          <w:sz w:val="17"/>
          <w:szCs w:val="17"/>
          <w:color w:val="auto"/>
        </w:rPr>
        <w:t>WITH BLUEGILL TECHNOLOGIES, INC. AND TRANSPOINT</w:t>
      </w:r>
    </w:p>
    <w:p>
      <w:pPr>
        <w:ind w:left="2000"/>
        <w:spacing w:after="0"/>
        <w:rPr>
          <w:sz w:val="20"/>
          <w:szCs w:val="20"/>
          <w:color w:val="auto"/>
        </w:rPr>
      </w:pPr>
      <w:r>
        <w:rPr>
          <w:rFonts w:ascii="Courier New" w:cs="Courier New" w:eastAsia="Courier New" w:hAnsi="Courier New"/>
          <w:sz w:val="17"/>
          <w:szCs w:val="17"/>
          <w:color w:val="auto"/>
        </w:rPr>
        <w:t>FOR THE NINE MONTHS ENDED MARCH 31, 2000</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HISTORICAL AMOUNTS</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spacing w:after="0"/>
              <w:rPr>
                <w:sz w:val="16"/>
                <w:szCs w:val="16"/>
                <w:color w:val="auto"/>
              </w:rPr>
            </w:pPr>
          </w:p>
        </w:tc>
        <w:tc>
          <w:tcPr>
            <w:tcW w:w="3540" w:type="dxa"/>
            <w:vAlign w:val="bottom"/>
            <w:gridSpan w:val="6"/>
          </w:tcPr>
          <w:p>
            <w:pPr>
              <w:ind w:left="10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CHECKFREE</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PRO FORMA</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HOLDINGS</w:t>
            </w:r>
          </w:p>
        </w:tc>
        <w:tc>
          <w:tcPr>
            <w:tcW w:w="11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BLUEGILL</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TRANSPOINT</w:t>
            </w:r>
          </w:p>
        </w:tc>
        <w:tc>
          <w:tcPr>
            <w:tcW w:w="17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ADJUSTMENTS</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37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w w:val="99"/>
              </w:rPr>
              <w:t>(IN THOUSANDS, EXCEPT PER SHARE AMOUNTS)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5"/>
        </w:trPr>
        <w:tc>
          <w:tcPr>
            <w:tcW w:w="37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Processing and servicing..........</w:t>
            </w: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$189,430</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$ 189,430</w:t>
            </w: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License fees......................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10,295</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4,578</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14,873</w:t>
            </w: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Maintenance fees..................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13,571</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349</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13,920</w:t>
            </w: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8,399</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1,180</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9,586</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revenues............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221,695</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6,107</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227,809</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Cost of processing, servicing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support........................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133,684</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1,496</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13,856</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149,036</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Research and development..........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24,276</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2,142</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5,997</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32,415</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Sales and marketing...............</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29,522</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5,602</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13,980</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49,104</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28,837</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4,463</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1,858</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35,158</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23,789</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272</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2,755</w:t>
            </w:r>
          </w:p>
        </w:tc>
        <w:tc>
          <w:tcPr>
            <w:tcW w:w="26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284,492(4)</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311,308</w:t>
            </w: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In-process research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development....................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expenses............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240,108</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13,975</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38,446</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284,492</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577,021</w:t>
            </w: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Net gain on dispositions of</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assets.........................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from operations................</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(18,413)</w:t>
            </w:r>
          </w:p>
        </w:tc>
        <w:tc>
          <w:tcPr>
            <w:tcW w:w="3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(7,868)</w:t>
            </w:r>
          </w:p>
        </w:tc>
        <w:tc>
          <w:tcPr>
            <w:tcW w:w="3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(38,439)</w:t>
            </w:r>
          </w:p>
        </w:tc>
        <w:tc>
          <w:tcPr>
            <w:tcW w:w="260" w:type="dxa"/>
            <w:vAlign w:val="bottom"/>
          </w:tcPr>
          <w:p>
            <w:pPr>
              <w:spacing w:after="0"/>
              <w:rPr>
                <w:sz w:val="16"/>
                <w:szCs w:val="16"/>
                <w:color w:val="auto"/>
              </w:rPr>
            </w:pP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(284,492)</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(349,212)</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5,608</w:t>
            </w:r>
          </w:p>
        </w:tc>
        <w:tc>
          <w:tcPr>
            <w:tcW w:w="260" w:type="dxa"/>
            <w:vAlign w:val="bottom"/>
          </w:tcPr>
          <w:p>
            <w:pPr>
              <w:spacing w:after="0"/>
              <w:rPr>
                <w:sz w:val="16"/>
                <w:szCs w:val="16"/>
                <w:color w:val="auto"/>
              </w:rPr>
            </w:pP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(5,608)(5)</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net.....................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619</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1,054</w:t>
            </w:r>
          </w:p>
        </w:tc>
        <w:tc>
          <w:tcPr>
            <w:tcW w:w="26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1,590</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before income taxes............</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(18,496)</w:t>
            </w:r>
          </w:p>
        </w:tc>
        <w:tc>
          <w:tcPr>
            <w:tcW w:w="3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(7,249)</w:t>
            </w:r>
          </w:p>
        </w:tc>
        <w:tc>
          <w:tcPr>
            <w:tcW w:w="3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(31,777)</w:t>
            </w:r>
          </w:p>
        </w:tc>
        <w:tc>
          <w:tcPr>
            <w:tcW w:w="260" w:type="dxa"/>
            <w:vAlign w:val="bottom"/>
          </w:tcPr>
          <w:p>
            <w:pPr>
              <w:spacing w:after="0"/>
              <w:rPr>
                <w:sz w:val="16"/>
                <w:szCs w:val="16"/>
                <w:color w:val="auto"/>
              </w:rPr>
            </w:pP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(290,100)</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(347,622)</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tax benefit..................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(6,718)</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(52,718)(4)</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(59,436)</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income (loss)...................</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$(11,778)</w:t>
            </w:r>
          </w:p>
        </w:tc>
        <w:tc>
          <w:tcPr>
            <w:tcW w:w="11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$(7,249)</w:t>
            </w:r>
          </w:p>
        </w:tc>
        <w:tc>
          <w:tcPr>
            <w:tcW w:w="13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$(31,777)</w:t>
            </w:r>
          </w:p>
        </w:tc>
        <w:tc>
          <w:tcPr>
            <w:tcW w:w="17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 (237,382)</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$(288,186)</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Basic earnings (loss) per share: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Net income (loss) per common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(0.23)</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(3.90)</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52,246</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21,714(1)</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73,960</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Diluted earnings (loss) per share: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Net income (loss) per common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(0.23)</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(3.90)</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52,246</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21,714(1)</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73,960</w:t>
            </w:r>
          </w:p>
        </w:tc>
      </w:tr>
      <w:tr>
        <w:trPr>
          <w:trHeight w:val="193"/>
        </w:trPr>
        <w:tc>
          <w:tcPr>
            <w:tcW w:w="3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Unaudited Pro Forma Condensed Combining Financial Information</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F-3</w:t>
      </w:r>
    </w:p>
    <w:p>
      <w:pPr>
        <w:sectPr>
          <w:pgSz w:w="11900" w:h="16838" w:orient="portrait"/>
          <w:cols w:equalWidth="0" w:num="1">
            <w:col w:w="10219"/>
          </w:cols>
          <w:pgMar w:left="2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NOTES TO UNAUDITED PRO FORMA CONDENSED COMBINING FINANCIAL INFORMATION</w:t>
      </w:r>
    </w:p>
    <w:p>
      <w:pPr>
        <w:jc w:val="center"/>
        <w:ind w:right="2299"/>
        <w:spacing w:after="0"/>
        <w:rPr>
          <w:sz w:val="20"/>
          <w:szCs w:val="20"/>
          <w:color w:val="auto"/>
        </w:rPr>
      </w:pPr>
      <w:r>
        <w:rPr>
          <w:rFonts w:ascii="Courier New" w:cs="Courier New" w:eastAsia="Courier New" w:hAnsi="Courier New"/>
          <w:sz w:val="17"/>
          <w:szCs w:val="17"/>
          <w:color w:val="auto"/>
        </w:rPr>
        <w:t>WITH BLUEGILL TECHNOLOGIES, INC. AND TRANSPOINT</w:t>
      </w:r>
    </w:p>
    <w:p>
      <w:pPr>
        <w:spacing w:after="0" w:line="198" w:lineRule="exact"/>
        <w:rPr>
          <w:sz w:val="20"/>
          <w:szCs w:val="20"/>
          <w:color w:val="auto"/>
        </w:rPr>
      </w:pPr>
    </w:p>
    <w:p>
      <w:pPr>
        <w:ind w:right="2299" w:firstLine="504"/>
        <w:spacing w:after="0" w:line="256" w:lineRule="auto"/>
        <w:tabs>
          <w:tab w:leader="none" w:pos="80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reflect the issuance of CheckFree Holdings common stock, options and related direct acquisition expenses as the total purchase price for the net assets of BlueGill and the TransPoint business, and the elimination of BlueGill's redeemable preferred stock and stockholders' equity and revaluation of TransPoint's capitalized software costs and the elimination of TransPoint's minority interest and member's capital deficiency. The fair market values of intangible assets are preliminary estimates based on independent appraisals and current facts and circumstances.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250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(IN THOUSANDS)</w:t>
            </w:r>
          </w:p>
        </w:tc>
      </w:tr>
      <w:tr>
        <w:trPr>
          <w:trHeight w:val="193"/>
        </w:trPr>
        <w:tc>
          <w:tcPr>
            <w:tcW w:w="6120" w:type="dxa"/>
            <w:vAlign w:val="bottom"/>
          </w:tcPr>
          <w:p>
            <w:pPr>
              <w:spacing w:after="0"/>
              <w:rPr>
                <w:sz w:val="16"/>
                <w:szCs w:val="16"/>
                <w:color w:val="auto"/>
              </w:rPr>
            </w:pPr>
          </w:p>
        </w:tc>
        <w:tc>
          <w:tcPr>
            <w:tcW w:w="250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385"/>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Cash........................................................</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100,000</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Capitalized software, net...................................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195,673</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Goodwill, net...............................................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1,017,985</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intangible assets, net................................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577,500</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BlueGill redeemable preferred stock.........................</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25,963</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BlueGill common stock.......................................</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BlueGill additional paid in capital.........................</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1,753</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TransPoint minority interest................................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40,329</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CheckFree Holdings common stock...........................</w:t>
            </w:r>
          </w:p>
        </w:tc>
        <w:tc>
          <w:tcPr>
            <w:tcW w:w="1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217</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CheckFree Holdings additional paid in capital.............</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1,589,861</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BlueGill accumulated deficit..............................</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12,443</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BlueGill other equity.....................................</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650</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TransPoint member's capital deficiency....................</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41,771</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deferred income tax liability.....................</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88,410</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Long-term deferred income tax liability...................</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221,933</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acquisition expenses..............................</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3,925</w:t>
            </w:r>
          </w:p>
        </w:tc>
      </w:tr>
      <w:tr>
        <w:trPr>
          <w:trHeight w:val="193"/>
        </w:trPr>
        <w:tc>
          <w:tcPr>
            <w:tcW w:w="61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Totals............................................</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$1,959,210</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$1,959,210</w:t>
            </w:r>
          </w:p>
        </w:tc>
      </w:tr>
      <w:tr>
        <w:trPr>
          <w:trHeight w:val="193"/>
        </w:trPr>
        <w:tc>
          <w:tcPr>
            <w:tcW w:w="61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699" w:firstLine="501"/>
        <w:spacing w:after="0" w:line="236" w:lineRule="auto"/>
        <w:rPr>
          <w:sz w:val="20"/>
          <w:szCs w:val="20"/>
          <w:color w:val="auto"/>
        </w:rPr>
      </w:pPr>
      <w:r>
        <w:rPr>
          <w:rFonts w:ascii="Courier New" w:cs="Courier New" w:eastAsia="Courier New" w:hAnsi="Courier New"/>
          <w:sz w:val="17"/>
          <w:szCs w:val="17"/>
          <w:color w:val="auto"/>
        </w:rPr>
        <w:t>The following chart indicates the components of the estimated purchase prices of the acquisitions inherent in the adjusting entry:</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2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BLUEGILL</w:t>
            </w:r>
          </w:p>
        </w:tc>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TRANSPOINT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COMBINED</w:t>
            </w:r>
          </w:p>
        </w:tc>
      </w:tr>
      <w:tr>
        <w:trPr>
          <w:trHeight w:val="193"/>
        </w:trPr>
        <w:tc>
          <w:tcPr>
            <w:tcW w:w="4920" w:type="dxa"/>
            <w:vAlign w:val="bottom"/>
          </w:tcPr>
          <w:p>
            <w:pPr>
              <w:spacing w:after="0"/>
              <w:rPr>
                <w:sz w:val="16"/>
                <w:szCs w:val="16"/>
                <w:color w:val="auto"/>
              </w:rPr>
            </w:pP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ACQUISITION</w:t>
            </w:r>
          </w:p>
        </w:tc>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ACQUISITION</w:t>
            </w:r>
          </w:p>
        </w:tc>
        <w:tc>
          <w:tcPr>
            <w:tcW w:w="12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920" w:type="dxa"/>
            <w:vAlign w:val="bottom"/>
          </w:tcPr>
          <w:p>
            <w:pPr>
              <w:spacing w:after="0"/>
              <w:rPr>
                <w:sz w:val="16"/>
                <w:szCs w:val="16"/>
                <w:color w:val="auto"/>
              </w:rPr>
            </w:pP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 THOUSANDS)</w:t>
            </w:r>
          </w:p>
        </w:tc>
        <w:tc>
          <w:tcPr>
            <w:tcW w:w="1240" w:type="dxa"/>
            <w:vAlign w:val="bottom"/>
          </w:tcPr>
          <w:p>
            <w:pPr>
              <w:spacing w:after="0"/>
              <w:rPr>
                <w:sz w:val="16"/>
                <w:szCs w:val="16"/>
                <w:color w:val="auto"/>
              </w:rPr>
            </w:pPr>
          </w:p>
        </w:tc>
      </w:tr>
      <w:tr>
        <w:trPr>
          <w:trHeight w:val="385"/>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CheckFree Holdings common stock.................</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$221,449</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$1,350,083</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$1,571,532</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Issuance of CheckFree Holdings options..........</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18,546</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18,546</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TransPoint cash infusion........................</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(100,000)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Estimated direct acquisition costs..............</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600</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3,325</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3,925</w:t>
            </w:r>
          </w:p>
        </w:tc>
      </w:tr>
      <w:tr>
        <w:trPr>
          <w:trHeight w:val="193"/>
        </w:trPr>
        <w:tc>
          <w:tcPr>
            <w:tcW w:w="492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estimated purchase price........</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$240,595</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$1,253,408</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$1,474,003</w:t>
            </w:r>
          </w:p>
        </w:tc>
      </w:tr>
      <w:tr>
        <w:trPr>
          <w:trHeight w:val="193"/>
        </w:trPr>
        <w:tc>
          <w:tcPr>
            <w:tcW w:w="492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499" w:firstLine="501"/>
        <w:spacing w:after="0" w:line="262" w:lineRule="auto"/>
        <w:rPr>
          <w:sz w:val="20"/>
          <w:szCs w:val="20"/>
          <w:color w:val="auto"/>
        </w:rPr>
      </w:pPr>
      <w:r>
        <w:rPr>
          <w:rFonts w:ascii="Courier New" w:cs="Courier New" w:eastAsia="Courier New" w:hAnsi="Courier New"/>
          <w:sz w:val="16"/>
          <w:szCs w:val="16"/>
          <w:color w:val="auto"/>
        </w:rPr>
        <w:t>The combined estimated purchase price will be issued in exchange for the net assets of BlueGill and TransPoint on their respective closing dates.</w:t>
      </w:r>
    </w:p>
    <w:p>
      <w:pPr>
        <w:spacing w:after="0" w:line="18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purchase price of BlueGill reflects the issuance of 4,713,736 shares of CheckFree Holdings common stock at $46.98 per share which is the average closing price of CheckFree Holdings common stock for the three trading days preceding and the three trading days following the closing of the acquisition. Under the terms of the BlueGill merger agreement, CheckFree Holdings has also issued 634,145 CheckFree Holdings options to replace BlueGill options, 286,264 of which are already vested. The value of the assumed CheckFree Holdings option grant is based on a Black-Scholes valuation model assuming a $46.98 stock price, an average strike price of $2.18, an average life of 2.9 years, a risk-free interest rate of 6.47% and volatility of 83.4%.</w:t>
      </w:r>
    </w:p>
    <w:p>
      <w:pPr>
        <w:sectPr>
          <w:pgSz w:w="11900" w:h="16838" w:orient="portrait"/>
          <w:cols w:equalWidth="0" w:num="1">
            <w:col w:w="10219"/>
          </w:cols>
          <w:pgMar w:left="240" w:top="303" w:right="1440" w:bottom="1136" w:gutter="0" w:footer="0" w:header="0"/>
        </w:sectPr>
      </w:pPr>
    </w:p>
    <w:p>
      <w:pPr>
        <w:spacing w:after="0" w:line="3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303" w:right="1440" w:bottom="1136"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purchase price of TransPoint and the entering into the related commercial agreements reflects the assumed issuance of 17,000,000 shares of CheckFree Holdings common stock at $79.42 per share, which is the average end of day price of CheckFree Holdings common stock for the three trading days preceding and the three days following the announcement of the acquisition. Under the terms of the merger agreement, the TransPoint business is to have $100 million in cash immediately prior to the closing of the Transfers.</w:t>
      </w:r>
    </w:p>
    <w:p>
      <w:pPr>
        <w:spacing w:after="0" w:line="199" w:lineRule="exact"/>
        <w:rPr>
          <w:sz w:val="20"/>
          <w:szCs w:val="20"/>
          <w:color w:val="auto"/>
        </w:rPr>
      </w:pPr>
    </w:p>
    <w:p>
      <w:pPr>
        <w:ind w:right="2599" w:firstLine="501"/>
        <w:spacing w:after="0" w:line="236" w:lineRule="auto"/>
        <w:rPr>
          <w:sz w:val="20"/>
          <w:szCs w:val="20"/>
          <w:color w:val="auto"/>
        </w:rPr>
      </w:pPr>
      <w:r>
        <w:rPr>
          <w:rFonts w:ascii="Courier New" w:cs="Courier New" w:eastAsia="Courier New" w:hAnsi="Courier New"/>
          <w:sz w:val="17"/>
          <w:szCs w:val="17"/>
          <w:color w:val="auto"/>
        </w:rPr>
        <w:t>The following table provides the preliminary allocation of the purchase price inherent in the adjusting entry:</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2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BLUEGILL</w:t>
            </w:r>
          </w:p>
        </w:tc>
        <w:tc>
          <w:tcPr>
            <w:tcW w:w="16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TRANSPOINT</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ACQUISITION</w:t>
            </w:r>
          </w:p>
        </w:tc>
        <w:tc>
          <w:tcPr>
            <w:tcW w:w="16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ACQUISITION</w:t>
            </w:r>
          </w:p>
        </w:tc>
        <w:tc>
          <w:tcPr>
            <w:tcW w:w="24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COMBINED</w:t>
            </w:r>
          </w:p>
        </w:tc>
      </w:tr>
      <w:tr>
        <w:trPr>
          <w:trHeight w:val="193"/>
        </w:trPr>
        <w:tc>
          <w:tcPr>
            <w:tcW w:w="4920" w:type="dxa"/>
            <w:vAlign w:val="bottom"/>
          </w:tcPr>
          <w:p>
            <w:pPr>
              <w:spacing w:after="0"/>
              <w:rPr>
                <w:sz w:val="16"/>
                <w:szCs w:val="16"/>
                <w:color w:val="auto"/>
              </w:rPr>
            </w:pP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 process research and development.............</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6,900</w:t>
            </w:r>
          </w:p>
        </w:tc>
        <w:tc>
          <w:tcPr>
            <w:tcW w:w="4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6,900</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Current technologies and products...............</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13,700</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185,000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198,700</w:t>
            </w:r>
          </w:p>
        </w:tc>
      </w:tr>
      <w:tr>
        <w:trPr>
          <w:trHeight w:val="193"/>
        </w:trPr>
        <w:tc>
          <w:tcPr>
            <w:tcW w:w="49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Sub-total capitalized software, net........</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20,600</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185,000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205,600</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Goodwill, net...................................</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193,007</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824,978</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1,017,985</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Other intangible assets: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Workforce in place............................</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2,600</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2,600</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Customer list.................................</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10,600</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25,000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35,600</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Tradename.....................................</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15,100</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29,000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44,100</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Strategic agreements..........................</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494,000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494,000</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Covenants not to compete......................</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1,200</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1,200</w:t>
            </w:r>
          </w:p>
        </w:tc>
      </w:tr>
      <w:tr>
        <w:trPr>
          <w:trHeight w:val="193"/>
        </w:trPr>
        <w:tc>
          <w:tcPr>
            <w:tcW w:w="49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Sub-total other intangible assets..........</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29,500</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548,000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577,500</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(17,142)</w:t>
            </w:r>
          </w:p>
        </w:tc>
        <w:tc>
          <w:tcPr>
            <w:tcW w:w="44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(293,200)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(310,342)</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Net assets of respective company:</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15,044</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8,019</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23,063</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Property and equipment........................</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1,452</w:t>
            </w:r>
          </w:p>
        </w:tc>
        <w:tc>
          <w:tcPr>
            <w:tcW w:w="4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763</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2,215</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net....................................</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(1,866)</w:t>
            </w:r>
          </w:p>
        </w:tc>
        <w:tc>
          <w:tcPr>
            <w:tcW w:w="44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(20,152)</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(22,018)</w:t>
            </w:r>
          </w:p>
        </w:tc>
      </w:tr>
      <w:tr>
        <w:trPr>
          <w:trHeight w:val="193"/>
        </w:trPr>
        <w:tc>
          <w:tcPr>
            <w:tcW w:w="49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Sub-total net assets.......................</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14,630</w:t>
            </w:r>
          </w:p>
        </w:tc>
        <w:tc>
          <w:tcPr>
            <w:tcW w:w="44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(11,370)</w:t>
            </w:r>
          </w:p>
        </w:tc>
        <w:tc>
          <w:tcPr>
            <w:tcW w:w="24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3,260</w:t>
            </w:r>
          </w:p>
        </w:tc>
      </w:tr>
      <w:tr>
        <w:trPr>
          <w:trHeight w:val="193"/>
        </w:trPr>
        <w:tc>
          <w:tcPr>
            <w:tcW w:w="49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Total purchase price............................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240,595</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$1,253,408</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$1,494,003</w:t>
            </w:r>
          </w:p>
        </w:tc>
      </w:tr>
      <w:tr>
        <w:trPr>
          <w:trHeight w:val="193"/>
        </w:trPr>
        <w:tc>
          <w:tcPr>
            <w:tcW w:w="492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4"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Details of specific technologies and the related useful lives of all intangible assets are described in the Notes to Unaudited Pro Forma Condensed Combining Financial Information for CheckFree Holdings and TransPoint on page F-12 and CheckFree Holdings and BlueGill on page F-19.</w:t>
      </w:r>
    </w:p>
    <w:p>
      <w:pPr>
        <w:spacing w:after="0" w:line="200" w:lineRule="exact"/>
        <w:rPr>
          <w:sz w:val="20"/>
          <w:szCs w:val="20"/>
          <w:color w:val="auto"/>
        </w:rPr>
      </w:pPr>
    </w:p>
    <w:p>
      <w:pPr>
        <w:ind w:right="2399" w:firstLine="504"/>
        <w:spacing w:after="0" w:line="239" w:lineRule="auto"/>
        <w:tabs>
          <w:tab w:leader="none" w:pos="8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write off the balance of in-process research and development. As the amounts are non-deductible for federal and state tax purposes, there is no related income tax benefit resulting from the charge. Refer to Note B in the Notes to Unaudited Pro Forma Condensed Combining Financial Information for CheckFree Holdings and TransPoint on page F-14 and CheckFree Holdings and BlueGill on page F-21 for a detailed description of in-process research and development for the respective acquisition. The amount of in-process research and development is $6.9 million for BlueGill and $0 for TransPoint.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x</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5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Accumulated deficit................................</w:t>
            </w:r>
          </w:p>
        </w:tc>
        <w:tc>
          <w:tcPr>
            <w:tcW w:w="17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$6,900</w:t>
            </w:r>
          </w:p>
        </w:tc>
      </w:tr>
      <w:tr>
        <w:trPr>
          <w:trHeight w:val="193"/>
        </w:trPr>
        <w:tc>
          <w:tcPr>
            <w:tcW w:w="5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Capitalized software, net........................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$6,900</w:t>
            </w:r>
          </w:p>
        </w:tc>
      </w:tr>
    </w:tbl>
    <w:p>
      <w:pPr>
        <w:spacing w:after="0" w:line="391" w:lineRule="exact"/>
        <w:rPr>
          <w:sz w:val="20"/>
          <w:szCs w:val="20"/>
          <w:color w:val="auto"/>
        </w:rPr>
      </w:pPr>
    </w:p>
    <w:p>
      <w:pPr>
        <w:ind w:right="2399" w:firstLine="504"/>
        <w:spacing w:after="0" w:line="237" w:lineRule="auto"/>
        <w:tabs>
          <w:tab w:leader="none" w:pos="8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accrue the cost of registering CheckFree Holdings shares to be issued for BlueGill of $500,000 and registering CheckFree Corporation shares to be issued for TransPoint of $675,000.</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5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Additional paid-in capital.........................</w:t>
            </w:r>
          </w:p>
        </w:tc>
        <w:tc>
          <w:tcPr>
            <w:tcW w:w="17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$1,175</w:t>
            </w:r>
          </w:p>
        </w:tc>
      </w:tr>
      <w:tr>
        <w:trPr>
          <w:trHeight w:val="193"/>
        </w:trPr>
        <w:tc>
          <w:tcPr>
            <w:tcW w:w="5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liabilities..............................</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$1,175</w:t>
            </w:r>
          </w:p>
        </w:tc>
      </w:tr>
    </w:tbl>
    <w:p>
      <w:pPr>
        <w:spacing w:after="0" w:line="200" w:lineRule="exact"/>
        <w:rPr>
          <w:sz w:val="20"/>
          <w:szCs w:val="20"/>
          <w:color w:val="auto"/>
        </w:rPr>
      </w:pPr>
    </w:p>
    <w:p>
      <w:pPr>
        <w:sectPr>
          <w:pgSz w:w="11900" w:h="16838" w:orient="portrait"/>
          <w:cols w:equalWidth="0" w:num="1">
            <w:col w:w="10219"/>
          </w:cols>
          <w:pgMar w:left="240" w:top="303" w:right="1440" w:bottom="0" w:gutter="0" w:footer="0" w:header="0"/>
        </w:sectPr>
      </w:pP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303" w:right="1440" w:bottom="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198" w:lineRule="exact"/>
        <w:rPr>
          <w:sz w:val="20"/>
          <w:szCs w:val="20"/>
          <w:color w:val="auto"/>
        </w:rPr>
      </w:pPr>
    </w:p>
    <w:p>
      <w:pPr>
        <w:ind w:right="2499" w:firstLine="504"/>
        <w:spacing w:after="0" w:line="236" w:lineRule="auto"/>
        <w:tabs>
          <w:tab w:leader="none" w:pos="8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reflect additional amortization expense and the related income tax benefit associated with the intangible assets acquired.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BLUEGILL</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TRANSPOINT</w:t>
            </w:r>
          </w:p>
        </w:tc>
        <w:tc>
          <w:tcPr>
            <w:tcW w:w="2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COMBINED ADJUSTMENT</w:t>
            </w:r>
          </w:p>
        </w:tc>
      </w:tr>
      <w:tr>
        <w:trPr>
          <w:trHeight w:val="193"/>
        </w:trPr>
        <w:tc>
          <w:tcPr>
            <w:tcW w:w="42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(IN THOUSANDS)</w:t>
            </w:r>
          </w:p>
        </w:tc>
        <w:tc>
          <w:tcPr>
            <w:tcW w:w="1000" w:type="dxa"/>
            <w:vAlign w:val="bottom"/>
          </w:tcPr>
          <w:p>
            <w:pPr>
              <w:spacing w:after="0"/>
              <w:rPr>
                <w:sz w:val="16"/>
                <w:szCs w:val="16"/>
                <w:color w:val="auto"/>
              </w:rPr>
            </w:pP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YEAR ENDED JUNE 30, 1999</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Depreciation and amortization............</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$61,826</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$362,796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$424,622</w:t>
            </w:r>
          </w:p>
        </w:tc>
        <w:tc>
          <w:tcPr>
            <w:tcW w:w="10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Current deferred income tax liability....</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9,290</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79,120</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88,410</w:t>
            </w:r>
          </w:p>
        </w:tc>
        <w:tc>
          <w:tcPr>
            <w:tcW w:w="10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Capitalized software, net..............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3,938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61,667</w:t>
            </w: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$ 65,605</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Goodwill, net..........................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38,601</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164,996</w:t>
            </w: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203,597</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intangible assets, net...........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19,287</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136,133</w:t>
            </w: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155,420</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benefit.....................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9,290</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79,120</w:t>
            </w: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88,410</w:t>
            </w:r>
          </w:p>
        </w:tc>
      </w:tr>
      <w:tr>
        <w:trPr>
          <w:trHeight w:val="193"/>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$513,032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$513,032</w:t>
            </w:r>
          </w:p>
        </w:tc>
      </w:tr>
      <w:tr>
        <w:trPr>
          <w:trHeight w:val="193"/>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NINE MONTHS ENDED MARCH 31, 2000</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Depreciation and amortization............</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$34,145</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$250,347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$284,492</w:t>
            </w:r>
          </w:p>
        </w:tc>
        <w:tc>
          <w:tcPr>
            <w:tcW w:w="10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Current deferred income tax liability....</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2,078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50,640</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52,718</w:t>
            </w:r>
          </w:p>
        </w:tc>
        <w:tc>
          <w:tcPr>
            <w:tcW w:w="1000" w:type="dxa"/>
            <w:vAlign w:val="bottom"/>
          </w:tcPr>
          <w:p>
            <w:pPr>
              <w:spacing w:after="0"/>
              <w:rPr>
                <w:sz w:val="16"/>
                <w:szCs w:val="16"/>
                <w:color w:val="auto"/>
              </w:rPr>
            </w:pP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Capitalized software, net..............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2,954</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46,250</w:t>
            </w: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$ 49,204</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Goodwill, net..........................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28,951</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123,747</w:t>
            </w: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152,698</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intangible assets, net...........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2,240</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80,350</w:t>
            </w: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82,590</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benefit.....................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2,078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50,640</w:t>
            </w: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52,718</w:t>
            </w:r>
          </w:p>
        </w:tc>
      </w:tr>
      <w:tr>
        <w:trPr>
          <w:trHeight w:val="193"/>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$337,210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$337,210</w:t>
            </w:r>
          </w:p>
        </w:tc>
      </w:tr>
      <w:tr>
        <w:trPr>
          <w:trHeight w:val="193"/>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200" w:lineRule="exact"/>
        <w:rPr>
          <w:sz w:val="20"/>
          <w:szCs w:val="20"/>
          <w:color w:val="auto"/>
        </w:rPr>
      </w:pPr>
    </w:p>
    <w:p>
      <w:pPr>
        <w:ind w:right="2199" w:firstLine="504"/>
        <w:spacing w:after="0" w:line="237" w:lineRule="auto"/>
        <w:tabs>
          <w:tab w:leader="none" w:pos="8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reflect the elimination of minority interest recorded in the period due to the acquisition of all of the ownership interest in TransPoint by CheckFree Holdings.</w:t>
      </w:r>
    </w:p>
    <w:p>
      <w:pPr>
        <w:spacing w:after="0" w:line="200" w:lineRule="exact"/>
        <w:rPr>
          <w:rFonts w:ascii="Courier New" w:cs="Courier New" w:eastAsia="Courier New" w:hAnsi="Courier New"/>
          <w:sz w:val="17"/>
          <w:szCs w:val="17"/>
          <w:color w:val="auto"/>
        </w:rPr>
      </w:pPr>
    </w:p>
    <w:p>
      <w:pPr>
        <w:ind w:right="2199" w:firstLine="504"/>
        <w:spacing w:after="0" w:line="239" w:lineRule="auto"/>
        <w:tabs>
          <w:tab w:leader="none" w:pos="8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combined with BlueGill's historical loss, TransPoint's historical loss and the combined pro forma adjustments, the historical CheckFree Holdings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both BlueGill and TransPoint.</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CheckFree Holdings common shares issued for:</w:t>
            </w:r>
          </w:p>
        </w:tc>
        <w:tc>
          <w:tcPr>
            <w:tcW w:w="1500" w:type="dxa"/>
            <w:vAlign w:val="bottom"/>
          </w:tcPr>
          <w:p>
            <w:pPr>
              <w:spacing w:after="0"/>
              <w:rPr>
                <w:sz w:val="24"/>
                <w:szCs w:val="24"/>
                <w:color w:val="auto"/>
              </w:rPr>
            </w:pP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TransPoint............................................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13,000</w:t>
            </w: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BlueGill..............................................</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4,714</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Potentially dilutive securities:</w:t>
            </w:r>
          </w:p>
        </w:tc>
        <w:tc>
          <w:tcPr>
            <w:tcW w:w="1500" w:type="dxa"/>
            <w:vAlign w:val="bottom"/>
          </w:tcPr>
          <w:p>
            <w:pPr>
              <w:spacing w:after="0"/>
              <w:rPr>
                <w:sz w:val="16"/>
                <w:szCs w:val="16"/>
                <w:color w:val="auto"/>
              </w:rPr>
            </w:pP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Options and warrants..................................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(4,085)</w:t>
            </w:r>
          </w:p>
        </w:tc>
      </w:tr>
      <w:tr>
        <w:trPr>
          <w:trHeight w:val="193"/>
        </w:trPr>
        <w:tc>
          <w:tcPr>
            <w:tcW w:w="57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adjustment to dilutive shares outstanding...........</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17,629</w:t>
            </w:r>
          </w:p>
        </w:tc>
      </w:tr>
      <w:tr>
        <w:trPr>
          <w:trHeight w:val="193"/>
        </w:trPr>
        <w:tc>
          <w:tcPr>
            <w:tcW w:w="57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03" w:right="1440" w:bottom="1440" w:gutter="0" w:footer="0" w:header="0"/>
        </w:sectPr>
      </w:pP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303"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NOTES TO UNAUDITED PRO FORMA CONDENSED COMBINING FINANCIAL INFORMATION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acquisitions of BlueGill and TransPoint; that the pro forma adjustments give appropriate effect to those assumptions; and that the pro forma adjustments are properly applied in the Unaudited Pro Forma Condensed Combining Balance Sheet and Statement of Operations.</w:t>
      </w:r>
    </w:p>
    <w:p>
      <w:pPr>
        <w:spacing w:after="0" w:line="200" w:lineRule="exact"/>
        <w:rPr>
          <w:sz w:val="20"/>
          <w:szCs w:val="20"/>
          <w:color w:val="auto"/>
        </w:rPr>
      </w:pPr>
    </w:p>
    <w:p>
      <w:pPr>
        <w:ind w:right="2799" w:firstLine="501"/>
        <w:spacing w:after="0" w:line="238" w:lineRule="auto"/>
        <w:rPr>
          <w:sz w:val="20"/>
          <w:szCs w:val="20"/>
          <w:color w:val="auto"/>
        </w:rPr>
      </w:pPr>
      <w:r>
        <w:rPr>
          <w:rFonts w:ascii="Courier New" w:cs="Courier New" w:eastAsia="Courier New" w:hAnsi="Courier New"/>
          <w:sz w:val="17"/>
          <w:szCs w:val="17"/>
          <w:color w:val="auto"/>
        </w:rPr>
        <w:t>Note B: The Unaudited Pro Forma Condensed Combining Balance Sheet of CheckFree Holdings, BlueGill and TransPoint has been prepared as if the acquisitions were completed as of March 31, 2000 and were accounted for as purchases.</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CheckFree Holdings issued 4,713,736 shares of CheckFree Holdings common stock in the BlueGill merger with a fair market value of $46.98 per share. CheckFree Holdings also issued 634,145 CheckFree Holdings options to replace BlueGill options, 286,264 of which are already vested. The excess of fair value over the strike price of options issued per the merger agreement carry a value of $18,546,000. CheckFree Holdings incurred $600,000 of direct acquisition costs. The total purchase price of $240,595,000 was allocated to the assets acquired and liabilities assumed based on BlueGill's March 31, 2000 balance sheet.</w:t>
      </w:r>
    </w:p>
    <w:p>
      <w:pPr>
        <w:spacing w:after="0" w:line="20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CheckFree Holdings will issue 17,000,000 shares of its common stock at an assumed value of $79.42 for the net assets of TransPoint and the entering into of the related commercial agreements. Under the merger agreement, TransPoint is to have $100 million of cash immediately prior to the closing of the mergers. CheckFree Holdings expects to incur approximately $3,325,000 of direct acquisition costs. The total purchase price of $1,253,408,000 was allocated to assets acquired and liabilities assumed based on TransPoint's March 31, 2000 balance sheet.</w:t>
      </w:r>
    </w:p>
    <w:p>
      <w:pPr>
        <w:spacing w:after="0" w:line="393"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allocation of the BlueGill and TransPoint purchase prices among their related identifiable tangible and intangible assets and purchased in-process research and development is based on preliminary estimates of the fair market value of those assets. Final determination of the allocation of the purchase prices will be based on independent appraisals that CheckFree Holdings expects to have completed shortly after the respective acquisitions are consummated. For a detailed description of in-process research and development charges, see Note B for TransPoint on page F-14 and Note B for BlueGill on page F-21.</w:t>
      </w:r>
    </w:p>
    <w:p>
      <w:pPr>
        <w:spacing w:after="0" w:line="393"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Note C: CheckFree Holdings' statement of operations for the year ended June 30, 1999, has been combined with the BlueGill statement of operations and the TransPoint statement of operations for the twelve months ended June 30, 1999. CheckFree Holdings' statement of operations for the nine month period ended March 31, 2000 has been combined with the BlueGill statement of operations and the TransPoint statement of operations for the nine months ended March 31, 2000. Actual statements of operations of CheckFree Holdings and BlueGill, and CheckFree Holdings and TransPoint will be combined from the effective date of the respective acquisitions, with no retroactive restatement.</w:t>
      </w:r>
    </w:p>
    <w:p>
      <w:pPr>
        <w:spacing w:after="0" w:line="187"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Note D: The unaudited pro forma condensed combining statement of operations for CheckFree Holdings, BlueGill and TransPoint have been prepared as if the merger was completed as of July 1, 1998, the beginning of the earliest period presented. The unaudited pro forma combined net income (loss) per share is based on the weighted average number of shares of CheckFree Holdings common stock outstanding during the periods, adjusted to give effect to shares assumed to be issued had the acquisitions taken place as of July 1, 1998.</w:t>
      </w:r>
    </w:p>
    <w:p>
      <w:pPr>
        <w:spacing w:after="0" w:line="18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Note E: The unaudited pro forma condensed combining statement of operations do not include a charge for the value of the estimated $6.9 million (no income tax effect) of purchased research and development arising from the merger with BlueGill, which will be expensed at acquisition, as this expense will have no continuing impact.</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F-7</w:t>
      </w:r>
    </w:p>
    <w:p>
      <w:pPr>
        <w:sectPr>
          <w:pgSz w:w="11900" w:h="16838" w:orient="portrait"/>
          <w:cols w:equalWidth="0" w:num="1">
            <w:col w:w="10219"/>
          </w:cols>
          <w:pgMar w:left="240" w:top="30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UNAUDITED PRO FORMA CONDENSED COMBINING BALANCE SHEET</w:t>
      </w:r>
    </w:p>
    <w:p>
      <w:pPr>
        <w:jc w:val="center"/>
        <w:ind w:right="2299"/>
        <w:spacing w:after="0"/>
        <w:rPr>
          <w:sz w:val="20"/>
          <w:szCs w:val="20"/>
          <w:color w:val="auto"/>
        </w:rPr>
      </w:pPr>
      <w:r>
        <w:rPr>
          <w:rFonts w:ascii="Courier New" w:cs="Courier New" w:eastAsia="Courier New" w:hAnsi="Courier New"/>
          <w:sz w:val="17"/>
          <w:szCs w:val="17"/>
          <w:color w:val="auto"/>
        </w:rPr>
        <w:t>WITH TRANSPOINT</w:t>
      </w:r>
    </w:p>
    <w:tbl>
      <w:tblPr>
        <w:tblLayout w:type="fixed"/>
        <w:tblInd w:w="0" w:type="dxa"/>
        <w:tblCellMar>
          <w:top w:w="0" w:type="dxa"/>
          <w:left w:w="0" w:type="dxa"/>
          <w:bottom w:w="0" w:type="dxa"/>
          <w:right w:w="0" w:type="dxa"/>
        </w:tblCellMar>
      </w:tblPr>
      <w:tr>
        <w:trPr>
          <w:trHeight w:val="193"/>
        </w:trPr>
        <w:tc>
          <w:tcPr>
            <w:tcW w:w="582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AS OF MARCH 31, 2000</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4620" w:type="dxa"/>
            <w:vAlign w:val="bottom"/>
          </w:tcPr>
          <w:p>
            <w:pPr>
              <w:spacing w:after="0"/>
              <w:rPr>
                <w:sz w:val="24"/>
                <w:szCs w:val="24"/>
                <w:color w:val="auto"/>
              </w:rPr>
            </w:pPr>
          </w:p>
        </w:tc>
        <w:tc>
          <w:tcPr>
            <w:tcW w:w="24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HISTORICAL AMOUNTS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620" w:type="dxa"/>
            <w:vAlign w:val="bottom"/>
          </w:tcPr>
          <w:p>
            <w:pPr>
              <w:spacing w:after="0"/>
              <w:rPr>
                <w:sz w:val="16"/>
                <w:szCs w:val="16"/>
                <w:color w:val="auto"/>
              </w:rPr>
            </w:pPr>
          </w:p>
        </w:tc>
        <w:tc>
          <w:tcPr>
            <w:tcW w:w="24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CHECKFREE</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PRO FORMA</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HOLDINGS</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TRANSPOINT</w:t>
            </w:r>
          </w:p>
        </w:tc>
        <w:tc>
          <w:tcPr>
            <w:tcW w:w="16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ADJUSTMENTS</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6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0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(IN THOUSANDS)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46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6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$ 125,043</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8,019</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100,000(1)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233,062</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Investments................................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26,292</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26,292</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receivable, net...................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53,343</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53,343</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Prepaid expenses and other assets..........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11,716</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750</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12,466</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9,444</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9,444</w:t>
            </w:r>
          </w:p>
        </w:tc>
      </w:tr>
      <w:tr>
        <w:trPr>
          <w:trHeight w:val="193"/>
        </w:trPr>
        <w:tc>
          <w:tcPr>
            <w:tcW w:w="46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assets...............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225,838</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8,769</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100,000</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334,607</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Property and equipment, net..................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84,461</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763</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85,224</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Capitalized software, net....................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23,006</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9,926</w:t>
            </w: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175,073(1)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208,005</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Goodwill, net................................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29,539</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824,978(1)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854,517</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intangible assets, net.................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12,224</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548,000(1)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560,224</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Investments..................................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52,869</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52,869</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34,436</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34,436</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noncurrent assets......................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13,760</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13,760</w:t>
            </w:r>
          </w:p>
        </w:tc>
      </w:tr>
      <w:tr>
        <w:trPr>
          <w:trHeight w:val="193"/>
        </w:trPr>
        <w:tc>
          <w:tcPr>
            <w:tcW w:w="46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assets.......................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$ 476,133</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$ 19,458</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$1,648,051</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$2,143,642</w:t>
            </w:r>
          </w:p>
        </w:tc>
      </w:tr>
      <w:tr>
        <w:trPr>
          <w:trHeight w:val="193"/>
        </w:trPr>
        <w:tc>
          <w:tcPr>
            <w:tcW w:w="46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payable...........................</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6,573</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$ 11,853</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18,426</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liabilities........................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41,032</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4,547</w:t>
            </w: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3,325(1)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49,579</w:t>
            </w:r>
          </w:p>
        </w:tc>
      </w:tr>
      <w:tr>
        <w:trPr>
          <w:trHeight w:val="193"/>
        </w:trPr>
        <w:tc>
          <w:tcPr>
            <w:tcW w:w="4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675(2)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79,120(1)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79,120</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portion of long-term obligations...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6,533</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6,533</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revenue...........................</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29,638</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4,500</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34,138</w:t>
            </w:r>
          </w:p>
        </w:tc>
      </w:tr>
      <w:tr>
        <w:trPr>
          <w:trHeight w:val="193"/>
        </w:trPr>
        <w:tc>
          <w:tcPr>
            <w:tcW w:w="46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liabilities..........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83,776</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20,900</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83,120</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187,796</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Accrued rent and other.......................</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6,653</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6,653</w:t>
            </w:r>
          </w:p>
        </w:tc>
      </w:tr>
      <w:tr>
        <w:trPr>
          <w:trHeight w:val="193"/>
        </w:trPr>
        <w:tc>
          <w:tcPr>
            <w:tcW w:w="4620" w:type="dxa"/>
            <w:vAlign w:val="bottom"/>
          </w:tcPr>
          <w:p>
            <w:pPr>
              <w:spacing w:after="0"/>
              <w:rPr>
                <w:sz w:val="20"/>
                <w:szCs w:val="20"/>
                <w:color w:val="auto"/>
              </w:rPr>
            </w:pPr>
            <w:r>
              <w:rPr>
                <w:rFonts w:ascii="Courier New" w:cs="Courier New" w:eastAsia="Courier New" w:hAnsi="Courier New"/>
                <w:sz w:val="17"/>
                <w:szCs w:val="17"/>
                <w:color w:val="auto"/>
              </w:rPr>
              <w:t>Obligations under capital leases -- less</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portion............................</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820</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820</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Convertible subordinated notes...............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172,500</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172,500</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Minority interest............................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40,329</w:t>
            </w:r>
          </w:p>
        </w:tc>
        <w:tc>
          <w:tcPr>
            <w:tcW w:w="26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(40,329)(1)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214,081(1)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214,081</w:t>
            </w:r>
          </w:p>
        </w:tc>
      </w:tr>
      <w:tr>
        <w:trPr>
          <w:trHeight w:val="193"/>
        </w:trPr>
        <w:tc>
          <w:tcPr>
            <w:tcW w:w="46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263,749</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61,229</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256,872</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581,850</w:t>
            </w:r>
          </w:p>
        </w:tc>
      </w:tr>
      <w:tr>
        <w:trPr>
          <w:trHeight w:val="193"/>
        </w:trPr>
        <w:tc>
          <w:tcPr>
            <w:tcW w:w="46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Common stock...............................</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531</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170(1)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701</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Additional paid-in capital.................</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517,912</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1,349,913(1)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1,867,150</w:t>
            </w:r>
          </w:p>
        </w:tc>
      </w:tr>
      <w:tr>
        <w:trPr>
          <w:trHeight w:val="193"/>
        </w:trPr>
        <w:tc>
          <w:tcPr>
            <w:tcW w:w="4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(675)(2)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Members' capital deficiency................</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(41,771)</w:t>
            </w:r>
          </w:p>
        </w:tc>
        <w:tc>
          <w:tcPr>
            <w:tcW w:w="2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41,771(1)</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(281)</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(281)</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Accumulated deficit........................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(305,778)</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(305,778)</w:t>
            </w:r>
          </w:p>
        </w:tc>
      </w:tr>
      <w:tr>
        <w:trPr>
          <w:trHeight w:val="193"/>
        </w:trPr>
        <w:tc>
          <w:tcPr>
            <w:tcW w:w="46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stockholder's equity.........</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212,384</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(41,771)</w:t>
            </w:r>
          </w:p>
        </w:tc>
        <w:tc>
          <w:tcPr>
            <w:tcW w:w="2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1,391,179</w:t>
            </w:r>
          </w:p>
        </w:tc>
        <w:tc>
          <w:tcPr>
            <w:tcW w:w="2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1,561,792</w:t>
            </w:r>
          </w:p>
        </w:tc>
      </w:tr>
      <w:tr>
        <w:trPr>
          <w:trHeight w:val="193"/>
        </w:trPr>
        <w:tc>
          <w:tcPr>
            <w:tcW w:w="46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 and stockholders'</w:t>
            </w: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equity...........................</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$ 476,133</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$ 19,458</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$1,648,051</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$2,143,642</w:t>
            </w:r>
          </w:p>
        </w:tc>
      </w:tr>
      <w:tr>
        <w:trPr>
          <w:trHeight w:val="193"/>
        </w:trPr>
        <w:tc>
          <w:tcPr>
            <w:tcW w:w="462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Unaudited Pro Forma Condensed Combining Financial Information</w:t>
      </w:r>
    </w:p>
    <w:p>
      <w:pPr>
        <w:sectPr>
          <w:pgSz w:w="11900" w:h="16838" w:orient="portrait"/>
          <w:cols w:equalWidth="0" w:num="1">
            <w:col w:w="10219"/>
          </w:cols>
          <w:pgMar w:left="240" w:top="303" w:right="1440" w:bottom="1440" w:gutter="0" w:footer="0" w:header="0"/>
        </w:sectPr>
      </w:pPr>
    </w:p>
    <w:p>
      <w:pPr>
        <w:spacing w:after="0" w:line="39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303"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UNAUDITED PRO FORMA CONDENSED COMBINING STATEMENT OF OPERATIONS</w:t>
      </w:r>
    </w:p>
    <w:p>
      <w:pPr>
        <w:jc w:val="center"/>
        <w:ind w:right="2299"/>
        <w:spacing w:after="0"/>
        <w:rPr>
          <w:sz w:val="20"/>
          <w:szCs w:val="20"/>
          <w:color w:val="auto"/>
        </w:rPr>
      </w:pPr>
      <w:r>
        <w:rPr>
          <w:rFonts w:ascii="Courier New" w:cs="Courier New" w:eastAsia="Courier New" w:hAnsi="Courier New"/>
          <w:sz w:val="17"/>
          <w:szCs w:val="17"/>
          <w:color w:val="auto"/>
        </w:rPr>
        <w:t>WITH TRANSPOINT</w:t>
      </w:r>
    </w:p>
    <w:tbl>
      <w:tblPr>
        <w:tblLayout w:type="fixed"/>
        <w:tblInd w:w="0" w:type="dxa"/>
        <w:tblCellMar>
          <w:top w:w="0" w:type="dxa"/>
          <w:left w:w="0" w:type="dxa"/>
          <w:bottom w:w="0" w:type="dxa"/>
          <w:right w:w="0" w:type="dxa"/>
        </w:tblCellMar>
      </w:tblPr>
      <w:tr>
        <w:trPr>
          <w:trHeight w:val="193"/>
        </w:trPr>
        <w:tc>
          <w:tcPr>
            <w:tcW w:w="592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FOR THE YEAR ENDED JUNE 30, 1999</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71"/>
        </w:trPr>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HISTORICAL AMOUNTS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720" w:type="dxa"/>
            <w:vAlign w:val="bottom"/>
          </w:tcPr>
          <w:p>
            <w:pPr>
              <w:spacing w:after="0"/>
              <w:rPr>
                <w:sz w:val="16"/>
                <w:szCs w:val="16"/>
                <w:color w:val="auto"/>
              </w:rPr>
            </w:pPr>
          </w:p>
        </w:tc>
        <w:tc>
          <w:tcPr>
            <w:tcW w:w="260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CHECKFREE</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PRO FORMA</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HOLDINGS</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TRANSPOINT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ADJUSTMENTS</w:t>
            </w:r>
          </w:p>
        </w:tc>
        <w:tc>
          <w:tcPr>
            <w:tcW w:w="14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7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00" w:type="dxa"/>
            <w:vAlign w:val="bottom"/>
            <w:gridSpan w:val="7"/>
          </w:tcPr>
          <w:p>
            <w:pPr>
              <w:jc w:val="right"/>
              <w:ind w:right="616"/>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Processing and servicing....................</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$201,059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$ 201,059</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License fees................................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15,975</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15,975</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Maintenance fees............................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17,746</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17,746</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15,351</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15,351</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revenues......................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250,131</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250,131</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Cost of processing, servicing and support...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146,704</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3,062</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149,766</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Research and development....................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21,085</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26,560</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47,645</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Sales and marketing.........................</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32,354</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11,302</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43,656</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31,466</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2,403</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33,869</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24,630</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1,870</w:t>
            </w:r>
          </w:p>
        </w:tc>
        <w:tc>
          <w:tcPr>
            <w:tcW w:w="4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362,796(3)</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389,296</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In-process research and development.........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2,201</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2,201</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expenses......................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258,440</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45,197</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362,796</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666,433</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gain on dispositions of assets..........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4,576</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4,576</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from operations..........................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(3,733)</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(45,197)</w:t>
            </w:r>
          </w:p>
        </w:tc>
        <w:tc>
          <w:tcPr>
            <w:tcW w:w="40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(362,796)</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(411,726)</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2,063</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(2,063)(4)</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net...............................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2,181</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464</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2,645</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before income taxes......................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(1,552)</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(42,670)</w:t>
            </w:r>
          </w:p>
        </w:tc>
        <w:tc>
          <w:tcPr>
            <w:tcW w:w="40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(364,859)</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(409,081)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tax benefit............................</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(12,009)</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(79,120)(3)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(91,129)</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income (loss).............................</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$ 10,457</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$(42,670)</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$(285,739)</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$(317,952)</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Basic earnings (loss) per share: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0.20</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(4.58)</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52,444</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17,000(1)</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69,444</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Diluted earnings (loss) per share: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0.18</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(4.58)</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56,529</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12,915(5)</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69,444</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Unaudited Pro Forma Condensed Combining Financial Information</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F-9</w:t>
      </w:r>
    </w:p>
    <w:p>
      <w:pPr>
        <w:sectPr>
          <w:pgSz w:w="11900" w:h="16838" w:orient="portrait"/>
          <w:cols w:equalWidth="0" w:num="1">
            <w:col w:w="10219"/>
          </w:cols>
          <w:pgMar w:left="240" w:top="303"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UNAUDITED PRO FORMA CONDENSED COMBINING STATEMENT OF OPERATIONS</w:t>
      </w:r>
    </w:p>
    <w:p>
      <w:pPr>
        <w:jc w:val="center"/>
        <w:ind w:right="2299"/>
        <w:spacing w:after="0"/>
        <w:rPr>
          <w:sz w:val="20"/>
          <w:szCs w:val="20"/>
          <w:color w:val="auto"/>
        </w:rPr>
      </w:pPr>
      <w:r>
        <w:rPr>
          <w:rFonts w:ascii="Courier New" w:cs="Courier New" w:eastAsia="Courier New" w:hAnsi="Courier New"/>
          <w:sz w:val="17"/>
          <w:szCs w:val="17"/>
          <w:color w:val="auto"/>
        </w:rPr>
        <w:t>WITH TRANSPOINT</w:t>
      </w:r>
    </w:p>
    <w:tbl>
      <w:tblPr>
        <w:tblLayout w:type="fixed"/>
        <w:tblInd w:w="0" w:type="dxa"/>
        <w:tblCellMar>
          <w:top w:w="0" w:type="dxa"/>
          <w:left w:w="0" w:type="dxa"/>
          <w:bottom w:w="0" w:type="dxa"/>
          <w:right w:w="0" w:type="dxa"/>
        </w:tblCellMar>
      </w:tblPr>
      <w:tr>
        <w:trPr>
          <w:trHeight w:val="193"/>
        </w:trPr>
        <w:tc>
          <w:tcPr>
            <w:tcW w:w="60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FOR THE NINE MONTHS ENDED MARCH 31, 2000</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71"/>
        </w:trPr>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HISTORICAL AMOUNTS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720" w:type="dxa"/>
            <w:vAlign w:val="bottom"/>
          </w:tcPr>
          <w:p>
            <w:pPr>
              <w:spacing w:after="0"/>
              <w:rPr>
                <w:sz w:val="16"/>
                <w:szCs w:val="16"/>
                <w:color w:val="auto"/>
              </w:rPr>
            </w:pPr>
          </w:p>
        </w:tc>
        <w:tc>
          <w:tcPr>
            <w:tcW w:w="260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CHECKFREE</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PRO FORMA</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HOLDINGS</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TRANSPOINT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ADJUSTMENTS</w:t>
            </w:r>
          </w:p>
        </w:tc>
        <w:tc>
          <w:tcPr>
            <w:tcW w:w="14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7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00" w:type="dxa"/>
            <w:vAlign w:val="bottom"/>
            <w:gridSpan w:val="7"/>
          </w:tcPr>
          <w:p>
            <w:pPr>
              <w:jc w:val="right"/>
              <w:ind w:right="616"/>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Processing and servicing....................</w:t>
            </w: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$189,430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$ 189,430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License fees................................</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10,295</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10,295</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Maintenance fees............................</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13,571</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13,571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8,399</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8,406</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revenues......................</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5"/>
              </w:rPr>
              <w:t>221,695</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221,702</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Cost of processing, servicing and support...</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5"/>
              </w:rPr>
              <w:t>133,684</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13,856</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147,540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Research and development....................</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24,276</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5,997</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30,273</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Sales and marketing.........................</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29,522</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13,980</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43,502</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28,837</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1,858</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30,695</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23,789</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2,755</w:t>
            </w:r>
          </w:p>
        </w:tc>
        <w:tc>
          <w:tcPr>
            <w:tcW w:w="4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250,347(3)</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276,891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In-process research and development.........</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expenses......................</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5"/>
              </w:rPr>
              <w:t>240,108</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38,446</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250,347</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528,901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gain on dispositions of assets..........</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from operations..........................</w:t>
            </w:r>
          </w:p>
        </w:tc>
        <w:tc>
          <w:tcPr>
            <w:tcW w:w="20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(18,413)</w:t>
            </w:r>
          </w:p>
        </w:tc>
        <w:tc>
          <w:tcPr>
            <w:tcW w:w="2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(38,439)</w:t>
            </w:r>
          </w:p>
        </w:tc>
        <w:tc>
          <w:tcPr>
            <w:tcW w:w="40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(250,347)</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(307,199)</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Minority interest...........................</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5,608</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(5,608)(4)</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net...............................</w:t>
            </w:r>
          </w:p>
        </w:tc>
        <w:tc>
          <w:tcPr>
            <w:tcW w:w="20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(83)</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1,054</w:t>
            </w:r>
          </w:p>
        </w:tc>
        <w:tc>
          <w:tcPr>
            <w:tcW w:w="4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971</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before income taxes......................</w:t>
            </w:r>
          </w:p>
        </w:tc>
        <w:tc>
          <w:tcPr>
            <w:tcW w:w="20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(18,496)</w:t>
            </w:r>
          </w:p>
        </w:tc>
        <w:tc>
          <w:tcPr>
            <w:tcW w:w="2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(31,777)</w:t>
            </w:r>
          </w:p>
        </w:tc>
        <w:tc>
          <w:tcPr>
            <w:tcW w:w="40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(255,955)</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(306,228)</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tax benefit............................</w:t>
            </w:r>
          </w:p>
        </w:tc>
        <w:tc>
          <w:tcPr>
            <w:tcW w:w="20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(6,718)</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(50,640)(3)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(57,358)</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income (loss).............................</w:t>
            </w:r>
          </w:p>
        </w:tc>
        <w:tc>
          <w:tcPr>
            <w:tcW w:w="13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$(11,778)</w:t>
            </w:r>
          </w:p>
        </w:tc>
        <w:tc>
          <w:tcPr>
            <w:tcW w:w="1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$(31,777)</w:t>
            </w:r>
          </w:p>
        </w:tc>
        <w:tc>
          <w:tcPr>
            <w:tcW w:w="16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$(205,315)</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$(248,870)</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Basic earnings (loss) per share:</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(0.23)</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(3.59)</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52,246</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17,000(1)</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69,246</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Diluted earnings (loss) per share:</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(0.23)</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(3.59)</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52,246</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17,000(1)</w:t>
            </w:r>
          </w:p>
        </w:tc>
        <w:tc>
          <w:tcPr>
            <w:tcW w:w="1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69,246</w:t>
            </w:r>
          </w:p>
        </w:tc>
      </w:tr>
      <w:tr>
        <w:trPr>
          <w:trHeight w:val="193"/>
        </w:trPr>
        <w:tc>
          <w:tcPr>
            <w:tcW w:w="4720" w:type="dxa"/>
            <w:vAlign w:val="bottom"/>
          </w:tcPr>
          <w:p>
            <w:pPr>
              <w:spacing w:after="0"/>
              <w:rPr>
                <w:sz w:val="16"/>
                <w:szCs w:val="16"/>
                <w:color w:val="auto"/>
              </w:rPr>
            </w:pPr>
          </w:p>
        </w:tc>
        <w:tc>
          <w:tcPr>
            <w:tcW w:w="13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Unaudited Pro Forma Condensed Combining Financial Information</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F-10</w:t>
      </w:r>
    </w:p>
    <w:p>
      <w:pPr>
        <w:sectPr>
          <w:pgSz w:w="11900" w:h="16838" w:orient="portrait"/>
          <w:cols w:equalWidth="0" w:num="1">
            <w:col w:w="10219"/>
          </w:cols>
          <w:pgMar w:left="240" w:top="303"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NOTES TO UNAUDITED PRO FORMA CONDENSED COMBINING FINANCIAL INFORMATION</w:t>
      </w:r>
    </w:p>
    <w:p>
      <w:pPr>
        <w:jc w:val="center"/>
        <w:ind w:right="2299"/>
        <w:spacing w:after="0"/>
        <w:rPr>
          <w:sz w:val="20"/>
          <w:szCs w:val="20"/>
          <w:color w:val="auto"/>
        </w:rPr>
      </w:pPr>
      <w:r>
        <w:rPr>
          <w:rFonts w:ascii="Courier New" w:cs="Courier New" w:eastAsia="Courier New" w:hAnsi="Courier New"/>
          <w:sz w:val="17"/>
          <w:szCs w:val="17"/>
          <w:color w:val="auto"/>
        </w:rPr>
        <w:t>WITH TRANSPOINT</w:t>
      </w:r>
    </w:p>
    <w:p>
      <w:pPr>
        <w:spacing w:after="0" w:line="198" w:lineRule="exact"/>
        <w:rPr>
          <w:sz w:val="20"/>
          <w:szCs w:val="20"/>
          <w:color w:val="auto"/>
        </w:rPr>
      </w:pPr>
    </w:p>
    <w:p>
      <w:pPr>
        <w:ind w:right="2199" w:firstLine="504"/>
        <w:spacing w:after="0" w:line="239" w:lineRule="auto"/>
        <w:tabs>
          <w:tab w:leader="none" w:pos="80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reflect the issuance of CheckFree Holdings common stock and related acquisition expenses as the total purchase price for the net assets of TransPoint, and the revaluation of TransPoint's capitalized software costs and the elimination of TransPoint's minority interest and member's capital deficiency, net of a contractual infusion of $100 million of cash by TransPoint.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250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Cash........................................................</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100,000</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Capitalized software, net...................................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175,073</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Goodwill, net...............................................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824,978</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intangible assets, net................................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548,000</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TransPoint minority interest................................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40,329</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CheckFree Holdings common stock...........................</w:t>
            </w:r>
          </w:p>
        </w:tc>
        <w:tc>
          <w:tcPr>
            <w:tcW w:w="1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170</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CheckFree Holdings additional paid-in capital.............</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1,349,913</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TransPoint member's capital deficiency....................</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41,771</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deferred income tax liability.....................</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79,120</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Long term deferred income tax liability...................</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214,081</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acquisition expenses..............................</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3,325</w:t>
            </w:r>
          </w:p>
        </w:tc>
      </w:tr>
      <w:tr>
        <w:trPr>
          <w:trHeight w:val="193"/>
        </w:trPr>
        <w:tc>
          <w:tcPr>
            <w:tcW w:w="61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Totals............................................</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$1,688,380</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$1,688,380</w:t>
            </w:r>
          </w:p>
        </w:tc>
      </w:tr>
      <w:tr>
        <w:trPr>
          <w:trHeight w:val="193"/>
        </w:trPr>
        <w:tc>
          <w:tcPr>
            <w:tcW w:w="61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4" w:lineRule="exact"/>
        <w:rPr>
          <w:sz w:val="20"/>
          <w:szCs w:val="20"/>
          <w:color w:val="auto"/>
        </w:rPr>
      </w:pPr>
    </w:p>
    <w:p>
      <w:pPr>
        <w:ind w:right="2699" w:firstLine="501"/>
        <w:spacing w:after="0" w:line="236" w:lineRule="auto"/>
        <w:rPr>
          <w:sz w:val="20"/>
          <w:szCs w:val="20"/>
          <w:color w:val="auto"/>
        </w:rPr>
      </w:pPr>
      <w:r>
        <w:rPr>
          <w:rFonts w:ascii="Courier New" w:cs="Courier New" w:eastAsia="Courier New" w:hAnsi="Courier New"/>
          <w:sz w:val="17"/>
          <w:szCs w:val="17"/>
          <w:color w:val="auto"/>
        </w:rPr>
        <w:t>The following chart indicates the components of the estimated purchase price inherent in the adjusting entry:</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CheckFree Holdings common stock.........................</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$1,350,083</w:t>
            </w: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TransPoint cash infusion................................</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(100,000)</w:t>
            </w: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Estimated direct acquisition costs......................</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3,325</w:t>
            </w:r>
          </w:p>
        </w:tc>
      </w:tr>
      <w:tr>
        <w:trPr>
          <w:trHeight w:val="193"/>
        </w:trPr>
        <w:tc>
          <w:tcPr>
            <w:tcW w:w="5720" w:type="dxa"/>
            <w:vAlign w:val="bottom"/>
          </w:tcPr>
          <w:p>
            <w:pPr>
              <w:spacing w:after="0"/>
              <w:rPr>
                <w:sz w:val="16"/>
                <w:szCs w:val="16"/>
                <w:color w:val="auto"/>
              </w:rPr>
            </w:pP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estimated purchase price................</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$1,253,408</w:t>
            </w:r>
          </w:p>
        </w:tc>
      </w:tr>
      <w:tr>
        <w:trPr>
          <w:trHeight w:val="193"/>
        </w:trPr>
        <w:tc>
          <w:tcPr>
            <w:tcW w:w="5720" w:type="dxa"/>
            <w:vAlign w:val="bottom"/>
          </w:tcPr>
          <w:p>
            <w:pPr>
              <w:spacing w:after="0"/>
              <w:rPr>
                <w:sz w:val="16"/>
                <w:szCs w:val="16"/>
                <w:color w:val="auto"/>
              </w:rPr>
            </w:pP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The estimated purchase price will be issued in exchange for the net assets of TransPoint on the closing date.</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purchase price reflects the assumed issuance of 17,000,000 shares of CheckFree Holdings common stock at $79.42 per share, which is the average end of day price of CheckFree Holdings common stock for the three trading days preceding and the three days following the announcement of the acquisition of TransPoint. Under the terms of the merger and contribution agreement, TransPoint will have $100 million in cash at the effective time of the closing of the mergers.</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F-11</w:t>
      </w:r>
    </w:p>
    <w:p>
      <w:pPr>
        <w:sectPr>
          <w:pgSz w:w="11900" w:h="16838" w:orient="portrait"/>
          <w:cols w:equalWidth="0" w:num="1">
            <w:col w:w="10219"/>
          </w:cols>
          <w:pgMar w:left="240" w:top="303"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198"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The following table provides the allocation of the purchase price inherent in the adjusting entry: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4420" w:type="dxa"/>
            <w:vAlign w:val="bottom"/>
          </w:tcPr>
          <w:p>
            <w:pPr>
              <w:spacing w:after="0"/>
              <w:rPr>
                <w:sz w:val="20"/>
                <w:szCs w:val="20"/>
                <w:color w:val="auto"/>
              </w:rPr>
            </w:pPr>
            <w:r>
              <w:rPr>
                <w:rFonts w:ascii="Courier New" w:cs="Courier New" w:eastAsia="Courier New" w:hAnsi="Courier New"/>
                <w:sz w:val="17"/>
                <w:szCs w:val="17"/>
                <w:color w:val="auto"/>
                <w:w w:val="98"/>
              </w:rPr>
              <w:t>In-process research and development (Note B)</w:t>
            </w:r>
          </w:p>
        </w:tc>
        <w:tc>
          <w:tcPr>
            <w:tcW w:w="3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Current technology and products:</w:t>
            </w:r>
          </w:p>
        </w:tc>
        <w:tc>
          <w:tcPr>
            <w:tcW w:w="3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BIS/communications</w:t>
            </w:r>
          </w:p>
        </w:tc>
        <w:tc>
          <w:tcPr>
            <w:tcW w:w="3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(estimated life of 3 years).......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26,000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Service center</w:t>
            </w:r>
          </w:p>
        </w:tc>
        <w:tc>
          <w:tcPr>
            <w:tcW w:w="3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(estimated life of 3 years).......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85,000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Delivery applications</w:t>
            </w:r>
          </w:p>
        </w:tc>
        <w:tc>
          <w:tcPr>
            <w:tcW w:w="3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(estimated life of 3 years).......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50,000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Payments/interface</w:t>
            </w:r>
          </w:p>
        </w:tc>
        <w:tc>
          <w:tcPr>
            <w:tcW w:w="3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(estimated life of 3 years).......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24,000</w:t>
            </w:r>
          </w:p>
        </w:tc>
      </w:tr>
      <w:tr>
        <w:trPr>
          <w:trHeight w:val="193"/>
        </w:trPr>
        <w:tc>
          <w:tcPr>
            <w:tcW w:w="44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Sub-total IPRD and current technology and products........................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185,000</w:t>
            </w: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8"/>
              </w:rPr>
              <w:t>Goodwill (estimated life of 5 years)...........................................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824,978</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Other intangible assets:</w:t>
            </w:r>
          </w:p>
        </w:tc>
        <w:tc>
          <w:tcPr>
            <w:tcW w:w="3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Customer list</w:t>
            </w:r>
          </w:p>
        </w:tc>
        <w:tc>
          <w:tcPr>
            <w:tcW w:w="3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(estimated life of 3 years).......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Tradename</w:t>
            </w:r>
          </w:p>
        </w:tc>
        <w:tc>
          <w:tcPr>
            <w:tcW w:w="3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(estimated life of 1 year ).......</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29,000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Strategic agreements</w:t>
            </w:r>
          </w:p>
        </w:tc>
        <w:tc>
          <w:tcPr>
            <w:tcW w:w="3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(estimated life of 5 years).......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494,000</w:t>
            </w:r>
          </w:p>
        </w:tc>
      </w:tr>
      <w:tr>
        <w:trPr>
          <w:trHeight w:val="193"/>
        </w:trPr>
        <w:tc>
          <w:tcPr>
            <w:tcW w:w="44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Sub-total other intangible assets....................................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548,000</w:t>
            </w: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(293,200)</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Net assets of TransPoint:</w:t>
            </w:r>
          </w:p>
        </w:tc>
        <w:tc>
          <w:tcPr>
            <w:tcW w:w="3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8,019</w:t>
            </w: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Property and equipment.......................................................</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763</w:t>
            </w: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Liabilities assumed..........................................................</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(20,901)</w:t>
            </w: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Other, net...................................................................</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749</w:t>
            </w:r>
          </w:p>
        </w:tc>
      </w:tr>
      <w:tr>
        <w:trPr>
          <w:trHeight w:val="193"/>
        </w:trPr>
        <w:tc>
          <w:tcPr>
            <w:tcW w:w="44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Sub-total net assets.................................................</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(11,370)</w:t>
            </w:r>
          </w:p>
        </w:tc>
      </w:tr>
      <w:tr>
        <w:trPr>
          <w:trHeight w:val="193"/>
        </w:trPr>
        <w:tc>
          <w:tcPr>
            <w:tcW w:w="44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80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Total Purchase Price.................................................</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$1,253,408</w:t>
            </w:r>
          </w:p>
        </w:tc>
      </w:tr>
      <w:tr>
        <w:trPr>
          <w:trHeight w:val="193"/>
        </w:trPr>
        <w:tc>
          <w:tcPr>
            <w:tcW w:w="44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4"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planed future development work designed to replace the existing technology or product. The useful life assigned to goodwill is based upon currently acceptable lives for these assets. The useful life CheckFree Holdings assigned to the customer list is based on the estimate of the future revenue base from the existing customers. The useful life CheckFree Holdings assigned to tradename is based on the estimated time that will pass before CheckFree Holdings discontinues the use of the related name. CheckFree Holdings assigned a five-year life to the strategic agreements to coincide with the contractual life of the related agreements. CheckFree Holdings will amortize these intangible assets on a straight-line basis over their estimated useful lives.</w:t>
      </w:r>
    </w:p>
    <w:p>
      <w:pPr>
        <w:spacing w:after="0" w:line="195" w:lineRule="exact"/>
        <w:rPr>
          <w:sz w:val="20"/>
          <w:szCs w:val="20"/>
          <w:color w:val="auto"/>
        </w:rPr>
      </w:pPr>
    </w:p>
    <w:p>
      <w:pPr>
        <w:ind w:right="2399" w:firstLine="504"/>
        <w:spacing w:after="0" w:line="236" w:lineRule="auto"/>
        <w:tabs>
          <w:tab w:leader="none" w:pos="80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accrue the cost of registering CheckFree Holdings shares of its common stock to be issued for TransPoint.</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spacing w:after="0"/>
              <w:rPr>
                <w:sz w:val="16"/>
                <w:szCs w:val="16"/>
                <w:color w:val="auto"/>
              </w:rPr>
            </w:pPr>
          </w:p>
        </w:tc>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2600" w:type="dxa"/>
            <w:vAlign w:val="bottom"/>
          </w:tcPr>
          <w:p>
            <w:pPr>
              <w:jc w:val="right"/>
              <w:spacing w:after="0"/>
              <w:rPr>
                <w:sz w:val="20"/>
                <w:szCs w:val="20"/>
                <w:color w:val="auto"/>
              </w:rPr>
            </w:pPr>
            <w:r>
              <w:rPr>
                <w:rFonts w:ascii="Courier New" w:cs="Courier New" w:eastAsia="Courier New" w:hAnsi="Courier New"/>
                <w:sz w:val="17"/>
                <w:szCs w:val="17"/>
                <w:color w:val="auto"/>
                <w:w w:val="97"/>
              </w:rPr>
              <w:t>Additional paid-in capital</w:t>
            </w:r>
          </w:p>
        </w:tc>
        <w:tc>
          <w:tcPr>
            <w:tcW w:w="4420" w:type="dxa"/>
            <w:vAlign w:val="bottom"/>
          </w:tcPr>
          <w:p>
            <w:pPr>
              <w:jc w:val="right"/>
              <w:ind w:right="916"/>
              <w:spacing w:after="0"/>
              <w:rPr>
                <w:sz w:val="20"/>
                <w:szCs w:val="20"/>
                <w:color w:val="auto"/>
              </w:rPr>
            </w:pPr>
            <w:r>
              <w:rPr>
                <w:rFonts w:ascii="Courier New" w:cs="Courier New" w:eastAsia="Courier New" w:hAnsi="Courier New"/>
                <w:sz w:val="17"/>
                <w:szCs w:val="17"/>
                <w:color w:val="auto"/>
                <w:w w:val="98"/>
              </w:rPr>
              <w:t>............................  $675</w:t>
            </w:r>
          </w:p>
        </w:tc>
      </w:tr>
      <w:tr>
        <w:trPr>
          <w:trHeight w:val="193"/>
        </w:trPr>
        <w:tc>
          <w:tcPr>
            <w:tcW w:w="2600" w:type="dxa"/>
            <w:vAlign w:val="bottom"/>
          </w:tcPr>
          <w:p>
            <w:pPr>
              <w:jc w:val="right"/>
              <w:spacing w:after="0"/>
              <w:rPr>
                <w:sz w:val="20"/>
                <w:szCs w:val="20"/>
                <w:color w:val="auto"/>
              </w:rPr>
            </w:pPr>
            <w:r>
              <w:rPr>
                <w:rFonts w:ascii="Courier New" w:cs="Courier New" w:eastAsia="Courier New" w:hAnsi="Courier New"/>
                <w:sz w:val="11"/>
                <w:szCs w:val="11"/>
                <w:color w:val="auto"/>
                <w:w w:val="75"/>
              </w:rPr>
              <w:t>Accrued liabilities.................................</w:t>
            </w:r>
          </w:p>
        </w:tc>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$675</w:t>
            </w:r>
          </w:p>
        </w:tc>
      </w:tr>
      <w:tr>
        <w:trPr>
          <w:trHeight w:val="771"/>
        </w:trPr>
        <w:tc>
          <w:tcPr>
            <w:tcW w:w="2600" w:type="dxa"/>
            <w:vAlign w:val="bottom"/>
          </w:tcPr>
          <w:p>
            <w:pPr>
              <w:spacing w:after="0"/>
              <w:rPr>
                <w:sz w:val="24"/>
                <w:szCs w:val="24"/>
                <w:color w:val="auto"/>
              </w:rPr>
            </w:pPr>
          </w:p>
        </w:tc>
        <w:tc>
          <w:tcPr>
            <w:tcW w:w="4420" w:type="dxa"/>
            <w:vAlign w:val="bottom"/>
          </w:tcPr>
          <w:p>
            <w:pPr>
              <w:jc w:val="right"/>
              <w:ind w:right="2716"/>
              <w:spacing w:after="0"/>
              <w:rPr>
                <w:sz w:val="20"/>
                <w:szCs w:val="20"/>
                <w:color w:val="auto"/>
              </w:rPr>
            </w:pPr>
            <w:r>
              <w:rPr>
                <w:rFonts w:ascii="Courier New" w:cs="Courier New" w:eastAsia="Courier New" w:hAnsi="Courier New"/>
                <w:sz w:val="17"/>
                <w:szCs w:val="17"/>
                <w:color w:val="auto"/>
              </w:rPr>
              <w:t>F-12</w:t>
            </w:r>
          </w:p>
        </w:tc>
      </w:tr>
    </w:tbl>
    <w:p>
      <w:pPr>
        <w:sectPr>
          <w:pgSz w:w="11900" w:h="16838" w:orient="portrait"/>
          <w:cols w:equalWidth="0" w:num="1">
            <w:col w:w="10219"/>
          </w:cols>
          <w:pgMar w:left="240"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17</w:t>
      </w:r>
    </w:p>
    <w:p>
      <w:pPr>
        <w:spacing w:after="0" w:line="198" w:lineRule="exact"/>
        <w:rPr>
          <w:sz w:val="20"/>
          <w:szCs w:val="20"/>
          <w:color w:val="auto"/>
        </w:rPr>
      </w:pPr>
    </w:p>
    <w:p>
      <w:pPr>
        <w:ind w:right="2499" w:firstLine="504"/>
        <w:spacing w:after="0" w:line="237" w:lineRule="auto"/>
        <w:tabs>
          <w:tab w:leader="none" w:pos="80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reflect additional amortization expense and the related income tax benefit associated with the intangible assets acquired from TransPoint.</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2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6120" w:type="dxa"/>
            <w:vAlign w:val="bottom"/>
          </w:tcPr>
          <w:p>
            <w:pPr>
              <w:spacing w:after="0"/>
              <w:rPr>
                <w:sz w:val="20"/>
                <w:szCs w:val="20"/>
                <w:color w:val="auto"/>
              </w:rPr>
            </w:pPr>
            <w:r>
              <w:rPr>
                <w:rFonts w:ascii="Courier New" w:cs="Courier New" w:eastAsia="Courier New" w:hAnsi="Courier New"/>
                <w:sz w:val="17"/>
                <w:szCs w:val="17"/>
                <w:color w:val="auto"/>
              </w:rPr>
              <w:t>YEAR ENDED JUNE 30, 1999</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Depreciation and amortization...............................</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$362,796</w:t>
            </w:r>
          </w:p>
        </w:tc>
        <w:tc>
          <w:tcPr>
            <w:tcW w:w="10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Current deferred income tax liability.......................</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79,120</w:t>
            </w:r>
          </w:p>
        </w:tc>
        <w:tc>
          <w:tcPr>
            <w:tcW w:w="10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Capitalized software, net.................................</w:t>
            </w:r>
          </w:p>
        </w:tc>
        <w:tc>
          <w:tcPr>
            <w:tcW w:w="1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$ 61,667</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Goodwill, net.............................................</w:t>
            </w:r>
          </w:p>
        </w:tc>
        <w:tc>
          <w:tcPr>
            <w:tcW w:w="1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164,996</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intangible assets, net..............................</w:t>
            </w:r>
          </w:p>
        </w:tc>
        <w:tc>
          <w:tcPr>
            <w:tcW w:w="1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136,133</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benefit........................................</w:t>
            </w:r>
          </w:p>
        </w:tc>
        <w:tc>
          <w:tcPr>
            <w:tcW w:w="1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79,120</w:t>
            </w:r>
          </w:p>
        </w:tc>
      </w:tr>
      <w:tr>
        <w:trPr>
          <w:trHeight w:val="193"/>
        </w:trPr>
        <w:tc>
          <w:tcPr>
            <w:tcW w:w="61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$441,916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$441,916</w:t>
            </w:r>
          </w:p>
        </w:tc>
      </w:tr>
      <w:tr>
        <w:trPr>
          <w:trHeight w:val="193"/>
        </w:trPr>
        <w:tc>
          <w:tcPr>
            <w:tcW w:w="61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NINE MONTHS ENDED MARCH 31, 2000</w:t>
            </w: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Depreciation and amortization...............................</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$250,347</w:t>
            </w:r>
          </w:p>
        </w:tc>
        <w:tc>
          <w:tcPr>
            <w:tcW w:w="10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Current deferred income tax liability.......................</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50,640</w:t>
            </w:r>
          </w:p>
        </w:tc>
        <w:tc>
          <w:tcPr>
            <w:tcW w:w="10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Capitalized software, net.................................</w:t>
            </w:r>
          </w:p>
        </w:tc>
        <w:tc>
          <w:tcPr>
            <w:tcW w:w="1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$ 46,250</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Goodwill, net.............................................</w:t>
            </w:r>
          </w:p>
        </w:tc>
        <w:tc>
          <w:tcPr>
            <w:tcW w:w="1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123,747</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intangible assets, net..............................</w:t>
            </w:r>
          </w:p>
        </w:tc>
        <w:tc>
          <w:tcPr>
            <w:tcW w:w="1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80,350</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benefit........................................</w:t>
            </w:r>
          </w:p>
        </w:tc>
        <w:tc>
          <w:tcPr>
            <w:tcW w:w="1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50,640</w:t>
            </w:r>
          </w:p>
        </w:tc>
      </w:tr>
      <w:tr>
        <w:trPr>
          <w:trHeight w:val="193"/>
        </w:trPr>
        <w:tc>
          <w:tcPr>
            <w:tcW w:w="61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$300,987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$300,987</w:t>
            </w:r>
          </w:p>
        </w:tc>
      </w:tr>
      <w:tr>
        <w:trPr>
          <w:trHeight w:val="193"/>
        </w:trPr>
        <w:tc>
          <w:tcPr>
            <w:tcW w:w="61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200" w:lineRule="exact"/>
        <w:rPr>
          <w:sz w:val="20"/>
          <w:szCs w:val="20"/>
          <w:color w:val="auto"/>
        </w:rPr>
      </w:pPr>
    </w:p>
    <w:p>
      <w:pPr>
        <w:ind w:right="2199" w:firstLine="504"/>
        <w:spacing w:after="0" w:line="237" w:lineRule="auto"/>
        <w:tabs>
          <w:tab w:leader="none" w:pos="80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reflect the elimination of minority interest recorded in the period due to the acquisition of all of the ownership interest in TransPoint by CheckFree Corporation.</w:t>
      </w:r>
    </w:p>
    <w:p>
      <w:pPr>
        <w:spacing w:after="0" w:line="200" w:lineRule="exact"/>
        <w:rPr>
          <w:rFonts w:ascii="Courier New" w:cs="Courier New" w:eastAsia="Courier New" w:hAnsi="Courier New"/>
          <w:sz w:val="17"/>
          <w:szCs w:val="17"/>
          <w:color w:val="auto"/>
        </w:rPr>
      </w:pPr>
    </w:p>
    <w:p>
      <w:pPr>
        <w:ind w:right="2299" w:firstLine="504"/>
        <w:spacing w:after="0" w:line="239" w:lineRule="auto"/>
        <w:tabs>
          <w:tab w:leader="none" w:pos="80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combined with TransPoint's historical loss and the pro forma adjustments, the historical CheckFree Holdings'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TransPoint.</w:t>
      </w:r>
    </w:p>
    <w:p>
      <w:pPr>
        <w:spacing w:after="0" w:line="200" w:lineRule="exact"/>
        <w:rPr>
          <w:sz w:val="20"/>
          <w:szCs w:val="20"/>
          <w:color w:val="auto"/>
        </w:rPr>
      </w:pPr>
    </w:p>
    <w:p>
      <w:pPr>
        <w:spacing w:after="0" w:line="381" w:lineRule="exact"/>
        <w:rPr>
          <w:sz w:val="20"/>
          <w:szCs w:val="20"/>
          <w:color w:val="auto"/>
        </w:rPr>
      </w:pPr>
    </w:p>
    <w:p>
      <w:pPr>
        <w:ind w:left="5820"/>
        <w:spacing w:after="0"/>
        <w:rPr>
          <w:sz w:val="20"/>
          <w:szCs w:val="20"/>
          <w:color w:val="auto"/>
        </w:rPr>
      </w:pPr>
      <w:r>
        <w:rPr>
          <w:rFonts w:ascii="Courier New" w:cs="Courier New" w:eastAsia="Courier New" w:hAnsi="Courier New"/>
          <w:sz w:val="17"/>
          <w:szCs w:val="17"/>
          <w:color w:val="auto"/>
        </w:rPr>
        <w:t>(IN THOUSANDS)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CheckFree Corporation common shares issued for</w:t>
      </w:r>
    </w:p>
    <w:p>
      <w:pPr>
        <w:sectPr>
          <w:pgSz w:w="11900" w:h="16838" w:orient="portrait"/>
          <w:cols w:equalWidth="0" w:num="1">
            <w:col w:w="10219"/>
          </w:cols>
          <w:pgMar w:left="240" w:top="303" w:right="1440" w:bottom="1440" w:gutter="0" w:footer="0" w:header="0"/>
        </w:sectPr>
      </w:pP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TransPoint..........................................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17,000</w:t>
      </w:r>
    </w:p>
    <w:p>
      <w:pPr>
        <w:spacing w:after="0" w:line="11" w:lineRule="exact"/>
        <w:rPr>
          <w:sz w:val="20"/>
          <w:szCs w:val="20"/>
          <w:color w:val="auto"/>
        </w:rPr>
      </w:pPr>
    </w:p>
    <w:p>
      <w:pPr>
        <w:sectPr>
          <w:pgSz w:w="11900" w:h="16838" w:orient="portrait"/>
          <w:cols w:equalWidth="0" w:num="2">
            <w:col w:w="5500" w:space="720"/>
            <w:col w:w="399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Potentially dilutive securities:</w:t>
      </w:r>
    </w:p>
    <w:p>
      <w:pPr>
        <w:sectPr>
          <w:pgSz w:w="11900" w:h="16838" w:orient="portrait"/>
          <w:cols w:equalWidth="0" w:num="1">
            <w:col w:w="10219"/>
          </w:cols>
          <w:pgMar w:left="240" w:top="303" w:right="1440"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Options and warrants................................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adjustment to dilutive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(4,085)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12,915</w:t>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5500" w:space="720"/>
            <w:col w:w="3999"/>
          </w:cols>
          <w:pgMar w:left="240" w:top="303" w:right="1440" w:bottom="1440" w:gutter="0" w:footer="0" w:header="0"/>
          <w:type w:val="continuous"/>
        </w:sectPr>
      </w:pP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303"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18</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NOTES TO UNAUDITED PRO FORMA CONDENSED COMBINING FINANCIAL INFORMATION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TransPoint; that the pro forma adjustments give appropriate effect to those assumptions; and that the pro forma adjustments are properly applied in the Unaudited Pro Forma Condensed Combining Balance Sheet and Statement of Operations.</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Note B: The Unaudited Pro Forma Condensed Combining Balance Sheet of CheckFree Holdings and TransPoint has been prepared as if the mergers were completed as of March 31, 2000, and was accounted for as a purchase. CheckFree Holdings will issue 17,000,000 shares of CheckFree Holdings common stock valued at $79.42 for the net assets of TransPoint. Under the terms of the merger agreement, TransPoint will have $100 million of cash immediately prior to the closing of the mergers. CheckFree Holdings expects to incur approximately $3.3 million of direct acquisition costs. The total purchase price of $1,253,408,000 was allocated to assets acquired and liabilities assumed based on TransPoint's March 31, 2000 balance sheet.</w:t>
      </w:r>
    </w:p>
    <w:p>
      <w:pPr>
        <w:spacing w:after="0" w:line="202" w:lineRule="exact"/>
        <w:rPr>
          <w:sz w:val="20"/>
          <w:szCs w:val="20"/>
          <w:color w:val="auto"/>
        </w:rPr>
      </w:pPr>
    </w:p>
    <w:p>
      <w:pPr>
        <w:ind w:right="2399" w:firstLine="501"/>
        <w:spacing w:after="0" w:line="257" w:lineRule="auto"/>
        <w:rPr>
          <w:sz w:val="20"/>
          <w:szCs w:val="20"/>
          <w:color w:val="auto"/>
        </w:rPr>
      </w:pPr>
      <w:r>
        <w:rPr>
          <w:rFonts w:ascii="Courier New" w:cs="Courier New" w:eastAsia="Courier New" w:hAnsi="Courier New"/>
          <w:sz w:val="16"/>
          <w:szCs w:val="16"/>
          <w:color w:val="auto"/>
        </w:rPr>
        <w:t>The allocation of the TransPoint purchase price among the identifiable tangible and intangible assets is based on preliminary estimates of the fair market value of those assets. Final determination of the allocation of the purchase price will be based on independent appraisals that CheckFree Holdings expects to have completed shortly after the mergers are consummated.</w:t>
      </w:r>
    </w:p>
    <w:p>
      <w:pPr>
        <w:spacing w:after="0" w:line="186"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TransPoint released the latest version of their electronic billing and payment processing system just one week prior to the announcement of the merger and contribution agreement. As a result, at this time, the value of in-process research and development is nominal and therefore not reflected. However, CheckFree Holdings will reassess the fair market value of the assets and liabilities assumed from TransPoint at the time of closing and CheckFree Holdings expects a portion of the purchase price to be allocated to in-process research and development at that time. Due to uncertainties regarding the specific products or technology enhancements that will be included in the next release and the specific date of the closing, CheckFree Holdings cannot currently provide a reasonable estimate of the expected value of in-process research and development.</w:t>
      </w:r>
    </w:p>
    <w:p>
      <w:pPr>
        <w:spacing w:after="0" w:line="204"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Note C: CheckFree Holdings' statement of operations for the year ended June 30, 1999, has been combined with the TransPoint statement of operations for the twelve months ended June 30, 1999. CheckFree Holdings' statement of operations for the nine month period ended March 31, 2000 has been combined with the TransPoint statement of operations for the nine months ended March 31, 2000. Actual income statements of CheckFree Holdings and TransPoint will be combined from the effective date of the mergers, with no retroactive restatement.</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Note D: The unaudited pro forma condensed combining statements of operations for CheckFree Holdings and TransPoint have been prepared as if the mergers were completed as of July 1, 1998, the beginning of the earliest period presented. The unaudited pro forma combined net income (loss) per share is based on the weighted average number of shares of CheckFree Holdings common stock outstanding during the periods, adjusted to give effect to shares assumed to be issued had the mergers taken place as of July 1, 1998.</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F-14</w:t>
      </w:r>
    </w:p>
    <w:p>
      <w:pPr>
        <w:sectPr>
          <w:pgSz w:w="11900" w:h="16838" w:orient="portrait"/>
          <w:cols w:equalWidth="0" w:num="1">
            <w:col w:w="10219"/>
          </w:cols>
          <w:pgMar w:left="240" w:top="303"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19</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8" w:lineRule="exact"/>
        <w:rPr>
          <w:sz w:val="20"/>
          <w:szCs w:val="20"/>
          <w:color w:val="auto"/>
        </w:rPr>
      </w:pPr>
    </w:p>
    <w:p>
      <w:pPr>
        <w:jc w:val="center"/>
        <w:ind w:right="2299"/>
        <w:spacing w:after="0" w:line="237" w:lineRule="auto"/>
        <w:rPr>
          <w:sz w:val="20"/>
          <w:szCs w:val="20"/>
          <w:color w:val="auto"/>
        </w:rPr>
      </w:pPr>
      <w:r>
        <w:rPr>
          <w:rFonts w:ascii="Courier New" w:cs="Courier New" w:eastAsia="Courier New" w:hAnsi="Courier New"/>
          <w:sz w:val="17"/>
          <w:szCs w:val="17"/>
          <w:color w:val="auto"/>
        </w:rPr>
        <w:t>UNAUDITED PRO FORMA CONDENSED COMBINING BALANCE SHEET WITH BLUEGILL TECHNOLOGIES, INC. AS OF MARCH 31, 2000</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16"/>
                <w:szCs w:val="16"/>
                <w:color w:val="auto"/>
              </w:rPr>
            </w:pPr>
          </w:p>
        </w:tc>
        <w:tc>
          <w:tcPr>
            <w:tcW w:w="24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HISTORICAL AMOUNTS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820" w:type="dxa"/>
            <w:vAlign w:val="bottom"/>
          </w:tcPr>
          <w:p>
            <w:pPr>
              <w:spacing w:after="0"/>
              <w:rPr>
                <w:sz w:val="16"/>
                <w:szCs w:val="16"/>
                <w:color w:val="auto"/>
              </w:rPr>
            </w:pPr>
          </w:p>
        </w:tc>
        <w:tc>
          <w:tcPr>
            <w:tcW w:w="2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82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CHECKFREE</w:t>
            </w:r>
          </w:p>
        </w:tc>
        <w:tc>
          <w:tcPr>
            <w:tcW w:w="120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PRO FORMA</w:t>
            </w:r>
          </w:p>
        </w:tc>
        <w:tc>
          <w:tcPr>
            <w:tcW w:w="1000" w:type="dxa"/>
            <w:vAlign w:val="bottom"/>
          </w:tcPr>
          <w:p>
            <w:pPr>
              <w:spacing w:after="0"/>
              <w:rPr>
                <w:sz w:val="16"/>
                <w:szCs w:val="16"/>
                <w:color w:val="auto"/>
              </w:rPr>
            </w:pPr>
          </w:p>
        </w:tc>
      </w:tr>
      <w:tr>
        <w:trPr>
          <w:trHeight w:val="193"/>
        </w:trPr>
        <w:tc>
          <w:tcPr>
            <w:tcW w:w="482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HOLDINGS</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BLUEGILL</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ADJUSTMENTS</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82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(IN THOUSANDS)</w:t>
            </w:r>
          </w:p>
        </w:tc>
        <w:tc>
          <w:tcPr>
            <w:tcW w:w="1000" w:type="dxa"/>
            <w:vAlign w:val="bottom"/>
          </w:tcPr>
          <w:p>
            <w:pPr>
              <w:spacing w:after="0"/>
              <w:rPr>
                <w:sz w:val="16"/>
                <w:szCs w:val="16"/>
                <w:color w:val="auto"/>
              </w:rPr>
            </w:pPr>
          </w:p>
        </w:tc>
      </w:tr>
      <w:tr>
        <w:trPr>
          <w:trHeight w:val="385"/>
        </w:trPr>
        <w:tc>
          <w:tcPr>
            <w:tcW w:w="48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$125,043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$15,044</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$140,087</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Investments..................................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26,292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26,292</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receivable, net.....................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53,343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1,151</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54,494</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Prepaid expenses and other assets............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11,716</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189</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11,905</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9,444</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9,444</w:t>
            </w:r>
          </w:p>
        </w:tc>
      </w:tr>
      <w:tr>
        <w:trPr>
          <w:trHeight w:val="193"/>
        </w:trPr>
        <w:tc>
          <w:tcPr>
            <w:tcW w:w="48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assets.................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225,838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16,384</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242,222</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Property and equipment, net....................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84,461</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1,453</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85,914</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Capitalized software, net......................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23,006</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20,600(1)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36,706</w:t>
            </w:r>
          </w:p>
        </w:tc>
      </w:tr>
      <w:tr>
        <w:trPr>
          <w:trHeight w:val="193"/>
        </w:trPr>
        <w:tc>
          <w:tcPr>
            <w:tcW w:w="4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(6,900)(2)</w:t>
            </w:r>
          </w:p>
        </w:tc>
        <w:tc>
          <w:tcPr>
            <w:tcW w:w="1000" w:type="dxa"/>
            <w:vAlign w:val="bottom"/>
          </w:tcPr>
          <w:p>
            <w:pPr>
              <w:spacing w:after="0"/>
              <w:rPr>
                <w:sz w:val="16"/>
                <w:szCs w:val="16"/>
                <w:color w:val="auto"/>
              </w:rPr>
            </w:pP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Goodwill, net..................................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29,539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193,007(1)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222,546</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intangible assets, net...................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12,224</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29,500(1)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41,724</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Investments....................................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52,869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52,869</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34,436</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34,436</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noncurrent assets........................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13,760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13,762</w:t>
            </w:r>
          </w:p>
        </w:tc>
      </w:tr>
      <w:tr>
        <w:trPr>
          <w:trHeight w:val="193"/>
        </w:trPr>
        <w:tc>
          <w:tcPr>
            <w:tcW w:w="48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assets.........................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$476,133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$17,839</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$236,207</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$730,179</w:t>
            </w:r>
          </w:p>
        </w:tc>
      </w:tr>
      <w:tr>
        <w:trPr>
          <w:trHeight w:val="193"/>
        </w:trPr>
        <w:tc>
          <w:tcPr>
            <w:tcW w:w="48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payable.............................</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6,573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$ 1,294</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7,867</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liabilities..........................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41,032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228</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600(1)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42,360</w:t>
            </w:r>
          </w:p>
        </w:tc>
      </w:tr>
      <w:tr>
        <w:trPr>
          <w:trHeight w:val="193"/>
        </w:trPr>
        <w:tc>
          <w:tcPr>
            <w:tcW w:w="4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500(3)</w:t>
            </w:r>
          </w:p>
        </w:tc>
        <w:tc>
          <w:tcPr>
            <w:tcW w:w="1000" w:type="dxa"/>
            <w:vAlign w:val="bottom"/>
          </w:tcPr>
          <w:p>
            <w:pPr>
              <w:spacing w:after="0"/>
              <w:rPr>
                <w:sz w:val="16"/>
                <w:szCs w:val="16"/>
                <w:color w:val="auto"/>
              </w:rPr>
            </w:pP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income taxes........................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9,290(1)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9,290</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portion of long-term obligations.....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6,533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159</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6,692</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revenue.............................</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29,638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1,191</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30,829</w:t>
            </w:r>
          </w:p>
        </w:tc>
      </w:tr>
      <w:tr>
        <w:trPr>
          <w:trHeight w:val="193"/>
        </w:trPr>
        <w:tc>
          <w:tcPr>
            <w:tcW w:w="48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liabilities............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83,776</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2,872</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10,390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97,038</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Accrued rent and other.........................</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6,653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6,653</w:t>
            </w:r>
          </w:p>
        </w:tc>
      </w:t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Obligations under capital leases -- less</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portion..............................</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820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337</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1,157</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Convertible subordinated notes.................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172,500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172,500</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7,852(1)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7,852</w:t>
            </w:r>
          </w:p>
        </w:tc>
      </w:tr>
      <w:tr>
        <w:trPr>
          <w:trHeight w:val="193"/>
        </w:trPr>
        <w:tc>
          <w:tcPr>
            <w:tcW w:w="48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263,749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3,209</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18,242</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285,200</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Redeemable preferred stock.....................</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25,963</w:t>
            </w:r>
          </w:p>
        </w:tc>
        <w:tc>
          <w:tcPr>
            <w:tcW w:w="4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(25,963)(1)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Common stock.................................</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531</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578</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Additional paid-in capital...................</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517,912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1,753</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238,195(1)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757,360</w:t>
            </w:r>
          </w:p>
        </w:tc>
      </w:tr>
      <w:tr>
        <w:trPr>
          <w:trHeight w:val="193"/>
        </w:trPr>
        <w:tc>
          <w:tcPr>
            <w:tcW w:w="4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(500)(3)</w:t>
            </w:r>
          </w:p>
        </w:tc>
        <w:tc>
          <w:tcPr>
            <w:tcW w:w="1000" w:type="dxa"/>
            <w:vAlign w:val="bottom"/>
          </w:tcPr>
          <w:p>
            <w:pPr>
              <w:spacing w:after="0"/>
              <w:rPr>
                <w:sz w:val="16"/>
                <w:szCs w:val="16"/>
                <w:color w:val="auto"/>
              </w:rPr>
            </w:pP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(650)</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650(1)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(281)</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Accumulated deficit..........................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(305,778)</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(12,443)</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12,443(1)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(312,678)</w:t>
            </w:r>
          </w:p>
        </w:tc>
      </w:tr>
      <w:tr>
        <w:trPr>
          <w:trHeight w:val="193"/>
        </w:trPr>
        <w:tc>
          <w:tcPr>
            <w:tcW w:w="4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(6,900)(2)</w:t>
            </w:r>
          </w:p>
        </w:tc>
        <w:tc>
          <w:tcPr>
            <w:tcW w:w="1000" w:type="dxa"/>
            <w:vAlign w:val="bottom"/>
          </w:tcPr>
          <w:p>
            <w:pPr>
              <w:spacing w:after="0"/>
              <w:rPr>
                <w:sz w:val="16"/>
                <w:szCs w:val="16"/>
                <w:color w:val="auto"/>
              </w:rPr>
            </w:pPr>
          </w:p>
        </w:tc>
      </w:tr>
      <w:tr>
        <w:trPr>
          <w:trHeight w:val="193"/>
        </w:trPr>
        <w:tc>
          <w:tcPr>
            <w:tcW w:w="48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stockholder's equity...........</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212,384</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(11,333)</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243,928</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444,979</w:t>
            </w:r>
          </w:p>
        </w:tc>
      </w:tr>
      <w:tr>
        <w:trPr>
          <w:trHeight w:val="193"/>
        </w:trPr>
        <w:tc>
          <w:tcPr>
            <w:tcW w:w="48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liabilities and stockholders'</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equity.............................</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$476,133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$17,839</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$236,207</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$730,179</w:t>
            </w:r>
          </w:p>
        </w:tc>
      </w:tr>
      <w:tr>
        <w:trPr>
          <w:trHeight w:val="193"/>
        </w:trPr>
        <w:tc>
          <w:tcPr>
            <w:tcW w:w="48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Unaudited Pro Forma Condensed Combining Financial Information</w:t>
      </w:r>
    </w:p>
    <w:p>
      <w:pPr>
        <w:sectPr>
          <w:pgSz w:w="11900" w:h="16838" w:orient="portrait"/>
          <w:cols w:equalWidth="0" w:num="1">
            <w:col w:w="10219"/>
          </w:cols>
          <w:pgMar w:left="240" w:top="303" w:right="1440" w:bottom="1440" w:gutter="0" w:footer="0" w:header="0"/>
        </w:sectPr>
      </w:pPr>
    </w:p>
    <w:p>
      <w:pPr>
        <w:spacing w:after="0" w:line="39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303" w:right="1440" w:bottom="1440"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20</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8" w:lineRule="exact"/>
        <w:rPr>
          <w:sz w:val="20"/>
          <w:szCs w:val="20"/>
          <w:color w:val="auto"/>
        </w:rPr>
      </w:pPr>
    </w:p>
    <w:p>
      <w:pPr>
        <w:jc w:val="center"/>
        <w:ind w:right="2299"/>
        <w:spacing w:after="0" w:line="237" w:lineRule="auto"/>
        <w:rPr>
          <w:sz w:val="20"/>
          <w:szCs w:val="20"/>
          <w:color w:val="auto"/>
        </w:rPr>
      </w:pPr>
      <w:r>
        <w:rPr>
          <w:rFonts w:ascii="Courier New" w:cs="Courier New" w:eastAsia="Courier New" w:hAnsi="Courier New"/>
          <w:sz w:val="17"/>
          <w:szCs w:val="17"/>
          <w:color w:val="auto"/>
        </w:rPr>
        <w:t>UNAUDITED PRO FORMA CONDENSED COMBINING STATEMENT OF OPERATIONS WITH BLUEGILL TECHNOLOGIES, INC. FOR THE YEAR ENDED JUNE 30, 1999</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w w:val="96"/>
              </w:rPr>
              <w:t>HISTORICAL AMOUNTS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240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CHECKFREE</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PRO FORMA</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HOLDINGS</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BLUEGILL</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ADJUSTMENTS</w:t>
            </w:r>
          </w:p>
        </w:tc>
        <w:tc>
          <w:tcPr>
            <w:tcW w:w="2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TOTAL</w:t>
            </w:r>
          </w:p>
        </w:tc>
      </w:tr>
      <w:tr>
        <w:trPr>
          <w:trHeight w:val="193"/>
        </w:trPr>
        <w:tc>
          <w:tcPr>
            <w:tcW w:w="47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0" w:type="dxa"/>
            <w:vAlign w:val="bottom"/>
            <w:gridSpan w:val="7"/>
          </w:tcPr>
          <w:p>
            <w:pPr>
              <w:jc w:val="right"/>
              <w:ind w:right="416"/>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Processing and servicing....................</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$201,059</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$201,059</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License fees................................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15,975</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2,517</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18,492</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Maintenance fees............................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17,746</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48</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17,794</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15,351</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925</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16,276</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revenues......................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250,131</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3,490</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253,621</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Cost of processing, servicing and support...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146,704</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969</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147,673</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Research and development....................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21,085</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1,457</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22,542</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Sales and marketing.........................</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32,354</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2,318</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34,672</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31,466</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2,045</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33,511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24,630</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106</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61,826(4)</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86,562</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In-process research and development.........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2,201</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2,201</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expenses......................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258,440</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6,895</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61,826</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327,161</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gain on dispositions of assets..........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4,576</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4,576</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from operations..........................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(3,733)</w:t>
            </w:r>
          </w:p>
        </w:tc>
        <w:tc>
          <w:tcPr>
            <w:tcW w:w="3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(3,405)</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(61,826)</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(68,964)</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net...............................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2,181</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194</w:t>
            </w:r>
          </w:p>
        </w:tc>
        <w:tc>
          <w:tcPr>
            <w:tcW w:w="4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2,375</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before income taxes......................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(1,552)</w:t>
            </w:r>
          </w:p>
        </w:tc>
        <w:tc>
          <w:tcPr>
            <w:tcW w:w="3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(3,211)</w:t>
            </w: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(61,826)</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(66,589)</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tax benefit............................</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(12,009)</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(9,290)(4)</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(21,299)</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income (loss).............................</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$ 10,457</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$(3,211)</w:t>
            </w:r>
          </w:p>
        </w:tc>
        <w:tc>
          <w:tcPr>
            <w:tcW w:w="16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$(52,536)</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$(45,290)</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Basic earnings (loss) per share: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0.20</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(0.79)</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52,444</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4,714(1)</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57,158</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Diluted earnings (loss) per share: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0.18</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(0.79)</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56,529</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629(5)</w:t>
            </w:r>
          </w:p>
        </w:tc>
        <w:tc>
          <w:tcPr>
            <w:tcW w:w="2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57,158</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Unaudited Pro Forma Condensed Combining Financial Information</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F-16</w:t>
      </w:r>
    </w:p>
    <w:p>
      <w:pPr>
        <w:sectPr>
          <w:pgSz w:w="11900" w:h="16838" w:orient="portrait"/>
          <w:cols w:equalWidth="0" w:num="1">
            <w:col w:w="10219"/>
          </w:cols>
          <w:pgMar w:left="240" w:top="303"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21</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8" w:lineRule="exact"/>
        <w:rPr>
          <w:sz w:val="20"/>
          <w:szCs w:val="20"/>
          <w:color w:val="auto"/>
        </w:rPr>
      </w:pPr>
    </w:p>
    <w:p>
      <w:pPr>
        <w:jc w:val="center"/>
        <w:ind w:right="2299"/>
        <w:spacing w:after="0" w:line="237" w:lineRule="auto"/>
        <w:rPr>
          <w:sz w:val="20"/>
          <w:szCs w:val="20"/>
          <w:color w:val="auto"/>
        </w:rPr>
      </w:pPr>
      <w:r>
        <w:rPr>
          <w:rFonts w:ascii="Courier New" w:cs="Courier New" w:eastAsia="Courier New" w:hAnsi="Courier New"/>
          <w:sz w:val="17"/>
          <w:szCs w:val="17"/>
          <w:color w:val="auto"/>
        </w:rPr>
        <w:t>UNAUDITED PRO FORMA CONDENSED COMBINING STATEMENT OF OPERATIONS WITH BLUEGILL TECHNOLOGIES, INC. FOR THE NINE MONTHS ENDED MARCH 31, 2000</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w w:val="96"/>
              </w:rPr>
              <w:t>HISTORICAL AMOUNTS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240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CHECKFREE</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PRO FORMA</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HOLDINGS</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BLUEGILL</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ADJUSTMENTS</w:t>
            </w:r>
          </w:p>
        </w:tc>
        <w:tc>
          <w:tcPr>
            <w:tcW w:w="3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TOTAL</w:t>
            </w:r>
          </w:p>
        </w:tc>
      </w:tr>
      <w:tr>
        <w:trPr>
          <w:trHeight w:val="193"/>
        </w:trPr>
        <w:tc>
          <w:tcPr>
            <w:tcW w:w="47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0" w:type="dxa"/>
            <w:vAlign w:val="bottom"/>
            <w:gridSpan w:val="7"/>
          </w:tcPr>
          <w:p>
            <w:pPr>
              <w:jc w:val="right"/>
              <w:ind w:right="516"/>
              <w:spacing w:after="0"/>
              <w:rPr>
                <w:sz w:val="20"/>
                <w:szCs w:val="20"/>
                <w:color w:val="auto"/>
              </w:rPr>
            </w:pPr>
            <w:r>
              <w:rPr>
                <w:rFonts w:ascii="Courier New" w:cs="Courier New" w:eastAsia="Courier New" w:hAnsi="Courier New"/>
                <w:sz w:val="17"/>
                <w:szCs w:val="17"/>
                <w:color w:val="auto"/>
              </w:rPr>
              <w:t>(IN THOUSANDS, EXCEPT PER SHARE AMOUNTS)</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Processing and servicing....................</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$189,430</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$189,430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License fees................................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10,295</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4,578</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14,873</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Maintenance fees............................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13,571</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349</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13,920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8,399</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1,180</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9,579</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revenues......................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221,695</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6,107</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227,802</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Cost of processing, servicing and support...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133,684</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1,496</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135,180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Research and development....................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24,276</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2,142</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26,418</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Sales and marketing.........................</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29,522</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5,602</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35,124</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28,837</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4,463</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33,300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23,789</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272</w:t>
            </w:r>
          </w:p>
        </w:tc>
        <w:tc>
          <w:tcPr>
            <w:tcW w:w="4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34,145(4)</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58,206</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In-process research and development.........</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expenses......................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240,108</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13,975</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34,145</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288,228</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gain on dispositions of assets..........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from operations..........................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(18,413)</w:t>
            </w:r>
          </w:p>
        </w:tc>
        <w:tc>
          <w:tcPr>
            <w:tcW w:w="3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(7,868)</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(34,145)</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(60,426)</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net...............................</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619</w:t>
            </w:r>
          </w:p>
        </w:tc>
        <w:tc>
          <w:tcPr>
            <w:tcW w:w="4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536</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Loss before income taxes......................</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(18,496)</w:t>
            </w:r>
          </w:p>
        </w:tc>
        <w:tc>
          <w:tcPr>
            <w:tcW w:w="3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(7,249)</w:t>
            </w: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(34,145)</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(59,890)</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tax benefit............................</w:t>
            </w:r>
          </w:p>
        </w:tc>
        <w:tc>
          <w:tcPr>
            <w:tcW w:w="2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(6,718)</w:t>
            </w:r>
          </w:p>
        </w:tc>
        <w:tc>
          <w:tcPr>
            <w:tcW w:w="3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(2,078)(4)</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(8,796)</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income (loss).............................</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$(11,778)</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$(7,249)</w:t>
            </w:r>
          </w:p>
        </w:tc>
        <w:tc>
          <w:tcPr>
            <w:tcW w:w="17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$(32,067)</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$(51,094)</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Basic earnings (loss) per share: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(0.23)</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(0.90)</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52,246</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4,714(1)</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56,960</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Diluted earnings (loss) per share: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(0.23)</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(0.90)</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Equivalent number of shares.................</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52,246</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4,714(1)</w:t>
            </w:r>
          </w:p>
        </w:tc>
        <w:tc>
          <w:tcPr>
            <w:tcW w:w="3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56,960</w:t>
            </w:r>
          </w:p>
        </w:tc>
      </w:tr>
      <w:tr>
        <w:trPr>
          <w:trHeight w:val="193"/>
        </w:trPr>
        <w:tc>
          <w:tcPr>
            <w:tcW w:w="4720" w:type="dxa"/>
            <w:vAlign w:val="bottom"/>
          </w:tcPr>
          <w:p>
            <w:pPr>
              <w:spacing w:after="0"/>
              <w:rPr>
                <w:sz w:val="16"/>
                <w:szCs w:val="16"/>
                <w:color w:val="auto"/>
              </w:rPr>
            </w:pPr>
          </w:p>
        </w:tc>
        <w:tc>
          <w:tcPr>
            <w:tcW w:w="12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See Notes to Unaudited Pro Forma Condensed Combining Financial Information</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F-17</w:t>
      </w:r>
    </w:p>
    <w:p>
      <w:pPr>
        <w:sectPr>
          <w:pgSz w:w="11900" w:h="16838" w:orient="portrait"/>
          <w:cols w:equalWidth="0" w:num="1">
            <w:col w:w="10219"/>
          </w:cols>
          <w:pgMar w:left="2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22</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CHECKFREE HOLDINGS CORPORATION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NOTES TO UNAUDITED PRO FORMA CONDENSED COMBINING FINANCIAL INFORMATION</w:t>
      </w:r>
    </w:p>
    <w:p>
      <w:pPr>
        <w:jc w:val="center"/>
        <w:ind w:right="2199"/>
        <w:spacing w:after="0"/>
        <w:rPr>
          <w:sz w:val="20"/>
          <w:szCs w:val="20"/>
          <w:color w:val="auto"/>
        </w:rPr>
      </w:pPr>
      <w:r>
        <w:rPr>
          <w:rFonts w:ascii="Courier New" w:cs="Courier New" w:eastAsia="Courier New" w:hAnsi="Courier New"/>
          <w:sz w:val="17"/>
          <w:szCs w:val="17"/>
          <w:color w:val="auto"/>
        </w:rPr>
        <w:t>WITH BLUEGILL TECHNOLOGIES, INC.</w:t>
      </w:r>
    </w:p>
    <w:p>
      <w:pPr>
        <w:spacing w:after="0" w:line="198" w:lineRule="exact"/>
        <w:rPr>
          <w:sz w:val="20"/>
          <w:szCs w:val="20"/>
          <w:color w:val="auto"/>
        </w:rPr>
      </w:pPr>
    </w:p>
    <w:p>
      <w:pPr>
        <w:ind w:right="2199" w:firstLine="504"/>
        <w:spacing w:after="0" w:line="239" w:lineRule="auto"/>
        <w:tabs>
          <w:tab w:leader="none" w:pos="80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reflect the issuance of CheckFree Holdings common stock, CheckFree Holdings options and related acquisition expenses as the total purchase price for the net assets of BlueGill, and the elimination of BlueGill's redeemable preferred stock and shareholders' equity.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210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Capitalized software, net..............................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$ 20,600</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Goodwill, net..........................................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193,007</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intangible assets, net...........................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29,500</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BlueGill redeemable preferred stock....................</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25,963</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BlueGill common stock..................................</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BlueGill additional paid-in capital....................</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1,753</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CheckFree Holdings common stock......................</w:t>
            </w:r>
          </w:p>
        </w:tc>
        <w:tc>
          <w:tcPr>
            <w:tcW w:w="1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CheckFree Holdings additional paid-in capital........</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239,948</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BlueGill accumulated deficit.........................</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12,443</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BlueGill other equity................................</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650</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deferred income tax liability................</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9,290</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Long term deferred income tax liability..............</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7,852</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acquisition expenses.........................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600</w:t>
            </w:r>
          </w:p>
        </w:tc>
      </w:tr>
      <w:tr>
        <w:trPr>
          <w:trHeight w:val="193"/>
        </w:trPr>
        <w:tc>
          <w:tcPr>
            <w:tcW w:w="56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Totals............................................</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$270,830</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$270,830</w:t>
            </w:r>
          </w:p>
        </w:tc>
      </w:tr>
      <w:tr>
        <w:trPr>
          <w:trHeight w:val="193"/>
        </w:trPr>
        <w:tc>
          <w:tcPr>
            <w:tcW w:w="56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The following chart indicates the components of the purchase price inherent in the adjusting entry:</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CheckFree Holdings common stock.........................</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$221,449</w:t>
            </w: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Issuance of CheckFree Holdings options..................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18,546</w:t>
            </w: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Direct acquisition costs................................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600</w:t>
            </w:r>
          </w:p>
        </w:tc>
      </w:tr>
      <w:tr>
        <w:trPr>
          <w:trHeight w:val="193"/>
        </w:trPr>
        <w:tc>
          <w:tcPr>
            <w:tcW w:w="572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estimated purchase price................</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$240,595</w:t>
            </w:r>
          </w:p>
        </w:tc>
      </w:tr>
      <w:tr>
        <w:trPr>
          <w:trHeight w:val="193"/>
        </w:trPr>
        <w:tc>
          <w:tcPr>
            <w:tcW w:w="572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purchase price reflects the issuance of 4,713,736 shares of CheckFree Holdings common stock at $46.98 per share which is the average end of day price of CheckFree Holdings stock for the three trading days preceding and the three days following the closing of the acquisition of BlueGill. Under the terms of the merger agreement, CheckFree Holdings also issued 634,145 CheckFree Holdings options to replace BlueGill options, of which 286,264 are already vested. The value of the CheckFree Holdings option grant is based on a Black-Scholes valuation model assuming a $46.98 stock price, an average strike price of $2.18, an average life of 2.9 years, a risk-free interest rate of 6.47% and volatility of 83.4%.</w:t>
      </w:r>
    </w:p>
    <w:p>
      <w:pPr>
        <w:spacing w:after="0" w:line="3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F-18</w:t>
      </w:r>
    </w:p>
    <w:p>
      <w:pPr>
        <w:sectPr>
          <w:pgSz w:w="11900" w:h="16838" w:orient="portrait"/>
          <w:cols w:equalWidth="0" w:num="1">
            <w:col w:w="10219"/>
          </w:cols>
          <w:pgMar w:left="240" w:top="303"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23</w:t>
      </w:r>
    </w:p>
    <w:p>
      <w:pPr>
        <w:spacing w:after="0" w:line="198"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The following table provides the allocation of the purchase price inherent in the adjusting entry:</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4420" w:type="dxa"/>
            <w:vAlign w:val="bottom"/>
          </w:tcPr>
          <w:p>
            <w:pPr>
              <w:spacing w:after="0"/>
              <w:rPr>
                <w:sz w:val="20"/>
                <w:szCs w:val="20"/>
                <w:color w:val="auto"/>
              </w:rPr>
            </w:pPr>
            <w:r>
              <w:rPr>
                <w:rFonts w:ascii="Courier New" w:cs="Courier New" w:eastAsia="Courier New" w:hAnsi="Courier New"/>
                <w:sz w:val="17"/>
                <w:szCs w:val="17"/>
                <w:color w:val="auto"/>
                <w:w w:val="98"/>
              </w:rPr>
              <w:t>In-process research and development (Note B)</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6,900</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Current technology and products:</w:t>
            </w:r>
          </w:p>
        </w:tc>
        <w:tc>
          <w:tcPr>
            <w:tcW w:w="35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Print/extraction</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(estimated life of 3 years).......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Data management engine</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(estimated life of 4 years).......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5,700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API or application protocol interfaces</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(estimated life of 2 years).......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Web applications</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(estimated life of 5 years).......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2,400</w:t>
            </w:r>
          </w:p>
        </w:tc>
      </w:tr>
      <w:tr>
        <w:trPr>
          <w:trHeight w:val="193"/>
        </w:trPr>
        <w:tc>
          <w:tcPr>
            <w:tcW w:w="44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79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Sub-total IPR&amp;D and current technology and products......................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20,600</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Goodwill</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(estimated life of 5 years).......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193,007</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Other intangible assets:</w:t>
            </w:r>
          </w:p>
        </w:tc>
        <w:tc>
          <w:tcPr>
            <w:tcW w:w="35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Workforce in place</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(estimated life of 3 years).......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Customer list</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(estimated life of 5 years).......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10,600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Tradename</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(estimated life of 1 year)........</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15,100</w:t>
            </w:r>
          </w:p>
        </w:tc>
      </w:tr>
      <w:tr>
        <w:trPr>
          <w:trHeight w:val="193"/>
        </w:trPr>
        <w:tc>
          <w:tcPr>
            <w:tcW w:w="4420" w:type="dxa"/>
            <w:vAlign w:val="bottom"/>
          </w:tcPr>
          <w:p>
            <w:pPr>
              <w:ind w:left="200"/>
              <w:spacing w:after="0"/>
              <w:rPr>
                <w:sz w:val="20"/>
                <w:szCs w:val="20"/>
                <w:color w:val="auto"/>
              </w:rPr>
            </w:pPr>
            <w:r>
              <w:rPr>
                <w:rFonts w:ascii="Courier New" w:cs="Courier New" w:eastAsia="Courier New" w:hAnsi="Courier New"/>
                <w:sz w:val="17"/>
                <w:szCs w:val="17"/>
                <w:color w:val="auto"/>
              </w:rPr>
              <w:t>Covenants not to compete</w:t>
            </w:r>
          </w:p>
        </w:tc>
        <w:tc>
          <w:tcPr>
            <w:tcW w:w="3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(estimated life of 1 year)........</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1,200</w:t>
            </w:r>
          </w:p>
        </w:tc>
      </w:tr>
      <w:tr>
        <w:trPr>
          <w:trHeight w:val="193"/>
        </w:trPr>
        <w:tc>
          <w:tcPr>
            <w:tcW w:w="44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79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Sub-total other intangible assets........................................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29,500</w:t>
            </w:r>
          </w:p>
        </w:tc>
      </w:tr>
      <w:tr>
        <w:trPr>
          <w:trHeight w:val="193"/>
        </w:trPr>
        <w:tc>
          <w:tcPr>
            <w:tcW w:w="79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8"/>
              </w:rPr>
              <w:t>Deferred income taxes.........................................................</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(17,142)</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Net assets of BlueGill:</w:t>
            </w:r>
          </w:p>
        </w:tc>
        <w:tc>
          <w:tcPr>
            <w:tcW w:w="35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79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15,044</w:t>
            </w:r>
          </w:p>
        </w:tc>
      </w:tr>
      <w:tr>
        <w:trPr>
          <w:trHeight w:val="193"/>
        </w:trPr>
        <w:tc>
          <w:tcPr>
            <w:tcW w:w="79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Property and equipment......................................................</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1,452</w:t>
            </w:r>
          </w:p>
        </w:tc>
      </w:tr>
      <w:tr>
        <w:trPr>
          <w:trHeight w:val="193"/>
        </w:trPr>
        <w:tc>
          <w:tcPr>
            <w:tcW w:w="79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Other, net..................................................................</w:t>
            </w:r>
          </w:p>
        </w:tc>
        <w:tc>
          <w:tcPr>
            <w:tcW w:w="1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(1,866)</w:t>
            </w:r>
          </w:p>
        </w:tc>
      </w:tr>
      <w:tr>
        <w:trPr>
          <w:trHeight w:val="193"/>
        </w:trPr>
        <w:tc>
          <w:tcPr>
            <w:tcW w:w="44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79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Sub-total net assets.....................................................</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14,630</w:t>
            </w:r>
          </w:p>
        </w:tc>
      </w:tr>
      <w:tr>
        <w:trPr>
          <w:trHeight w:val="193"/>
        </w:trPr>
        <w:tc>
          <w:tcPr>
            <w:tcW w:w="44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79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Total Purchase Price.....................................................</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$240,595</w:t>
            </w:r>
          </w:p>
        </w:tc>
      </w:tr>
      <w:tr>
        <w:trPr>
          <w:trHeight w:val="193"/>
        </w:trPr>
        <w:tc>
          <w:tcPr>
            <w:tcW w:w="44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The useful lives of the various intangible assets identified are based on management's estimates. Under the caption of current technology and products, lives are based on assumptions regarding the time expected for the indicated technology or product to become obsolete, which are driven primarily by planned future development work designed to replace the existing technology or product. The useful life assigned to goodwill is based upon currently acceptable lives for these assets. The useful life on workforce in place is based on CheckFree Holdings' estimate of the average tenure expected from the BlueGill employee base. The useful life CheckFree Holdings assigned to the customer base is based on CheckFree Holdings' estimate of the future revenue base from the existing customers. Although the BlueGill tradename is widely known at this time, CheckFree Holdings currently has no plans to continue to utilize the name once the technologies of BlueGill and CheckFree Holdings are consolidated in to a single product offering, which CheckFree Holdings expects to take place within one year of the merger. CheckFree Holdings assigned a one-year life to the covenants not to compete to coincide with the contractual life of the related agreements. CheckFree Holdings will amortize these intangible assets on a straight-line basis over their estimated useful lives.</w:t>
      </w:r>
    </w:p>
    <w:p>
      <w:pPr>
        <w:spacing w:after="0" w:line="195" w:lineRule="exact"/>
        <w:rPr>
          <w:sz w:val="20"/>
          <w:szCs w:val="20"/>
          <w:color w:val="auto"/>
        </w:rPr>
      </w:pPr>
    </w:p>
    <w:p>
      <w:pPr>
        <w:ind w:right="2599" w:firstLine="504"/>
        <w:spacing w:after="0" w:line="257" w:lineRule="auto"/>
        <w:tabs>
          <w:tab w:leader="none" w:pos="80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write off the balance of in-process research and development. As the amount is not deductible for federal or state income tax purposes, there is no related income tax benefit resulting from the charge. Refer to Note B for an explanation of in process research and development.</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1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5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Accumulated deficit................................</w:t>
            </w:r>
          </w:p>
        </w:tc>
        <w:tc>
          <w:tcPr>
            <w:tcW w:w="17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$6,900</w:t>
            </w:r>
          </w:p>
        </w:tc>
      </w:tr>
      <w:tr>
        <w:trPr>
          <w:trHeight w:val="193"/>
        </w:trPr>
        <w:tc>
          <w:tcPr>
            <w:tcW w:w="5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Capitalized software, net........................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$6,900</w:t>
            </w:r>
          </w:p>
        </w:tc>
      </w:tr>
    </w:tbl>
    <w:p>
      <w:pPr>
        <w:spacing w:after="0" w:line="391" w:lineRule="exact"/>
        <w:rPr>
          <w:sz w:val="20"/>
          <w:szCs w:val="20"/>
          <w:color w:val="auto"/>
        </w:rPr>
      </w:pPr>
    </w:p>
    <w:p>
      <w:pPr>
        <w:ind w:right="2399" w:firstLine="504"/>
        <w:spacing w:after="0" w:line="236" w:lineRule="auto"/>
        <w:tabs>
          <w:tab w:leader="none" w:pos="80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accrue the cost of registering CheckFree Holdings shares to be issued for BlueGill.</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w w:val="96"/>
              </w:rPr>
              <w:t>(IN THOUSANDS)</w:t>
            </w:r>
          </w:p>
        </w:tc>
      </w:tr>
      <w:tr>
        <w:trPr>
          <w:trHeight w:val="385"/>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Additional paid-in capital............................</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$500</w:t>
            </w:r>
          </w:p>
        </w:tc>
      </w:tr>
      <w:tr>
        <w:trPr>
          <w:trHeight w:val="193"/>
        </w:trPr>
        <w:tc>
          <w:tcPr>
            <w:tcW w:w="5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liabilities.................................</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$500</w:t>
            </w:r>
          </w:p>
        </w:tc>
      </w:tr>
    </w:tbl>
    <w:p>
      <w:pPr>
        <w:spacing w:after="0" w:line="200" w:lineRule="exact"/>
        <w:rPr>
          <w:sz w:val="20"/>
          <w:szCs w:val="20"/>
          <w:color w:val="auto"/>
        </w:rPr>
      </w:pPr>
    </w:p>
    <w:p>
      <w:pPr>
        <w:sectPr>
          <w:pgSz w:w="11900" w:h="16838" w:orient="portrait"/>
          <w:cols w:equalWidth="0" w:num="1">
            <w:col w:w="10219"/>
          </w:cols>
          <w:pgMar w:left="240" w:top="303" w:right="1440" w:bottom="172" w:gutter="0" w:footer="0" w:header="0"/>
        </w:sectPr>
      </w:pP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303" w:right="1440" w:bottom="172"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24</w:t>
      </w:r>
    </w:p>
    <w:p>
      <w:pPr>
        <w:spacing w:after="0" w:line="198" w:lineRule="exact"/>
        <w:rPr>
          <w:sz w:val="20"/>
          <w:szCs w:val="20"/>
          <w:color w:val="auto"/>
        </w:rPr>
      </w:pPr>
    </w:p>
    <w:p>
      <w:pPr>
        <w:ind w:right="2199" w:firstLine="504"/>
        <w:spacing w:after="0" w:line="262" w:lineRule="auto"/>
        <w:tabs>
          <w:tab w:leader="none" w:pos="80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reflect additional amortization expense and the related income tax benefit associated with the intangible assets acquired from BlueGill.</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1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6120" w:type="dxa"/>
            <w:vAlign w:val="bottom"/>
          </w:tcPr>
          <w:p>
            <w:pPr>
              <w:spacing w:after="0"/>
              <w:rPr>
                <w:sz w:val="20"/>
                <w:szCs w:val="20"/>
                <w:color w:val="auto"/>
              </w:rPr>
            </w:pPr>
            <w:r>
              <w:rPr>
                <w:rFonts w:ascii="Courier New" w:cs="Courier New" w:eastAsia="Courier New" w:hAnsi="Courier New"/>
                <w:sz w:val="17"/>
                <w:szCs w:val="17"/>
                <w:color w:val="auto"/>
              </w:rPr>
              <w:t>YEAR ENDED JUNE 30, 1999</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Depreciation and amortization...............................</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$61,826</w:t>
            </w: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Current deferred income tax liability.......................</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9,290</w:t>
            </w: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Capitalized software, net.................................</w:t>
            </w:r>
          </w:p>
        </w:tc>
        <w:tc>
          <w:tcPr>
            <w:tcW w:w="1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$ 3,938</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Goodwill, net.............................................</w:t>
            </w:r>
          </w:p>
        </w:tc>
        <w:tc>
          <w:tcPr>
            <w:tcW w:w="1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38,601</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intangible assets, net..............................</w:t>
            </w:r>
          </w:p>
        </w:tc>
        <w:tc>
          <w:tcPr>
            <w:tcW w:w="1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19,287</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benefit........................................</w:t>
            </w:r>
          </w:p>
        </w:tc>
        <w:tc>
          <w:tcPr>
            <w:tcW w:w="1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9,290</w:t>
            </w:r>
          </w:p>
        </w:tc>
      </w:tr>
      <w:tr>
        <w:trPr>
          <w:trHeight w:val="193"/>
        </w:trPr>
        <w:tc>
          <w:tcPr>
            <w:tcW w:w="61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$71,116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$71,116</w:t>
            </w:r>
          </w:p>
        </w:tc>
      </w:tr>
      <w:tr>
        <w:trPr>
          <w:trHeight w:val="193"/>
        </w:trPr>
        <w:tc>
          <w:tcPr>
            <w:tcW w:w="61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NINE MONTHS ENDED MARCH 31, 2000</w:t>
            </w: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Depreciation and amortization...............................</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$34,145</w:t>
            </w: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Current deferred income tax liability.......................</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2,078</w:t>
            </w:r>
          </w:p>
        </w:tc>
        <w:tc>
          <w:tcPr>
            <w:tcW w:w="900" w:type="dxa"/>
            <w:vAlign w:val="bottom"/>
          </w:tcPr>
          <w:p>
            <w:pPr>
              <w:spacing w:after="0"/>
              <w:rPr>
                <w:sz w:val="16"/>
                <w:szCs w:val="16"/>
                <w:color w:val="auto"/>
              </w:rPr>
            </w:pP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Capitalized software, net.................................</w:t>
            </w:r>
          </w:p>
        </w:tc>
        <w:tc>
          <w:tcPr>
            <w:tcW w:w="1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$ 2,954</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Goodwill, net.............................................</w:t>
            </w:r>
          </w:p>
        </w:tc>
        <w:tc>
          <w:tcPr>
            <w:tcW w:w="1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28,951</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intangible assets, net..............................</w:t>
            </w:r>
          </w:p>
        </w:tc>
        <w:tc>
          <w:tcPr>
            <w:tcW w:w="1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2,240</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benefit........................................</w:t>
            </w:r>
          </w:p>
        </w:tc>
        <w:tc>
          <w:tcPr>
            <w:tcW w:w="10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2,078</w:t>
            </w:r>
          </w:p>
        </w:tc>
      </w:tr>
      <w:tr>
        <w:trPr>
          <w:trHeight w:val="193"/>
        </w:trPr>
        <w:tc>
          <w:tcPr>
            <w:tcW w:w="61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$36,223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$36,223</w:t>
            </w:r>
          </w:p>
        </w:tc>
      </w:tr>
      <w:tr>
        <w:trPr>
          <w:trHeight w:val="193"/>
        </w:trPr>
        <w:tc>
          <w:tcPr>
            <w:tcW w:w="61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200" w:lineRule="exact"/>
        <w:rPr>
          <w:sz w:val="20"/>
          <w:szCs w:val="20"/>
          <w:color w:val="auto"/>
        </w:rPr>
      </w:pPr>
    </w:p>
    <w:p>
      <w:pPr>
        <w:ind w:right="2299" w:firstLine="504"/>
        <w:spacing w:after="0" w:line="239" w:lineRule="auto"/>
        <w:tabs>
          <w:tab w:leader="none" w:pos="80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combined with BlueGill's historical loss and the pro forma adjustments, the historical CheckFree Holdings'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BlueGill.</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CheckFree Holdings common shares issued for BlueGill........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4,714</w:t>
      </w:r>
    </w:p>
    <w:p>
      <w:pPr>
        <w:spacing w:after="0" w:line="11" w:lineRule="exact"/>
        <w:rPr>
          <w:sz w:val="20"/>
          <w:szCs w:val="20"/>
          <w:color w:val="auto"/>
        </w:rPr>
      </w:pPr>
    </w:p>
    <w:p>
      <w:pPr>
        <w:sectPr>
          <w:pgSz w:w="11900" w:h="16838" w:orient="portrait"/>
          <w:cols w:equalWidth="0" w:num="2">
            <w:col w:w="6020" w:space="300"/>
            <w:col w:w="389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Potentially dilutive securities:</w:t>
      </w:r>
    </w:p>
    <w:p>
      <w:pPr>
        <w:sectPr>
          <w:pgSz w:w="11900" w:h="16838" w:orient="portrait"/>
          <w:cols w:equalWidth="0" w:num="1">
            <w:col w:w="10219"/>
          </w:cols>
          <w:pgMar w:left="240" w:top="303" w:right="1440"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Options and warrants......................................</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w:t>
      </w:r>
    </w:p>
    <w:p>
      <w:pPr>
        <w:spacing w:after="0" w:line="20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Total potentially dilutive securities..................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adjustment to dilutive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(4,085)</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(4,085)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ind w:left="300"/>
        <w:spacing w:after="0"/>
        <w:rPr>
          <w:sz w:val="20"/>
          <w:szCs w:val="20"/>
          <w:color w:val="auto"/>
        </w:rPr>
      </w:pPr>
      <w:r>
        <w:rPr>
          <w:rFonts w:ascii="Courier New" w:cs="Courier New" w:eastAsia="Courier New" w:hAnsi="Courier New"/>
          <w:sz w:val="17"/>
          <w:szCs w:val="17"/>
          <w:color w:val="auto"/>
        </w:rPr>
        <w:t>629</w:t>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020" w:space="200"/>
            <w:col w:w="3999"/>
          </w:cols>
          <w:pgMar w:left="240" w:top="303" w:right="1440" w:bottom="1440" w:gutter="0" w:footer="0" w:header="0"/>
          <w:type w:val="continuous"/>
        </w:sectPr>
      </w:pP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303" w:right="1440"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25</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NOTES TO UNAUDITED PRO FORMA CONDENSED COMBINING FINANCIAL INFORMATION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BlueGill; that the pro forma adjustments give appropriate effect to those assumptions; and that the pro forma adjustments are properly applied in the Unaudited Pro Forma Condensed Combining Balance Sheet and Statement of Operations.</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Note B: The unaudited pro forma condensed balance sheet of CheckFree Holdings and BlueGill has been prepared as if the merger was completed as of March 31, 2000, and was accounted for as a purchase. CheckFree Holdings issued 4,713,736 shares of its common stock with a fair market value of $46.98 per share and 634,145 options, 286,264 of which are already vested. The total purchase price of $240,595,000 was allocated to assets acquired and liabilities assumed based on BlueGill's March 31, 2000 balance sheet.</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allocation of the BlueGill purchase price among the identifiable tangible and intangible assets and purchased in process research and development is based on preliminary estimates of the fair market value of those assets. Final determination of the allocation of the purchase price will be based on independent appraisals that CheckFree Holdings expects to have completed shortly after the merger is consummated.</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BlueGill currently has five general technologies and application suites under development that meet the specific requirements of SFAS No. 2 for qualification as in-process research and development or IPRD. Critical elements of SFAS No. 2's definition of IPRD are that:</w:t>
      </w:r>
    </w:p>
    <w:p>
      <w:pPr>
        <w:spacing w:after="0" w:line="194" w:lineRule="exact"/>
        <w:rPr>
          <w:sz w:val="20"/>
          <w:szCs w:val="20"/>
          <w:color w:val="auto"/>
        </w:rPr>
      </w:pPr>
    </w:p>
    <w:p>
      <w:pPr>
        <w:ind w:left="700" w:hanging="196"/>
        <w:spacing w:after="0"/>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product has not yet demonstrated its technological feasibility; and</w:t>
      </w:r>
    </w:p>
    <w:p>
      <w:pPr>
        <w:spacing w:after="0" w:line="192" w:lineRule="exact"/>
        <w:rPr>
          <w:rFonts w:ascii="Courier New" w:cs="Courier New" w:eastAsia="Courier New" w:hAnsi="Courier New"/>
          <w:sz w:val="17"/>
          <w:szCs w:val="17"/>
          <w:color w:val="auto"/>
        </w:rPr>
      </w:pPr>
    </w:p>
    <w:p>
      <w:pPr>
        <w:ind w:left="700" w:hanging="196"/>
        <w:spacing w:after="0"/>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product does not have an alternative future use.</w:t>
      </w:r>
    </w:p>
    <w:p>
      <w:pPr>
        <w:spacing w:after="0" w:line="19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6"/>
          <w:szCs w:val="16"/>
          <w:color w:val="auto"/>
        </w:rPr>
        <w:t>These in-process technologies and applications include print and extraction technology, the Data Management Engine technology, API technology, web applications and OFX payment technology. Their descriptions are found below.</w:t>
      </w:r>
    </w:p>
    <w:p>
      <w:pPr>
        <w:spacing w:after="0" w:line="184"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Print and extraction technology. Print and extraction technology allows for the extraction and print parsing of a biller's legacy billing information through to BlueGill's products. The following features of the print/extraction technology are under development:</w:t>
      </w:r>
    </w:p>
    <w:p>
      <w:pPr>
        <w:spacing w:after="0" w:line="200" w:lineRule="exact"/>
        <w:rPr>
          <w:sz w:val="20"/>
          <w:szCs w:val="20"/>
          <w:color w:val="auto"/>
        </w:rPr>
      </w:pPr>
    </w:p>
    <w:p>
      <w:pPr>
        <w:ind w:left="700" w:right="2399" w:hanging="196"/>
        <w:spacing w:after="0" w:line="236" w:lineRule="auto"/>
        <w:tabs>
          <w:tab w:leader="none" w:pos="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SmartXpress 3.0.0 that comprises updates to accommodate core changes to BlueGill's DME 2.2.0;</w:t>
      </w:r>
    </w:p>
    <w:p>
      <w:pPr>
        <w:spacing w:after="0" w:line="199" w:lineRule="exact"/>
        <w:rPr>
          <w:rFonts w:ascii="Courier New" w:cs="Courier New" w:eastAsia="Courier New" w:hAnsi="Courier New"/>
          <w:sz w:val="17"/>
          <w:szCs w:val="17"/>
          <w:color w:val="auto"/>
        </w:rPr>
      </w:pPr>
    </w:p>
    <w:p>
      <w:pPr>
        <w:ind w:left="700" w:right="2299" w:hanging="196"/>
        <w:spacing w:after="0" w:line="237" w:lineRule="auto"/>
        <w:tabs>
          <w:tab w:leader="none" w:pos="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Record Data Loader, which is an input module that allows for Record Data Type management by converting flat file data into XML-s for storage in the DME; and</w:t>
      </w:r>
    </w:p>
    <w:p>
      <w:pPr>
        <w:spacing w:after="0" w:line="200" w:lineRule="exact"/>
        <w:rPr>
          <w:rFonts w:ascii="Courier New" w:cs="Courier New" w:eastAsia="Courier New" w:hAnsi="Courier New"/>
          <w:sz w:val="17"/>
          <w:szCs w:val="17"/>
          <w:color w:val="auto"/>
        </w:rPr>
      </w:pPr>
    </w:p>
    <w:p>
      <w:pPr>
        <w:ind w:left="700" w:right="2399" w:hanging="196"/>
        <w:spacing w:after="0" w:line="237" w:lineRule="auto"/>
        <w:tabs>
          <w:tab w:leader="none" w:pos="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Internationalization Language, which allows for the management of Asian languages (e.g. Japan, China, Korea, Hong Kong, and Taiwan) through Double Byte Character Set (DBCS) and Unicode development.</w:t>
      </w:r>
    </w:p>
    <w:p>
      <w:pPr>
        <w:spacing w:after="0" w:line="200"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Data Management Engine technology. The DME technology allows for archiving of transactions and linkage of data to the necessary environment within the BlueGill network. The DME is the main translator of input data to output data. The following features are under development:</w:t>
      </w:r>
    </w:p>
    <w:p>
      <w:pPr>
        <w:spacing w:after="0" w:line="200" w:lineRule="exact"/>
        <w:rPr>
          <w:sz w:val="20"/>
          <w:szCs w:val="20"/>
          <w:color w:val="auto"/>
        </w:rPr>
      </w:pPr>
    </w:p>
    <w:p>
      <w:pPr>
        <w:ind w:left="700" w:right="2299" w:hanging="196"/>
        <w:spacing w:after="0" w:line="236" w:lineRule="auto"/>
        <w:tabs>
          <w:tab w:leader="none" w:pos="7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Xerox Metacode Support, which is Xerox print support on the AIX, Solaris and HP-UX platforms;</w:t>
      </w:r>
    </w:p>
    <w:p>
      <w:pPr>
        <w:spacing w:after="0" w:line="199" w:lineRule="exact"/>
        <w:rPr>
          <w:rFonts w:ascii="Courier New" w:cs="Courier New" w:eastAsia="Courier New" w:hAnsi="Courier New"/>
          <w:sz w:val="17"/>
          <w:szCs w:val="17"/>
          <w:color w:val="auto"/>
        </w:rPr>
      </w:pPr>
    </w:p>
    <w:p>
      <w:pPr>
        <w:ind w:left="700" w:right="2999" w:hanging="196"/>
        <w:spacing w:after="0" w:line="236" w:lineRule="auto"/>
        <w:tabs>
          <w:tab w:leader="none" w:pos="7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AFP to PDF performance, which provides three times improvement in throughput of data through the DME; and</w:t>
      </w:r>
    </w:p>
    <w:p>
      <w:pPr>
        <w:spacing w:after="0" w:line="194" w:lineRule="exact"/>
        <w:rPr>
          <w:rFonts w:ascii="Courier New" w:cs="Courier New" w:eastAsia="Courier New" w:hAnsi="Courier New"/>
          <w:sz w:val="17"/>
          <w:szCs w:val="17"/>
          <w:color w:val="auto"/>
        </w:rPr>
      </w:pPr>
    </w:p>
    <w:p>
      <w:pPr>
        <w:ind w:left="700" w:hanging="196"/>
        <w:spacing w:after="0"/>
        <w:tabs>
          <w:tab w:leader="none" w:pos="7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MVS Port (OS/390), which ports the source code to the MVS platform.</w:t>
      </w:r>
    </w:p>
    <w:p>
      <w:pPr>
        <w:spacing w:after="0" w:line="198"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APIs. The API technology encompasses knowledge engineering procedures and expert system analysis, design and development. The API technology works in between the print/extraction and parsing modules and</w:t>
      </w:r>
    </w:p>
    <w:p>
      <w:pPr>
        <w:sectPr>
          <w:pgSz w:w="11900" w:h="16838" w:orient="portrait"/>
          <w:cols w:equalWidth="0" w:num="1">
            <w:col w:w="10219"/>
          </w:cols>
          <w:pgMar w:left="240" w:top="303" w:right="1440" w:bottom="1440" w:gutter="0" w:footer="0" w:header="0"/>
        </w:sectPr>
      </w:pPr>
    </w:p>
    <w:p>
      <w:pPr>
        <w:spacing w:after="0" w:line="39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19"/>
          </w:cols>
          <w:pgMar w:left="240" w:top="303" w:right="1440" w:bottom="1440"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26</w:t>
      </w:r>
    </w:p>
    <w:p>
      <w:pPr>
        <w:spacing w:after="0" w:line="198" w:lineRule="exact"/>
        <w:rPr>
          <w:sz w:val="20"/>
          <w:szCs w:val="20"/>
          <w:color w:val="auto"/>
        </w:rPr>
      </w:pPr>
    </w:p>
    <w:p>
      <w:pPr>
        <w:ind w:right="2299"/>
        <w:spacing w:after="0" w:line="262" w:lineRule="auto"/>
        <w:rPr>
          <w:sz w:val="20"/>
          <w:szCs w:val="20"/>
          <w:color w:val="auto"/>
        </w:rPr>
      </w:pPr>
      <w:r>
        <w:rPr>
          <w:rFonts w:ascii="Courier New" w:cs="Courier New" w:eastAsia="Courier New" w:hAnsi="Courier New"/>
          <w:sz w:val="16"/>
          <w:szCs w:val="16"/>
          <w:color w:val="auto"/>
        </w:rPr>
        <w:t>the web applications or templates. The API "surrounds" the DME as its interface to these other technologies. The following features are under development:</w:t>
      </w:r>
    </w:p>
    <w:p>
      <w:pPr>
        <w:spacing w:after="0" w:line="182" w:lineRule="exact"/>
        <w:rPr>
          <w:sz w:val="20"/>
          <w:szCs w:val="20"/>
          <w:color w:val="auto"/>
        </w:rPr>
      </w:pPr>
    </w:p>
    <w:p>
      <w:pPr>
        <w:ind w:left="700" w:right="2199" w:hanging="196"/>
        <w:spacing w:after="0" w:line="236" w:lineRule="auto"/>
        <w:tabs>
          <w:tab w:leader="none" w:pos="7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BlueGill Engine 3.0.0. -- Pure JAVA Front End Interface, which provides a pure JAVA version of the public API set;</w:t>
      </w:r>
    </w:p>
    <w:p>
      <w:pPr>
        <w:spacing w:after="0" w:line="199" w:lineRule="exact"/>
        <w:rPr>
          <w:rFonts w:ascii="Courier New" w:cs="Courier New" w:eastAsia="Courier New" w:hAnsi="Courier New"/>
          <w:sz w:val="17"/>
          <w:szCs w:val="17"/>
          <w:color w:val="auto"/>
        </w:rPr>
      </w:pPr>
    </w:p>
    <w:p>
      <w:pPr>
        <w:ind w:left="700" w:right="2399" w:hanging="196"/>
        <w:spacing w:after="0" w:line="236" w:lineRule="auto"/>
        <w:tabs>
          <w:tab w:leader="none" w:pos="7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BlueGill Engine 4.0.0 -- Pure JAVA Back End Interface, which provides a pure JAVA version of the data base engine; and</w:t>
      </w:r>
    </w:p>
    <w:p>
      <w:pPr>
        <w:spacing w:after="0" w:line="199" w:lineRule="exact"/>
        <w:rPr>
          <w:rFonts w:ascii="Courier New" w:cs="Courier New" w:eastAsia="Courier New" w:hAnsi="Courier New"/>
          <w:sz w:val="17"/>
          <w:szCs w:val="17"/>
          <w:color w:val="auto"/>
        </w:rPr>
      </w:pPr>
    </w:p>
    <w:p>
      <w:pPr>
        <w:ind w:left="700" w:right="2399" w:hanging="196"/>
        <w:spacing w:after="0" w:line="236" w:lineRule="auto"/>
        <w:tabs>
          <w:tab w:leader="none" w:pos="7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CheckFree Holdings E-Bill 3.1 Format Support, which provides batch mode support for the CheckFree Holdings E-Bill 3.1 format.</w:t>
      </w:r>
    </w:p>
    <w:p>
      <w:pPr>
        <w:spacing w:after="0" w:line="199" w:lineRule="exact"/>
        <w:rPr>
          <w:sz w:val="20"/>
          <w:szCs w:val="20"/>
          <w:color w:val="auto"/>
        </w:rPr>
      </w:pPr>
    </w:p>
    <w:p>
      <w:pPr>
        <w:jc w:val="both"/>
        <w:ind w:right="2399" w:firstLine="501"/>
        <w:spacing w:after="0" w:line="237" w:lineRule="auto"/>
        <w:rPr>
          <w:sz w:val="20"/>
          <w:szCs w:val="20"/>
          <w:color w:val="auto"/>
        </w:rPr>
      </w:pPr>
      <w:r>
        <w:rPr>
          <w:rFonts w:ascii="Courier New" w:cs="Courier New" w:eastAsia="Courier New" w:hAnsi="Courier New"/>
          <w:sz w:val="17"/>
          <w:szCs w:val="17"/>
          <w:color w:val="auto"/>
        </w:rPr>
        <w:t>Web Applications. The web application technologies help in the design of industry specific templates for electronic billing and statement presentation. The following features are under development:</w:t>
      </w:r>
    </w:p>
    <w:p>
      <w:pPr>
        <w:spacing w:after="0" w:line="200" w:lineRule="exact"/>
        <w:rPr>
          <w:sz w:val="20"/>
          <w:szCs w:val="20"/>
          <w:color w:val="auto"/>
        </w:rPr>
      </w:pPr>
    </w:p>
    <w:p>
      <w:pPr>
        <w:ind w:left="700" w:right="2999" w:hanging="196"/>
        <w:spacing w:after="0" w:line="236" w:lineRule="auto"/>
        <w:tabs>
          <w:tab w:leader="none" w:pos="7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i-Insurance Template for the insurance industry billing statement templates; and</w:t>
      </w:r>
    </w:p>
    <w:p>
      <w:pPr>
        <w:spacing w:after="0" w:line="199" w:lineRule="exact"/>
        <w:rPr>
          <w:rFonts w:ascii="Courier New" w:cs="Courier New" w:eastAsia="Courier New" w:hAnsi="Courier New"/>
          <w:sz w:val="17"/>
          <w:szCs w:val="17"/>
          <w:color w:val="auto"/>
        </w:rPr>
      </w:pPr>
    </w:p>
    <w:p>
      <w:pPr>
        <w:ind w:left="700" w:right="2299" w:hanging="196"/>
        <w:spacing w:after="0" w:line="236" w:lineRule="auto"/>
        <w:tabs>
          <w:tab w:leader="none" w:pos="7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Direct 2.0, which provides one-to-one marketing capabilities with end users.</w:t>
      </w:r>
    </w:p>
    <w:p>
      <w:pPr>
        <w:spacing w:after="0" w:line="199" w:lineRule="exact"/>
        <w:rPr>
          <w:sz w:val="20"/>
          <w:szCs w:val="20"/>
          <w:color w:val="auto"/>
        </w:rPr>
      </w:pPr>
    </w:p>
    <w:p>
      <w:pPr>
        <w:jc w:val="both"/>
        <w:ind w:right="2999" w:firstLine="501"/>
        <w:spacing w:after="0" w:line="237" w:lineRule="auto"/>
        <w:rPr>
          <w:sz w:val="20"/>
          <w:szCs w:val="20"/>
          <w:color w:val="auto"/>
        </w:rPr>
      </w:pPr>
      <w:r>
        <w:rPr>
          <w:rFonts w:ascii="Courier New" w:cs="Courier New" w:eastAsia="Courier New" w:hAnsi="Courier New"/>
          <w:sz w:val="17"/>
          <w:szCs w:val="17"/>
          <w:color w:val="auto"/>
        </w:rPr>
        <w:t>Payments or OFX. The payments or OFX technology will allow for bill publishing services to be integrated with the i-Series products and bill consolidators. The following features are under development:</w:t>
      </w:r>
    </w:p>
    <w:p>
      <w:pPr>
        <w:spacing w:after="0" w:line="200" w:lineRule="exact"/>
        <w:rPr>
          <w:sz w:val="20"/>
          <w:szCs w:val="20"/>
          <w:color w:val="auto"/>
        </w:rPr>
      </w:pPr>
    </w:p>
    <w:p>
      <w:pPr>
        <w:ind w:left="700" w:right="2399" w:hanging="196"/>
        <w:spacing w:after="0" w:line="237" w:lineRule="auto"/>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OFX Bill Publisher Server, which is the core OFX engine integrated with the i-Series engine support and Bill Publisher component to link to consolidators;</w:t>
      </w:r>
    </w:p>
    <w:p>
      <w:pPr>
        <w:spacing w:after="0" w:line="200" w:lineRule="exact"/>
        <w:rPr>
          <w:rFonts w:ascii="Courier New" w:cs="Courier New" w:eastAsia="Courier New" w:hAnsi="Courier New"/>
          <w:sz w:val="17"/>
          <w:szCs w:val="17"/>
          <w:color w:val="auto"/>
        </w:rPr>
      </w:pPr>
    </w:p>
    <w:p>
      <w:pPr>
        <w:ind w:left="700" w:right="2399" w:hanging="196"/>
        <w:spacing w:after="0" w:line="236" w:lineRule="auto"/>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Infrastructure, which is the underpinnings for interfacing with various payment solutions (e.g. ACH, PaymenTech, Cybercash); and</w:t>
      </w:r>
    </w:p>
    <w:p>
      <w:pPr>
        <w:spacing w:after="0" w:line="199" w:lineRule="exact"/>
        <w:rPr>
          <w:rFonts w:ascii="Courier New" w:cs="Courier New" w:eastAsia="Courier New" w:hAnsi="Courier New"/>
          <w:sz w:val="17"/>
          <w:szCs w:val="17"/>
          <w:color w:val="auto"/>
        </w:rPr>
      </w:pPr>
    </w:p>
    <w:p>
      <w:pPr>
        <w:ind w:left="700" w:right="2999" w:hanging="196"/>
        <w:spacing w:after="0" w:line="236" w:lineRule="auto"/>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International CSP Model, which is an international version of the domestic CSP model.</w:t>
      </w:r>
    </w:p>
    <w:p>
      <w:pPr>
        <w:spacing w:after="0" w:line="199" w:lineRule="exact"/>
        <w:rPr>
          <w:sz w:val="20"/>
          <w:szCs w:val="20"/>
          <w:color w:val="auto"/>
        </w:rPr>
      </w:pPr>
    </w:p>
    <w:p>
      <w:pPr>
        <w:ind w:right="2399" w:firstLine="501"/>
        <w:spacing w:after="0" w:line="236" w:lineRule="auto"/>
        <w:rPr>
          <w:sz w:val="20"/>
          <w:szCs w:val="20"/>
          <w:color w:val="auto"/>
        </w:rPr>
      </w:pPr>
      <w:r>
        <w:rPr>
          <w:rFonts w:ascii="Courier New" w:cs="Courier New" w:eastAsia="Courier New" w:hAnsi="Courier New"/>
          <w:sz w:val="17"/>
          <w:szCs w:val="17"/>
          <w:color w:val="auto"/>
        </w:rPr>
        <w:t>There are risks and uncertainties associated with the completion of these in-process technologies. These risks include:</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 Not Technologically Feasible.</w:t>
      </w:r>
    </w:p>
    <w:p>
      <w:pPr>
        <w:spacing w:after="0" w:line="198" w:lineRule="exact"/>
        <w:rPr>
          <w:sz w:val="20"/>
          <w:szCs w:val="20"/>
          <w:color w:val="auto"/>
        </w:rPr>
      </w:pPr>
    </w:p>
    <w:p>
      <w:pPr>
        <w:ind w:left="500" w:right="2199" w:firstLine="501"/>
        <w:spacing w:after="0" w:line="255" w:lineRule="auto"/>
        <w:rPr>
          <w:sz w:val="20"/>
          <w:szCs w:val="20"/>
          <w:color w:val="auto"/>
        </w:rPr>
      </w:pPr>
      <w:r>
        <w:rPr>
          <w:rFonts w:ascii="Courier New" w:cs="Courier New" w:eastAsia="Courier New" w:hAnsi="Courier New"/>
          <w:sz w:val="16"/>
          <w:szCs w:val="16"/>
          <w:color w:val="auto"/>
        </w:rPr>
        <w:t>The acquired IPRD had not demonstrated technological or commercial feasibility as of the transaction date for BlueGill. Significant risks exist because BlueGill is unsure of the obstacles it will encounter in the form of market acceptance, time and cost necessary to produce a technologically feasible product. SFAS No. 2 does not specifically require an analysis of the development effort expended relative to an acquisition date. It is reasonable to assume, however, that an IPRD project would require a significant amount of time and cost in order to modify for CheckFree Holdings' use in the marketplace. Should the proposed technology fail to become viable, it is unlikely that CheckFree Holdings would be able to realize any value from the sale of the technology to another party.</w:t>
      </w:r>
    </w:p>
    <w:p>
      <w:pPr>
        <w:spacing w:after="0" w:line="18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 No Alternative Future Use.</w:t>
      </w:r>
    </w:p>
    <w:p>
      <w:pPr>
        <w:spacing w:after="0" w:line="198" w:lineRule="exact"/>
        <w:rPr>
          <w:sz w:val="20"/>
          <w:szCs w:val="20"/>
          <w:color w:val="auto"/>
        </w:rPr>
      </w:pPr>
    </w:p>
    <w:p>
      <w:pPr>
        <w:ind w:left="500" w:right="2199" w:firstLine="501"/>
        <w:spacing w:after="0" w:line="239" w:lineRule="auto"/>
        <w:rPr>
          <w:sz w:val="20"/>
          <w:szCs w:val="20"/>
          <w:color w:val="auto"/>
        </w:rPr>
      </w:pPr>
      <w:r>
        <w:rPr>
          <w:rFonts w:ascii="Courier New" w:cs="Courier New" w:eastAsia="Courier New" w:hAnsi="Courier New"/>
          <w:sz w:val="17"/>
          <w:szCs w:val="17"/>
          <w:color w:val="auto"/>
        </w:rPr>
        <w:t>The acquired IPRD consists of BlueGill's work to date on its products. The products are very specific to the tasks and markets for which it is intended. As is typically the case with software, there are no alternative uses for the in-process work in the event that the product does not become feasible for CheckFree Holdings. The development effort for the acquired IPRD does not possess an alternative future use for CheckFree Holdings under the terms of SFAS No. 2.</w:t>
      </w:r>
    </w:p>
    <w:p>
      <w:pPr>
        <w:spacing w:after="0" w:line="199" w:lineRule="exact"/>
        <w:rPr>
          <w:sz w:val="20"/>
          <w:szCs w:val="20"/>
          <w:color w:val="auto"/>
        </w:rPr>
      </w:pPr>
    </w:p>
    <w:p>
      <w:pPr>
        <w:ind w:left="700" w:right="2199" w:hanging="196"/>
        <w:spacing w:after="0" w:line="256" w:lineRule="auto"/>
        <w:tabs>
          <w:tab w:leader="none" w:pos="7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BlueGill project underway fails, there will be a very limited life to the existing product because the continuing pace of technological developments in the marketplace will have rendered them non-competitive. In the event of a failure, the technology acquired, as embodied in either current or in-process products, will have no alternative use and would be written off as a loss by CheckFree Holdings.</w:t>
      </w:r>
    </w:p>
    <w:p>
      <w:pPr>
        <w:spacing w:after="0" w:line="189" w:lineRule="exact"/>
        <w:rPr>
          <w:rFonts w:ascii="Courier New" w:cs="Courier New" w:eastAsia="Courier New" w:hAnsi="Courier New"/>
          <w:sz w:val="16"/>
          <w:szCs w:val="16"/>
          <w:color w:val="auto"/>
        </w:rPr>
      </w:pPr>
    </w:p>
    <w:p>
      <w:pPr>
        <w:ind w:left="700" w:right="2499" w:hanging="196"/>
        <w:spacing w:after="0" w:line="238" w:lineRule="auto"/>
        <w:tabs>
          <w:tab w:leader="none" w:pos="7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valuation date, all of the IPRD technologies were subject to numerous technological, timing, cost and market risks. In addition to these risks already mentioned, another major risk associated with the technologies pertains to the language it's written in. According to BlueGill's management, all of</w:t>
      </w:r>
    </w:p>
    <w:p>
      <w:pPr>
        <w:sectPr>
          <w:pgSz w:w="11900" w:h="16838" w:orient="portrait"/>
          <w:cols w:equalWidth="0" w:num="1">
            <w:col w:w="10219"/>
          </w:cols>
          <w:pgMar w:left="240" w:top="303" w:right="1440" w:bottom="558" w:gutter="0" w:footer="0" w:header="0"/>
        </w:sectPr>
      </w:pPr>
    </w:p>
    <w:p>
      <w:pPr>
        <w:spacing w:after="0" w:line="39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19"/>
          </w:cols>
          <w:pgMar w:left="240" w:top="303" w:right="1440" w:bottom="558"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27</w:t>
      </w:r>
    </w:p>
    <w:p>
      <w:pPr>
        <w:spacing w:after="0" w:line="198" w:lineRule="exact"/>
        <w:rPr>
          <w:sz w:val="20"/>
          <w:szCs w:val="20"/>
          <w:color w:val="auto"/>
        </w:rPr>
      </w:pPr>
    </w:p>
    <w:p>
      <w:pPr>
        <w:ind w:left="700" w:right="2999"/>
        <w:spacing w:after="0" w:line="236" w:lineRule="auto"/>
        <w:rPr>
          <w:sz w:val="20"/>
          <w:szCs w:val="20"/>
          <w:color w:val="auto"/>
        </w:rPr>
      </w:pPr>
      <w:r>
        <w:rPr>
          <w:rFonts w:ascii="Courier New" w:cs="Courier New" w:eastAsia="Courier New" w:hAnsi="Courier New"/>
          <w:sz w:val="17"/>
          <w:szCs w:val="17"/>
          <w:color w:val="auto"/>
        </w:rPr>
        <w:t>the base code may go to the JAVA computer language, causing large sections of the codes to be re-written.</w:t>
      </w:r>
    </w:p>
    <w:p>
      <w:pPr>
        <w:spacing w:after="0" w:line="199" w:lineRule="exact"/>
        <w:rPr>
          <w:sz w:val="20"/>
          <w:szCs w:val="20"/>
          <w:color w:val="auto"/>
        </w:rPr>
      </w:pPr>
    </w:p>
    <w:p>
      <w:pPr>
        <w:ind w:right="2699" w:firstLine="501"/>
        <w:spacing w:after="0" w:line="236" w:lineRule="auto"/>
        <w:rPr>
          <w:sz w:val="20"/>
          <w:szCs w:val="20"/>
          <w:color w:val="auto"/>
        </w:rPr>
      </w:pPr>
      <w:r>
        <w:rPr>
          <w:rFonts w:ascii="Courier New" w:cs="Courier New" w:eastAsia="Courier New" w:hAnsi="Courier New"/>
          <w:sz w:val="17"/>
          <w:szCs w:val="17"/>
          <w:color w:val="auto"/>
        </w:rPr>
        <w:t>The following table represents information regarding the status of the various in-process research and development projects acquired: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ESTIMATED</w:t>
            </w:r>
          </w:p>
        </w:tc>
        <w:tc>
          <w:tcPr>
            <w:tcW w:w="2100" w:type="dxa"/>
            <w:vAlign w:val="bottom"/>
          </w:tcPr>
          <w:p>
            <w:pPr>
              <w:spacing w:after="0"/>
              <w:rPr>
                <w:sz w:val="16"/>
                <w:szCs w:val="16"/>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EXPECTED</w:t>
            </w:r>
          </w:p>
        </w:tc>
        <w:tc>
          <w:tcPr>
            <w:tcW w:w="1100" w:type="dxa"/>
            <w:vAlign w:val="bottom"/>
          </w:tcPr>
          <w:p>
            <w:pPr>
              <w:spacing w:after="0"/>
              <w:rPr>
                <w:sz w:val="16"/>
                <w:szCs w:val="16"/>
                <w:color w:val="auto"/>
              </w:rPr>
            </w:pPr>
          </w:p>
        </w:tc>
      </w:tr>
      <w:tr>
        <w:trPr>
          <w:trHeight w:val="193"/>
        </w:trPr>
        <w:tc>
          <w:tcPr>
            <w:tcW w:w="362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STAGE OF</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w w:val="97"/>
              </w:rPr>
              <w:t>ESTIMATED</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COST TO</w:t>
            </w:r>
          </w:p>
        </w:tc>
        <w:tc>
          <w:tcPr>
            <w:tcW w:w="1100" w:type="dxa"/>
            <w:vAlign w:val="bottom"/>
          </w:tcPr>
          <w:p>
            <w:pPr>
              <w:spacing w:after="0"/>
              <w:rPr>
                <w:sz w:val="16"/>
                <w:szCs w:val="16"/>
                <w:color w:val="auto"/>
              </w:rPr>
            </w:pPr>
          </w:p>
        </w:tc>
      </w:tr>
      <w:tr>
        <w:trPr>
          <w:trHeight w:val="193"/>
        </w:trPr>
        <w:tc>
          <w:tcPr>
            <w:tcW w:w="36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COMPLETION</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w w:val="98"/>
              </w:rPr>
              <w:t>COMPLETION DATE</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COMPLETE</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VALUATION</w:t>
            </w:r>
          </w:p>
        </w:tc>
      </w:tr>
      <w:tr>
        <w:trPr>
          <w:trHeight w:val="193"/>
        </w:trPr>
        <w:tc>
          <w:tcPr>
            <w:tcW w:w="36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w w:val="98"/>
              </w:rPr>
              <w:t>-----------------</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(IN THOUSANDS)</w:t>
            </w:r>
          </w:p>
        </w:tc>
      </w:tr>
      <w:tr>
        <w:trPr>
          <w:trHeight w:val="385"/>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Print/Extraction...................</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w w:val="98"/>
              </w:rPr>
              <w:t>December 2000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748</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$1,900</w:t>
            </w: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Data Management Engine.............</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w w:val="98"/>
              </w:rPr>
              <w:t>November 2000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110</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1,300</w:t>
            </w: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APIs...............................</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w w:val="98"/>
              </w:rPr>
              <w:t>November 2000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703</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2,300</w:t>
            </w: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Web Applications...................</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w:t>
            </w:r>
          </w:p>
        </w:tc>
        <w:tc>
          <w:tcPr>
            <w:tcW w:w="2100" w:type="dxa"/>
            <w:vAlign w:val="bottom"/>
          </w:tcPr>
          <w:p>
            <w:pPr>
              <w:ind w:left="800"/>
              <w:spacing w:after="0"/>
              <w:rPr>
                <w:sz w:val="20"/>
                <w:szCs w:val="20"/>
                <w:color w:val="auto"/>
              </w:rPr>
            </w:pPr>
            <w:r>
              <w:rPr>
                <w:rFonts w:ascii="Courier New" w:cs="Courier New" w:eastAsia="Courier New" w:hAnsi="Courier New"/>
                <w:sz w:val="17"/>
                <w:szCs w:val="17"/>
                <w:color w:val="auto"/>
              </w:rPr>
              <w:t>July 2000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183</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1,400</w:t>
            </w: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Payments/OFX.......................</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w w:val="98"/>
              </w:rPr>
              <w:t>December 2000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333</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w:t>
            </w:r>
          </w:p>
        </w:tc>
      </w:tr>
      <w:tr>
        <w:trPr>
          <w:trHeight w:val="193"/>
        </w:trPr>
        <w:tc>
          <w:tcPr>
            <w:tcW w:w="3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1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$2,077</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$6,900</w:t>
            </w:r>
          </w:p>
        </w:tc>
      </w:tr>
      <w:tr>
        <w:trPr>
          <w:trHeight w:val="193"/>
        </w:trPr>
        <w:tc>
          <w:tcPr>
            <w:tcW w:w="3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method used to allocate the purchase consideration to IPRD was the modified income approach. Under the income approach, fair value reflects the present value of the projected free cash flows that will be generated by the IPRD projects and that is attributable to the acquired technology, if successfully completed. The modified income approach takes the income approach, modified to include the following factors:</w:t>
      </w:r>
    </w:p>
    <w:p>
      <w:pPr>
        <w:spacing w:after="0" w:line="193" w:lineRule="exact"/>
        <w:rPr>
          <w:sz w:val="20"/>
          <w:szCs w:val="20"/>
          <w:color w:val="auto"/>
        </w:rPr>
      </w:pPr>
    </w:p>
    <w:p>
      <w:pPr>
        <w:ind w:left="700" w:hanging="196"/>
        <w:spacing w:after="0"/>
        <w:tabs>
          <w:tab w:leader="none" w:pos="7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analysis of the stage of completion of each project;</w:t>
      </w:r>
    </w:p>
    <w:p>
      <w:pPr>
        <w:spacing w:after="0" w:line="198" w:lineRule="exact"/>
        <w:rPr>
          <w:rFonts w:ascii="Courier New" w:cs="Courier New" w:eastAsia="Courier New" w:hAnsi="Courier New"/>
          <w:sz w:val="17"/>
          <w:szCs w:val="17"/>
          <w:color w:val="auto"/>
        </w:rPr>
      </w:pPr>
    </w:p>
    <w:p>
      <w:pPr>
        <w:ind w:left="700" w:right="3099" w:hanging="196"/>
        <w:spacing w:after="0" w:line="236" w:lineRule="auto"/>
        <w:tabs>
          <w:tab w:leader="none" w:pos="7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exclusion of value related to research and development yet-to-be completed as part of the on-going IPRD projects; and</w:t>
      </w:r>
    </w:p>
    <w:p>
      <w:pPr>
        <w:spacing w:after="0" w:line="194" w:lineRule="exact"/>
        <w:rPr>
          <w:rFonts w:ascii="Courier New" w:cs="Courier New" w:eastAsia="Courier New" w:hAnsi="Courier New"/>
          <w:sz w:val="17"/>
          <w:szCs w:val="17"/>
          <w:color w:val="auto"/>
        </w:rPr>
      </w:pPr>
    </w:p>
    <w:p>
      <w:pPr>
        <w:ind w:left="700" w:hanging="196"/>
        <w:spacing w:after="0"/>
        <w:tabs>
          <w:tab w:leader="none" w:pos="7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contribution of existing technologies and applications.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projected revenue used in the income approach are based upon the incremental revenues associated with a portion of the project related to BlueGill's technology likely to be generated upon completion of the project and the beginning of commercial sales, as estimated by management. The projections assume that the projects will be successful and the project's development and commercialization are as set forth by management. The discount rate used in this analysis is an after tax rate of 25%.</w:t>
      </w:r>
    </w:p>
    <w:p>
      <w:pPr>
        <w:spacing w:after="0" w:line="199"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Note C: CheckFree Holdings' statement of operations for the year ended June 30, 1999, has been combined with the BlueGill statement of operations for the twelve months ended June 30, 1999. CheckFree Holdings' statement of operations for the nine-month period ended March 31, 2000 has been combined with the BlueGill statement of operations for the nine-month period ended March 31, 2000. Actual income statements of CheckFree Holdings and BlueGill will be combined from the effective date of the merger, with no retroactive restatement.</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Note D: The unaudited pro forma condensed combining statement of operations for CheckFree Holdings and BlueGill have been prepared as if the merger was completed as of July 1, 1998, the beginning of the earliest period presented. The unaudited pro forma combined net income (loss) per share is based on the weighted average number of shares of CheckFree Holdings common stock outstanding during the periods, adjusted to give effect to shares assumed to be issued had the merger taken place as of July 1, 1998.</w:t>
      </w:r>
    </w:p>
    <w:p>
      <w:pPr>
        <w:spacing w:after="0" w:line="19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Note E: The unaudited pro forma condensed combining statement of operations do not include a charge for the value of the estimated $6.9 million (no income tax effect) of purchased research and development arising from the merger, which will be expensed at acquisition, as this expense will not have a continuing impact.</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303" w:right="1440" w:bottom="1440" w:gutter="0" w:footer="0" w:header="0"/>
          <w:type w:val="continuous"/>
        </w:sectPr>
      </w:pPr>
    </w:p>
    <w:bookmarkStart w:id="27" w:name="page28"/>
    <w:bookmarkEnd w:id="27"/>
    <w:p>
      <w:pPr>
        <w:ind w:left="200"/>
        <w:spacing w:after="0"/>
        <w:rPr>
          <w:sz w:val="20"/>
          <w:szCs w:val="20"/>
          <w:color w:val="auto"/>
        </w:rPr>
      </w:pPr>
      <w:r>
        <w:rPr>
          <w:rFonts w:ascii="Courier New" w:cs="Courier New" w:eastAsia="Courier New" w:hAnsi="Courier New"/>
          <w:sz w:val="17"/>
          <w:szCs w:val="17"/>
          <w:color w:val="auto"/>
        </w:rPr>
        <w:t>28</w:t>
      </w:r>
    </w:p>
    <w:tbl>
      <w:tblPr>
        <w:tblLayout w:type="fixed"/>
        <w:tblInd w:w="0" w:type="dxa"/>
        <w:tblCellMar>
          <w:top w:w="0" w:type="dxa"/>
          <w:left w:w="0" w:type="dxa"/>
          <w:bottom w:w="0" w:type="dxa"/>
          <w:right w:w="0" w:type="dxa"/>
        </w:tblCellMar>
      </w:tblPr>
      <w:tr>
        <w:trPr>
          <w:trHeight w:val="193"/>
        </w:trPr>
        <w:tc>
          <w:tcPr>
            <w:tcW w:w="1400" w:type="dxa"/>
            <w:vAlign w:val="bottom"/>
          </w:tcPr>
          <w:p>
            <w:pPr>
              <w:spacing w:after="0"/>
              <w:rPr>
                <w:sz w:val="16"/>
                <w:szCs w:val="16"/>
                <w:color w:val="auto"/>
              </w:rPr>
            </w:pPr>
          </w:p>
        </w:tc>
        <w:tc>
          <w:tcPr>
            <w:tcW w:w="6420" w:type="dxa"/>
            <w:vAlign w:val="bottom"/>
          </w:tcPr>
          <w:p>
            <w:pPr>
              <w:ind w:left="1920"/>
              <w:spacing w:after="0"/>
              <w:rPr>
                <w:sz w:val="20"/>
                <w:szCs w:val="20"/>
                <w:color w:val="auto"/>
              </w:rPr>
            </w:pPr>
            <w:r>
              <w:rPr>
                <w:rFonts w:ascii="Courier New" w:cs="Courier New" w:eastAsia="Courier New" w:hAnsi="Courier New"/>
                <w:sz w:val="17"/>
                <w:szCs w:val="17"/>
                <w:color w:val="auto"/>
              </w:rPr>
              <w:t>EXHIBIT INDEX</w:t>
            </w:r>
          </w:p>
        </w:tc>
      </w:tr>
      <w:tr>
        <w:trPr>
          <w:trHeight w:val="193"/>
        </w:trPr>
        <w:tc>
          <w:tcPr>
            <w:tcW w:w="1400" w:type="dxa"/>
            <w:vAlign w:val="bottom"/>
          </w:tcPr>
          <w:p>
            <w:pPr>
              <w:spacing w:after="0"/>
              <w:rPr>
                <w:sz w:val="16"/>
                <w:szCs w:val="16"/>
                <w:color w:val="auto"/>
              </w:rPr>
            </w:pPr>
          </w:p>
        </w:tc>
        <w:tc>
          <w:tcPr>
            <w:tcW w:w="6420" w:type="dxa"/>
            <w:vAlign w:val="bottom"/>
          </w:tcPr>
          <w:p>
            <w:pPr>
              <w:ind w:left="1920"/>
              <w:spacing w:after="0"/>
              <w:rPr>
                <w:sz w:val="20"/>
                <w:szCs w:val="20"/>
                <w:color w:val="auto"/>
              </w:rPr>
            </w:pPr>
            <w:r>
              <w:rPr>
                <w:rFonts w:ascii="Courier New" w:cs="Courier New" w:eastAsia="Courier New" w:hAnsi="Courier New"/>
                <w:sz w:val="17"/>
                <w:szCs w:val="17"/>
                <w:color w:val="auto"/>
              </w:rPr>
              <w:t>-------------</w:t>
            </w:r>
          </w:p>
        </w:tc>
      </w:tr>
      <w:tr>
        <w:trPr>
          <w:trHeight w:val="771"/>
        </w:trPr>
        <w:tc>
          <w:tcPr>
            <w:tcW w:w="140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6420" w:type="dxa"/>
            <w:vAlign w:val="bottom"/>
          </w:tcPr>
          <w:p>
            <w:pPr>
              <w:ind w:left="2520"/>
              <w:spacing w:after="0"/>
              <w:rPr>
                <w:sz w:val="20"/>
                <w:szCs w:val="20"/>
                <w:color w:val="auto"/>
              </w:rPr>
            </w:pPr>
            <w:r>
              <w:rPr>
                <w:rFonts w:ascii="Courier New" w:cs="Courier New" w:eastAsia="Courier New" w:hAnsi="Courier New"/>
                <w:sz w:val="17"/>
                <w:szCs w:val="17"/>
                <w:color w:val="auto"/>
              </w:rPr>
              <w:t>DESCRIPTION</w:t>
            </w:r>
          </w:p>
        </w:tc>
      </w:tr>
      <w:tr>
        <w:trPr>
          <w:trHeight w:val="385"/>
        </w:trPr>
        <w:tc>
          <w:tcPr>
            <w:tcW w:w="14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2(a)</w:t>
            </w: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w w:val="99"/>
              </w:rPr>
              <w:t>Agreement and Plan of Merger, dated as of December 20, 1999,</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among CheckFree Holdings Corporation, CheckFree Acquisition</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w w:val="98"/>
              </w:rPr>
              <w:t>Corporation IV, and BlueGill Technologies, Inc. (Reference is</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w w:val="99"/>
              </w:rPr>
              <w:t>made to Appendix A to Registration Statement on Form S-4, as</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amended (Registration No. 333-32644), filed with the</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Securities Exchange Commission on March 16, 2000, and</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578"/>
        </w:trPr>
        <w:tc>
          <w:tcPr>
            <w:tcW w:w="14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2(b)</w:t>
            </w: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Amendment to Agreement and Plan of Merger, dated April 27,</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2000, among CheckFree Holdings Corporation, CheckFree</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Acquisition Corporation IV, and BlueGill Technologies, Inc.</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w w:val="99"/>
              </w:rPr>
              <w:t>(Reference is made to Exhibit 2(b) to Current Report on Form</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8-K dated April 28, 2000, filed with the Securities and</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w w:val="99"/>
              </w:rPr>
              <w:t>Exchange Commission on May 15, 2000, and incorporated herein</w:t>
            </w:r>
          </w:p>
        </w:tc>
      </w:tr>
      <w:tr>
        <w:trPr>
          <w:trHeight w:val="193"/>
        </w:trPr>
        <w:tc>
          <w:tcPr>
            <w:tcW w:w="1400" w:type="dxa"/>
            <w:vAlign w:val="bottom"/>
          </w:tcPr>
          <w:p>
            <w:pPr>
              <w:spacing w:after="0"/>
              <w:rPr>
                <w:sz w:val="16"/>
                <w:szCs w:val="16"/>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by reference).</w:t>
            </w:r>
          </w:p>
        </w:tc>
      </w:tr>
      <w:tr>
        <w:trPr>
          <w:trHeight w:val="578"/>
        </w:trPr>
        <w:tc>
          <w:tcPr>
            <w:tcW w:w="14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23</w:t>
            </w:r>
          </w:p>
        </w:tc>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Consent of Arthur Andersen LLP.</w:t>
            </w:r>
          </w:p>
        </w:tc>
      </w:tr>
    </w:tbl>
    <w:p>
      <w:pPr>
        <w:sectPr>
          <w:pgSz w:w="11900" w:h="16838" w:orient="portrait"/>
          <w:cols w:equalWidth="0" w:num="1">
            <w:col w:w="10119"/>
          </w:cols>
          <w:pgMar w:left="340" w:top="303"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1</w:t>
      </w:r>
    </w:p>
    <w:p>
      <w:pPr>
        <w:jc w:val="right"/>
        <w:ind w:right="2199"/>
        <w:spacing w:after="0"/>
        <w:rPr>
          <w:sz w:val="20"/>
          <w:szCs w:val="20"/>
          <w:color w:val="auto"/>
        </w:rPr>
      </w:pPr>
      <w:r>
        <w:rPr>
          <w:rFonts w:ascii="Courier New" w:cs="Courier New" w:eastAsia="Courier New" w:hAnsi="Courier New"/>
          <w:sz w:val="17"/>
          <w:szCs w:val="17"/>
          <w:color w:val="auto"/>
        </w:rPr>
        <w:t>Exhibit 23</w:t>
      </w:r>
    </w:p>
    <w:p>
      <w:pPr>
        <w:spacing w:after="0" w:line="200" w:lineRule="exact"/>
        <w:rPr>
          <w:sz w:val="20"/>
          <w:szCs w:val="20"/>
          <w:color w:val="auto"/>
        </w:rPr>
      </w:pPr>
    </w:p>
    <w:p>
      <w:pPr>
        <w:spacing w:after="0" w:line="378"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391"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Form 8-K/A NO. 1 of our report dated February 28, 2000, included in CheckFree Holdings Corporation's Current Report on Form 8-K/A No. 1 dated March 16, 2000, which is a part of the Registration Statement File No.</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0-26802. It should be noted that we have not audited any financial statements of the company subsequent to December 31, 1999 or performed any audit procedures subsequent to the date of our report.</w:t>
      </w:r>
    </w:p>
    <w:p>
      <w:pPr>
        <w:spacing w:after="0" w:line="38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/s/ Arthur Andersen LLP</w:t>
      </w:r>
    </w:p>
    <w:p>
      <w:pPr>
        <w:spacing w:after="0" w:line="6"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Arthur Andersen LLP</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 Arbor, Michigan,</w:t>
      </w:r>
    </w:p>
    <w:p>
      <w:pPr>
        <w:ind w:left="200"/>
        <w:spacing w:after="0"/>
        <w:rPr>
          <w:sz w:val="20"/>
          <w:szCs w:val="20"/>
          <w:color w:val="auto"/>
        </w:rPr>
      </w:pPr>
      <w:r>
        <w:rPr>
          <w:rFonts w:ascii="Courier New" w:cs="Courier New" w:eastAsia="Courier New" w:hAnsi="Courier New"/>
          <w:sz w:val="17"/>
          <w:szCs w:val="17"/>
          <w:color w:val="auto"/>
        </w:rPr>
        <w:t>July 7, 2000.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1"/>
    </w:lvl>
  </w:abstractNum>
  <w:abstractNum w:abstractNumId="1">
    <w:nsid w:val="3352255A"/>
    <w:multiLevelType w:val="hybridMultilevel"/>
    <w:lvl w:ilvl="0">
      <w:lvlJc w:val="left"/>
      <w:lvlText w:val="(%1)"/>
      <w:numFmt w:val="lowerLetter"/>
      <w:start w:val="2"/>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1."/>
      <w:numFmt w:val="decimal"/>
      <w:start w:val="3"/>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1."/>
      <w:numFmt w:val="decimal"/>
      <w:start w:val="3"/>
    </w:lvl>
  </w:abstractNum>
  <w:abstractNum w:abstractNumId="14">
    <w:nsid w:val="257130A3"/>
    <w:multiLevelType w:val="hybridMultilevel"/>
    <w:lvl w:ilvl="0">
      <w:lvlJc w:val="left"/>
      <w:lvlText w:val="%1."/>
      <w:numFmt w:val="decimal"/>
      <w:start w:val="4"/>
    </w:lvl>
  </w:abstractNum>
  <w:abstractNum w:abstractNumId="15">
    <w:nsid w:val="62BBD95A"/>
    <w:multiLevelType w:val="hybridMultilevel"/>
    <w:lvl w:ilvl="0">
      <w:lvlJc w:val="left"/>
      <w:lvlText w:val="%1."/>
      <w:numFmt w:val="decimal"/>
      <w:start w:val="5"/>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2019-12-14T06:06:59Z</dcterms:created>
  <dcterms:modified xsi:type="dcterms:W3CDTF">2019-12-14T06:06:59Z</dcterms:modified>
</cp:coreProperties>
</file>